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tbl>
      <w:tblPr>
        <w:tblW w:w="5000" w:type="pct"/>
        <w:jc w:val="center"/>
        <w:tblInd w:w="0" w:type="dxa"/>
        <w:tblLayout w:type="autofit"/>
        <w:tblCellMar>
          <w:left w:w="108" w:type="dxa"/>
          <w:top w:w="0" w:type="dxa"/>
          <w:right w:w="108" w:type="dxa"/>
          <w:bottom w:w="0" w:type="dxa"/>
        </w:tblCellMar>
        <w:tblLook w:val="04A0" w:firstRow="1" w:lastRow="0" w:firstColumn="1" w:lastColumn="0" w:noHBand="0" w:noVBand="1"/>
      </w:tblPr>
      <w:tblGrid>
        <w:gridCol w:w="10115"/>
      </w:tblGrid>
      <w:tr>
        <w:tblPrEx/>
        <w:trPr>
          <w:trHeight w:val="1566"/>
        </w:trPr>
        <w:tc>
          <w:tcPr>
            <w:tcBorders>
              <w:top w:val="none" w:color="000000" w:sz="0" w:space="0"/>
              <w:left w:val="none" w:color="000000" w:sz="0" w:space="0"/>
              <w:bottom w:val="none" w:color="000000" w:sz="0" w:space="0"/>
              <w:right w:val="none" w:color="000000" w:sz="0" w:space="0"/>
            </w:tcBorders>
            <w:tcW w:w="5000" w:type="pct"/>
            <w:vAlign w:val="top"/>
            <w:textDirection w:val="lrTb"/>
            <w:noWrap w:val="false"/>
          </w:tcPr>
          <w:p>
            <w:pPr>
              <w:pStyle w:val="1138"/>
              <w:ind w:firstLine="0"/>
              <w:jc w:val="center"/>
            </w:pPr>
            <w:r>
              <w:t xml:space="preserve">КАЛИНИНГРАДСКИЙ </w:t>
            </w:r>
            <w:r>
              <w:t xml:space="preserve">РЕГИОНАЛЬНЫЙ</w:t>
            </w:r>
            <w:r>
              <w:t xml:space="preserve"> </w:t>
            </w:r>
            <w:r>
              <w:t xml:space="preserve">ФИЛИАЛ</w:t>
            </w:r>
            <w:r/>
          </w:p>
          <w:p>
            <w:pPr>
              <w:pStyle w:val="1157"/>
              <w:jc w:val="center"/>
              <w:rPr>
                <w:rFonts w:ascii="Cambria" w:hAnsi="Cambria"/>
                <w:caps/>
                <w:sz w:val="32"/>
                <w:szCs w:val="32"/>
              </w:rPr>
            </w:pPr>
            <w:r>
              <w:rPr>
                <w:rFonts w:ascii="Cambria" w:hAnsi="Cambria"/>
                <w:caps/>
                <w:sz w:val="32"/>
                <w:szCs w:val="32"/>
              </w:rPr>
              <w:t xml:space="preserve">АО «РОССЕЛЬХОЗБАНК»</w:t>
            </w:r>
            <w:r>
              <w:rPr>
                <w:rFonts w:ascii="Cambria" w:hAnsi="Cambria"/>
                <w:caps/>
                <w:sz w:val="32"/>
                <w:szCs w:val="32"/>
              </w:rPr>
            </w:r>
            <w:r>
              <w:rPr>
                <w:rFonts w:ascii="Cambria" w:hAnsi="Cambria"/>
                <w:caps/>
                <w:sz w:val="32"/>
                <w:szCs w:val="32"/>
              </w:rPr>
            </w:r>
          </w:p>
        </w:tc>
      </w:tr>
      <w:tr>
        <w:tblPrEx/>
        <w:trPr>
          <w:trHeight w:val="1440"/>
        </w:trPr>
        <w:tc>
          <w:tcPr>
            <w:tcBorders>
              <w:top w:val="none" w:color="000000" w:sz="0" w:space="0"/>
              <w:left w:val="none" w:color="000000" w:sz="0" w:space="0"/>
              <w:bottom w:val="none" w:color="000000" w:sz="0" w:space="0"/>
              <w:right w:val="none" w:color="000000" w:sz="0" w:space="0"/>
            </w:tcBorders>
            <w:tcW w:w="5000" w:type="pct"/>
            <w:vAlign w:val="center"/>
            <w:textDirection w:val="lrTb"/>
            <w:noWrap w:val="false"/>
          </w:tcPr>
          <w:p>
            <w:pPr>
              <w:pStyle w:val="1157"/>
              <w:jc w:val="center"/>
              <w:rPr>
                <w:rFonts w:ascii="Cambria" w:hAnsi="Cambria"/>
                <w:caps/>
                <w:sz w:val="80"/>
                <w:szCs w:val="80"/>
              </w:rPr>
            </w:pPr>
            <w:r>
              <w:rPr>
                <w:rFonts w:ascii="Cambria" w:hAnsi="Cambria" w:cs="Cambria"/>
                <w:caps/>
                <w:sz w:val="48"/>
                <w:szCs w:val="48"/>
              </w:rPr>
              <w:t xml:space="preserve">Тарифы комиссионного вознаграждени</w:t>
            </w:r>
            <w:r>
              <w:rPr>
                <w:rFonts w:ascii="Cambria" w:hAnsi="Cambria" w:cs="Cambria"/>
                <w:caps/>
                <w:sz w:val="48"/>
                <w:szCs w:val="48"/>
              </w:rPr>
              <w:t xml:space="preserve">я на услуги АО «Россельхозбанк» юридическим лицам, субъектам Российской Федерации, муниципальным образованиям, индивидуальным предпринимателям и физическим лицам, занимающимся в установленном законодательством Российской Федерации порядке частной практикой</w:t>
            </w:r>
            <w:r>
              <w:rPr>
                <w:rFonts w:ascii="Cambria" w:hAnsi="Cambria"/>
                <w:caps/>
                <w:sz w:val="80"/>
                <w:szCs w:val="80"/>
              </w:rPr>
            </w:r>
            <w:r>
              <w:rPr>
                <w:rFonts w:ascii="Cambria" w:hAnsi="Cambria"/>
                <w:caps/>
                <w:sz w:val="80"/>
                <w:szCs w:val="80"/>
              </w:rPr>
            </w:r>
          </w:p>
        </w:tc>
      </w:tr>
    </w:tbl>
    <w:tbl>
      <w:tblPr>
        <w:tblpPr w:horzAnchor="margin" w:tblpXSpec="center" w:vertAnchor="text" w:tblpY="56" w:leftFromText="180" w:topFromText="0" w:rightFromText="180" w:bottomFromText="0"/>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4191"/>
        <w:gridCol w:w="6230"/>
      </w:tblGrid>
      <w:tr>
        <w:tblPrEx/>
        <w:trPr>
          <w:trHeight w:val="440"/>
        </w:trPr>
        <w:tc>
          <w:tcPr>
            <w:tcBorders>
              <w:top w:val="single" w:color="000000" w:sz="4" w:space="0"/>
              <w:left w:val="single" w:color="000000" w:sz="4" w:space="0"/>
              <w:bottom w:val="single" w:color="000000" w:sz="4" w:space="0"/>
              <w:right w:val="single" w:color="000000" w:sz="4" w:space="0"/>
            </w:tcBorders>
            <w:tcW w:w="2011" w:type="pct"/>
            <w:vAlign w:val="center"/>
            <w:textDirection w:val="lrTb"/>
            <w:noWrap w:val="false"/>
          </w:tcPr>
          <w:p>
            <w:pPr>
              <w:pStyle w:val="1135"/>
              <w:rPr>
                <w:b/>
                <w:color w:val="000000"/>
              </w:rPr>
              <w:framePr w:hSpace="180" w:wrap="around" w:vAnchor="text" w:hAnchor="margin" w:xAlign="center" w:y="56"/>
            </w:pPr>
            <w:r>
              <w:rPr>
                <w:b/>
                <w:color w:val="000000"/>
                <w:sz w:val="22"/>
                <w:szCs w:val="22"/>
              </w:rPr>
            </w:r>
            <w:r>
              <w:rPr>
                <w:b/>
                <w:color w:val="000000"/>
              </w:rPr>
            </w:r>
            <w:r>
              <w:rPr>
                <w:b/>
                <w:color w:val="000000"/>
              </w:rPr>
            </w:r>
          </w:p>
          <w:p>
            <w:pPr>
              <w:pStyle w:val="1135"/>
              <w:rPr>
                <w:b/>
                <w:color w:val="000000"/>
              </w:rPr>
              <w:framePr w:hSpace="180" w:wrap="around" w:vAnchor="text" w:hAnchor="margin" w:xAlign="center" w:y="56"/>
            </w:pPr>
            <w:r>
              <w:rPr>
                <w:b/>
                <w:color w:val="000000"/>
                <w:sz w:val="22"/>
                <w:szCs w:val="22"/>
              </w:rPr>
              <w:t xml:space="preserve">ССП-владелец НД:</w:t>
            </w:r>
            <w:r>
              <w:rPr>
                <w:b/>
                <w:color w:val="000000"/>
              </w:rPr>
            </w:r>
            <w:r>
              <w:rPr>
                <w:b/>
                <w:color w:val="000000"/>
              </w:rPr>
            </w:r>
          </w:p>
          <w:p>
            <w:pPr>
              <w:pStyle w:val="1135"/>
              <w:rPr>
                <w:b/>
                <w:color w:val="000000"/>
              </w:rPr>
              <w:framePr w:hSpace="180" w:wrap="around" w:vAnchor="text" w:hAnchor="margin" w:xAlign="center" w:y="56"/>
            </w:pPr>
            <w:r>
              <w:rPr>
                <w:b/>
                <w:color w:val="000000"/>
                <w:sz w:val="22"/>
                <w:szCs w:val="22"/>
              </w:rPr>
            </w:r>
            <w:r>
              <w:rPr>
                <w:b/>
                <w:color w:val="000000"/>
              </w:rPr>
            </w:r>
            <w:r>
              <w:rPr>
                <w:b/>
                <w:color w:val="000000"/>
              </w:rPr>
            </w:r>
          </w:p>
        </w:tc>
        <w:tc>
          <w:tcPr>
            <w:tcBorders>
              <w:top w:val="single" w:color="000000" w:sz="4" w:space="0"/>
              <w:left w:val="single" w:color="000000" w:sz="4" w:space="0"/>
              <w:bottom w:val="single" w:color="000000" w:sz="4" w:space="0"/>
              <w:right w:val="single" w:color="000000" w:sz="4" w:space="0"/>
            </w:tcBorders>
            <w:tcW w:w="2989" w:type="pct"/>
            <w:vAlign w:val="center"/>
            <w:textDirection w:val="lrTb"/>
            <w:noWrap w:val="false"/>
          </w:tcPr>
          <w:p>
            <w:pPr>
              <w:pStyle w:val="1135"/>
              <w:jc w:val="both"/>
              <w:rPr>
                <w:color w:val="000000"/>
              </w:rPr>
              <w:framePr w:hSpace="180" w:wrap="around" w:vAnchor="text" w:hAnchor="margin" w:xAlign="center" w:y="56"/>
            </w:pPr>
            <w:r>
              <w:rPr>
                <w:color w:val="000000"/>
                <w:sz w:val="22"/>
                <w:szCs w:val="22"/>
              </w:rPr>
            </w:r>
            <w:r>
              <w:rPr>
                <w:rFonts w:ascii="Times New Roman" w:hAnsi="Times New Roman" w:eastAsia="Times New Roman" w:cs="Times New Roman"/>
                <w:color w:val="000000"/>
                <w:sz w:val="22"/>
                <w:szCs w:val="22"/>
                <w:lang w:eastAsia="en-US"/>
              </w:rPr>
              <w:t xml:space="preserve">Департамент транзакционного бизнеса (ДТБ)</w:t>
            </w:r>
            <w:r>
              <w:rPr>
                <w:color w:val="000000"/>
              </w:rPr>
            </w:r>
            <w:r>
              <w:rPr>
                <w:color w:val="000000"/>
              </w:rPr>
            </w:r>
          </w:p>
        </w:tc>
      </w:tr>
      <w:tr>
        <w:tblPrEx/>
        <w:trPr>
          <w:trHeight w:val="430"/>
        </w:trPr>
        <w:tc>
          <w:tcPr>
            <w:tcBorders>
              <w:top w:val="single" w:color="000000" w:sz="4" w:space="0"/>
              <w:left w:val="single" w:color="000000" w:sz="4" w:space="0"/>
              <w:bottom w:val="single" w:color="000000" w:sz="4" w:space="0"/>
              <w:right w:val="single" w:color="000000" w:sz="4" w:space="0"/>
            </w:tcBorders>
            <w:tcW w:w="2011" w:type="pct"/>
            <w:vAlign w:val="center"/>
            <w:textDirection w:val="lrTb"/>
            <w:noWrap w:val="false"/>
          </w:tcPr>
          <w:p>
            <w:pPr>
              <w:pStyle w:val="1135"/>
              <w:rPr>
                <w:b/>
                <w:color w:val="000000"/>
              </w:rPr>
              <w:framePr w:hSpace="180" w:wrap="around" w:vAnchor="text" w:hAnchor="margin" w:xAlign="center" w:y="56"/>
            </w:pPr>
            <w:r>
              <w:rPr>
                <w:b/>
                <w:color w:val="000000"/>
                <w:sz w:val="22"/>
                <w:szCs w:val="22"/>
              </w:rPr>
            </w:r>
            <w:r>
              <w:rPr>
                <w:b/>
                <w:color w:val="000000"/>
              </w:rPr>
            </w:r>
            <w:r>
              <w:rPr>
                <w:b/>
                <w:color w:val="000000"/>
              </w:rPr>
            </w:r>
          </w:p>
          <w:p>
            <w:pPr>
              <w:pStyle w:val="1135"/>
              <w:rPr>
                <w:b/>
                <w:color w:val="000000"/>
              </w:rPr>
              <w:framePr w:hSpace="180" w:wrap="around" w:vAnchor="text" w:hAnchor="margin" w:xAlign="center" w:y="56"/>
            </w:pPr>
            <w:r>
              <w:rPr>
                <w:b/>
                <w:color w:val="000000"/>
                <w:sz w:val="22"/>
                <w:szCs w:val="22"/>
              </w:rPr>
              <w:t xml:space="preserve">Код и наименование процесса(ов):</w:t>
            </w:r>
            <w:r>
              <w:rPr>
                <w:b/>
                <w:color w:val="000000"/>
              </w:rPr>
            </w:r>
            <w:r>
              <w:rPr>
                <w:b/>
                <w:color w:val="000000"/>
              </w:rPr>
            </w:r>
          </w:p>
          <w:p>
            <w:pPr>
              <w:pStyle w:val="1135"/>
              <w:rPr>
                <w:b/>
                <w:color w:val="000000"/>
              </w:rPr>
              <w:framePr w:hSpace="180" w:wrap="around" w:vAnchor="text" w:hAnchor="margin" w:xAlign="center" w:y="56"/>
            </w:pPr>
            <w:r>
              <w:rPr>
                <w:b/>
                <w:color w:val="000000"/>
                <w:sz w:val="22"/>
                <w:szCs w:val="22"/>
              </w:rPr>
            </w:r>
            <w:r>
              <w:rPr>
                <w:b/>
                <w:color w:val="000000"/>
              </w:rPr>
            </w:r>
            <w:r>
              <w:rPr>
                <w:b/>
                <w:color w:val="000000"/>
              </w:rPr>
            </w:r>
          </w:p>
        </w:tc>
        <w:tc>
          <w:tcPr>
            <w:tcBorders>
              <w:top w:val="single" w:color="000000" w:sz="4" w:space="0"/>
              <w:left w:val="single" w:color="000000" w:sz="4" w:space="0"/>
              <w:bottom w:val="single" w:color="000000" w:sz="4" w:space="0"/>
              <w:right w:val="single" w:color="000000" w:sz="4" w:space="0"/>
            </w:tcBorders>
            <w:tcW w:w="2989" w:type="pct"/>
            <w:vAlign w:val="center"/>
            <w:textDirection w:val="lrTb"/>
            <w:noWrap w:val="false"/>
          </w:tcPr>
          <w:p>
            <w:pPr>
              <w:pStyle w:val="1135"/>
              <w:jc w:val="both"/>
              <w:rPr>
                <w:color w:val="000000"/>
              </w:rPr>
              <w:framePr w:hSpace="180" w:wrap="around" w:vAnchor="text" w:hAnchor="margin" w:xAlign="center" w:y="56"/>
            </w:pPr>
            <w:r>
              <w:rPr>
                <w:color w:val="000000"/>
                <w:sz w:val="22"/>
                <w:szCs w:val="22"/>
              </w:rPr>
              <w:t xml:space="preserve">II.27.00.6.Ю/23 Разработка, модификация и упразднение продуктов и услуг</w:t>
            </w:r>
            <w:r>
              <w:rPr>
                <w:color w:val="000000"/>
              </w:rPr>
            </w:r>
            <w:r>
              <w:rPr>
                <w:color w:val="000000"/>
              </w:rPr>
            </w:r>
          </w:p>
        </w:tc>
      </w:tr>
      <w:tr>
        <w:tblPrEx/>
        <w:trPr>
          <w:trHeight w:val="254"/>
        </w:trPr>
        <w:tc>
          <w:tcPr>
            <w:tcBorders>
              <w:top w:val="single" w:color="000000" w:sz="4" w:space="0"/>
              <w:left w:val="single" w:color="000000" w:sz="4" w:space="0"/>
              <w:bottom w:val="single" w:color="000000" w:sz="4" w:space="0"/>
              <w:right w:val="single" w:color="000000" w:sz="4" w:space="0"/>
            </w:tcBorders>
            <w:tcW w:w="2011" w:type="pct"/>
            <w:vAlign w:val="center"/>
            <w:textDirection w:val="lrTb"/>
            <w:noWrap w:val="false"/>
          </w:tcPr>
          <w:p>
            <w:pPr>
              <w:pStyle w:val="1135"/>
              <w:rPr>
                <w:b/>
                <w:color w:val="000000"/>
              </w:rPr>
              <w:framePr w:hSpace="180" w:wrap="around" w:vAnchor="text" w:hAnchor="margin" w:xAlign="center" w:y="56"/>
            </w:pPr>
            <w:r>
              <w:rPr>
                <w:b/>
                <w:color w:val="000000"/>
                <w:sz w:val="22"/>
                <w:szCs w:val="22"/>
              </w:rPr>
            </w:r>
            <w:r>
              <w:rPr>
                <w:b/>
                <w:color w:val="000000"/>
              </w:rPr>
            </w:r>
            <w:r>
              <w:rPr>
                <w:b/>
                <w:color w:val="000000"/>
              </w:rPr>
            </w:r>
          </w:p>
          <w:p>
            <w:pPr>
              <w:pStyle w:val="1135"/>
              <w:rPr>
                <w:b/>
                <w:color w:val="000000"/>
              </w:rPr>
              <w:framePr w:hSpace="180" w:wrap="around" w:vAnchor="text" w:hAnchor="margin" w:xAlign="center" w:y="56"/>
            </w:pPr>
            <w:r>
              <w:rPr>
                <w:b/>
                <w:color w:val="000000"/>
                <w:sz w:val="22"/>
                <w:szCs w:val="22"/>
              </w:rPr>
              <w:t xml:space="preserve">Код нормативного документа:</w:t>
            </w:r>
            <w:r>
              <w:rPr>
                <w:b/>
                <w:color w:val="000000"/>
              </w:rPr>
            </w:r>
            <w:r>
              <w:rPr>
                <w:b/>
                <w:color w:val="000000"/>
              </w:rPr>
            </w:r>
          </w:p>
          <w:p>
            <w:pPr>
              <w:pStyle w:val="1135"/>
              <w:rPr>
                <w:b/>
                <w:color w:val="000000"/>
              </w:rPr>
              <w:framePr w:hSpace="180" w:wrap="around" w:vAnchor="text" w:hAnchor="margin" w:xAlign="center" w:y="56"/>
            </w:pPr>
            <w:r>
              <w:rPr>
                <w:b/>
                <w:color w:val="000000"/>
                <w:sz w:val="22"/>
                <w:szCs w:val="22"/>
              </w:rPr>
            </w:r>
            <w:r>
              <w:rPr>
                <w:b/>
                <w:color w:val="000000"/>
              </w:rPr>
            </w:r>
            <w:r>
              <w:rPr>
                <w:b/>
                <w:color w:val="000000"/>
              </w:rPr>
            </w:r>
          </w:p>
        </w:tc>
        <w:tc>
          <w:tcPr>
            <w:tcBorders>
              <w:top w:val="single" w:color="000000" w:sz="4" w:space="0"/>
              <w:left w:val="single" w:color="000000" w:sz="4" w:space="0"/>
              <w:bottom w:val="single" w:color="000000" w:sz="4" w:space="0"/>
              <w:right w:val="single" w:color="000000" w:sz="4" w:space="0"/>
            </w:tcBorders>
            <w:tcW w:w="2989" w:type="pct"/>
            <w:vAlign w:val="center"/>
            <w:textDirection w:val="lrTb"/>
            <w:noWrap w:val="false"/>
          </w:tcPr>
          <w:p>
            <w:pPr>
              <w:pStyle w:val="1135"/>
              <w:jc w:val="both"/>
              <w:rPr>
                <w:color w:val="000000"/>
              </w:rPr>
              <w:framePr w:hSpace="180" w:wrap="around" w:vAnchor="text" w:hAnchor="margin" w:xAlign="center" w:y="56"/>
            </w:pPr>
            <w:r>
              <w:rPr>
                <w:color w:val="000000"/>
                <w:sz w:val="22"/>
                <w:szCs w:val="22"/>
              </w:rPr>
              <w:t xml:space="preserve">1-13/04</w:t>
            </w:r>
            <w:r>
              <w:rPr>
                <w:color w:val="000000"/>
              </w:rPr>
            </w:r>
            <w:r>
              <w:rPr>
                <w:color w:val="000000"/>
              </w:rPr>
            </w:r>
          </w:p>
        </w:tc>
      </w:tr>
      <w:tr>
        <w:tblPrEx/>
        <w:trPr>
          <w:trHeight w:val="546"/>
        </w:trPr>
        <w:tc>
          <w:tcPr>
            <w:tcBorders>
              <w:top w:val="single" w:color="000000" w:sz="4" w:space="0"/>
              <w:left w:val="single" w:color="000000" w:sz="4" w:space="0"/>
              <w:bottom w:val="single" w:color="000000" w:sz="4" w:space="0"/>
              <w:right w:val="single" w:color="000000" w:sz="4" w:space="0"/>
            </w:tcBorders>
            <w:tcW w:w="2011" w:type="pct"/>
            <w:vAlign w:val="center"/>
            <w:textDirection w:val="lrTb"/>
            <w:noWrap w:val="false"/>
          </w:tcPr>
          <w:p>
            <w:pPr>
              <w:pStyle w:val="1135"/>
              <w:rPr>
                <w:b/>
                <w:color w:val="000000"/>
              </w:rPr>
              <w:framePr w:hSpace="180" w:wrap="around" w:vAnchor="text" w:hAnchor="margin" w:xAlign="center" w:y="56"/>
            </w:pPr>
            <w:r>
              <w:rPr>
                <w:b/>
                <w:color w:val="000000"/>
                <w:sz w:val="22"/>
                <w:szCs w:val="22"/>
              </w:rPr>
            </w:r>
            <w:r>
              <w:rPr>
                <w:b/>
                <w:color w:val="000000"/>
              </w:rPr>
            </w:r>
            <w:r>
              <w:rPr>
                <w:b/>
                <w:color w:val="000000"/>
              </w:rPr>
            </w:r>
          </w:p>
          <w:p>
            <w:pPr>
              <w:pStyle w:val="1135"/>
              <w:rPr>
                <w:b/>
                <w:color w:val="000000"/>
              </w:rPr>
              <w:framePr w:hSpace="180" w:wrap="around" w:vAnchor="text" w:hAnchor="margin" w:xAlign="center" w:y="56"/>
            </w:pPr>
            <w:r>
              <w:rPr>
                <w:b/>
                <w:color w:val="000000"/>
                <w:sz w:val="22"/>
                <w:szCs w:val="22"/>
              </w:rPr>
              <w:t xml:space="preserve">Номер версии:</w:t>
            </w:r>
            <w:r>
              <w:rPr>
                <w:b/>
                <w:color w:val="000000"/>
              </w:rPr>
            </w:r>
            <w:r>
              <w:rPr>
                <w:b/>
                <w:color w:val="000000"/>
              </w:rPr>
            </w:r>
          </w:p>
          <w:p>
            <w:pPr>
              <w:pStyle w:val="1135"/>
              <w:rPr>
                <w:b/>
                <w:color w:val="000000"/>
              </w:rPr>
              <w:framePr w:hSpace="180" w:wrap="around" w:vAnchor="text" w:hAnchor="margin" w:xAlign="center" w:y="56"/>
            </w:pPr>
            <w:r>
              <w:rPr>
                <w:b/>
                <w:color w:val="000000"/>
                <w:sz w:val="22"/>
                <w:szCs w:val="22"/>
              </w:rPr>
            </w:r>
            <w:r>
              <w:rPr>
                <w:b/>
                <w:color w:val="000000"/>
              </w:rPr>
            </w:r>
            <w:r>
              <w:rPr>
                <w:b/>
                <w:color w:val="000000"/>
              </w:rPr>
            </w:r>
          </w:p>
        </w:tc>
        <w:tc>
          <w:tcPr>
            <w:tcBorders>
              <w:top w:val="single" w:color="000000" w:sz="4" w:space="0"/>
              <w:left w:val="single" w:color="000000" w:sz="4" w:space="0"/>
              <w:bottom w:val="single" w:color="000000" w:sz="4" w:space="0"/>
              <w:right w:val="single" w:color="000000" w:sz="4" w:space="0"/>
            </w:tcBorders>
            <w:tcW w:w="2989" w:type="pct"/>
            <w:vAlign w:val="center"/>
            <w:textDirection w:val="lrTb"/>
            <w:noWrap w:val="false"/>
          </w:tcPr>
          <w:p>
            <w:pPr>
              <w:pStyle w:val="1135"/>
              <w:jc w:val="both"/>
              <w:rPr>
                <w:color w:val="000000"/>
              </w:rPr>
              <w:framePr w:hSpace="180" w:wrap="around" w:vAnchor="text" w:hAnchor="margin" w:xAlign="center" w:y="56"/>
            </w:pPr>
            <w:r>
              <w:rPr>
                <w:color w:val="000000"/>
                <w:sz w:val="22"/>
                <w:szCs w:val="22"/>
              </w:rPr>
              <w:t xml:space="preserve">01</w:t>
            </w:r>
            <w:r>
              <w:rPr>
                <w:color w:val="000000"/>
              </w:rPr>
            </w:r>
            <w:r>
              <w:rPr>
                <w:color w:val="000000"/>
              </w:rPr>
            </w:r>
          </w:p>
        </w:tc>
      </w:tr>
      <w:tr>
        <w:tblPrEx/>
        <w:trPr>
          <w:trHeight w:val="460"/>
        </w:trPr>
        <w:tc>
          <w:tcPr>
            <w:tcBorders>
              <w:top w:val="single" w:color="000000" w:sz="4" w:space="0"/>
              <w:left w:val="single" w:color="000000" w:sz="4" w:space="0"/>
              <w:bottom w:val="single" w:color="000000" w:sz="4" w:space="0"/>
              <w:right w:val="single" w:color="000000" w:sz="4" w:space="0"/>
            </w:tcBorders>
            <w:tcW w:w="2011" w:type="pct"/>
            <w:vAlign w:val="center"/>
            <w:textDirection w:val="lrTb"/>
            <w:noWrap w:val="false"/>
          </w:tcPr>
          <w:p>
            <w:pPr>
              <w:pStyle w:val="1135"/>
              <w:rPr>
                <w:b/>
                <w:color w:val="000000"/>
              </w:rPr>
              <w:framePr w:hSpace="180" w:wrap="around" w:vAnchor="text" w:hAnchor="margin" w:xAlign="center" w:y="56"/>
            </w:pPr>
            <w:r>
              <w:rPr>
                <w:b/>
                <w:color w:val="000000"/>
                <w:sz w:val="22"/>
                <w:szCs w:val="22"/>
              </w:rPr>
            </w:r>
            <w:r>
              <w:rPr>
                <w:b/>
                <w:color w:val="000000"/>
              </w:rPr>
            </w:r>
            <w:r>
              <w:rPr>
                <w:b/>
                <w:color w:val="000000"/>
              </w:rPr>
            </w:r>
          </w:p>
          <w:p>
            <w:pPr>
              <w:pStyle w:val="1135"/>
              <w:rPr>
                <w:b/>
                <w:color w:val="000000"/>
              </w:rPr>
              <w:framePr w:hSpace="180" w:wrap="around" w:vAnchor="text" w:hAnchor="margin" w:xAlign="center" w:y="56"/>
            </w:pPr>
            <w:r>
              <w:rPr>
                <w:b/>
                <w:color w:val="000000"/>
                <w:sz w:val="22"/>
                <w:szCs w:val="22"/>
              </w:rPr>
              <w:t xml:space="preserve">Область применения:</w:t>
            </w:r>
            <w:r>
              <w:rPr>
                <w:b/>
                <w:color w:val="000000"/>
              </w:rPr>
            </w:r>
            <w:r>
              <w:rPr>
                <w:b/>
                <w:color w:val="000000"/>
              </w:rPr>
            </w:r>
          </w:p>
          <w:p>
            <w:pPr>
              <w:pStyle w:val="1135"/>
              <w:rPr>
                <w:b/>
                <w:color w:val="000000"/>
              </w:rPr>
              <w:framePr w:hSpace="180" w:wrap="around" w:vAnchor="text" w:hAnchor="margin" w:xAlign="center" w:y="56"/>
            </w:pPr>
            <w:r>
              <w:rPr>
                <w:b/>
                <w:color w:val="000000"/>
                <w:sz w:val="22"/>
                <w:szCs w:val="22"/>
              </w:rPr>
            </w:r>
            <w:r>
              <w:rPr>
                <w:b/>
                <w:color w:val="000000"/>
              </w:rPr>
            </w:r>
            <w:r>
              <w:rPr>
                <w:b/>
                <w:color w:val="000000"/>
              </w:rPr>
            </w:r>
          </w:p>
        </w:tc>
        <w:tc>
          <w:tcPr>
            <w:tcBorders>
              <w:top w:val="single" w:color="000000" w:sz="4" w:space="0"/>
              <w:left w:val="single" w:color="000000" w:sz="4" w:space="0"/>
              <w:bottom w:val="single" w:color="000000" w:sz="4" w:space="0"/>
              <w:right w:val="single" w:color="000000" w:sz="4" w:space="0"/>
            </w:tcBorders>
            <w:tcW w:w="2989" w:type="pct"/>
            <w:vAlign w:val="center"/>
            <w:textDirection w:val="lrTb"/>
            <w:noWrap w:val="false"/>
          </w:tcPr>
          <w:p>
            <w:pPr>
              <w:pStyle w:val="1135"/>
              <w:jc w:val="both"/>
              <w:rPr>
                <w:color w:val="000000"/>
              </w:rPr>
              <w:framePr w:hSpace="180" w:wrap="around" w:vAnchor="text" w:hAnchor="margin" w:xAlign="center" w:y="56"/>
            </w:pPr>
            <w:r>
              <w:rPr>
                <w:sz w:val="22"/>
                <w:szCs w:val="22"/>
              </w:rPr>
              <w:t xml:space="preserve">ГО/ВСП ГО/РФ/ВСП РФ</w:t>
            </w:r>
            <w:r>
              <w:rPr>
                <w:color w:val="000000"/>
              </w:rPr>
            </w:r>
            <w:r>
              <w:rPr>
                <w:color w:val="000000"/>
              </w:rPr>
            </w:r>
          </w:p>
        </w:tc>
      </w:tr>
    </w:tbl>
    <w:p>
      <w:pPr>
        <w:pStyle w:val="1135"/>
      </w:pPr>
      <w:r/>
      <w:r/>
    </w:p>
    <w:p>
      <w:pPr>
        <w:pStyle w:val="1157"/>
        <w:jc w:val="center"/>
        <w:rPr>
          <w:highlight w:val="none"/>
        </w:rPr>
      </w:pPr>
      <w:r>
        <w:rPr>
          <w:bCs/>
          <w:sz w:val="32"/>
          <w:szCs w:val="32"/>
        </w:rPr>
        <w:t xml:space="preserve">действуют</w:t>
      </w:r>
      <w:r>
        <w:rPr>
          <w:bCs/>
          <w:sz w:val="32"/>
          <w:szCs w:val="32"/>
        </w:rPr>
        <w:t xml:space="preserve"> </w:t>
      </w:r>
      <w:r>
        <w:rPr>
          <w:bCs/>
          <w:sz w:val="32"/>
          <w:szCs w:val="32"/>
        </w:rPr>
        <w:t xml:space="preserve">с</w:t>
      </w:r>
      <w:r>
        <w:rPr>
          <w:bCs/>
          <w:sz w:val="32"/>
          <w:szCs w:val="32"/>
        </w:rPr>
        <w:t xml:space="preserve"> 20</w:t>
      </w:r>
      <w:r>
        <w:rPr>
          <w:bCs/>
          <w:sz w:val="32"/>
          <w:szCs w:val="32"/>
        </w:rPr>
        <w:t xml:space="preserve">.12</w:t>
      </w:r>
      <w:r>
        <w:rPr>
          <w:bCs/>
          <w:sz w:val="32"/>
          <w:szCs w:val="32"/>
        </w:rPr>
        <w:t xml:space="preserve">.</w:t>
      </w:r>
      <w:r>
        <w:rPr>
          <w:bCs/>
          <w:sz w:val="32"/>
          <w:szCs w:val="32"/>
        </w:rPr>
        <w:t xml:space="preserve">20</w:t>
      </w:r>
      <w:r>
        <w:rPr>
          <w:bCs/>
          <w:sz w:val="32"/>
          <w:szCs w:val="32"/>
        </w:rPr>
        <w:t xml:space="preserve">2</w:t>
      </w:r>
      <w:r>
        <w:rPr>
          <w:bCs/>
          <w:sz w:val="32"/>
          <w:szCs w:val="32"/>
          <w:lang w:val="en-US"/>
        </w:rPr>
        <w:t xml:space="preserve">5</w:t>
      </w:r>
      <w:r>
        <w:rPr>
          <w:highlight w:val="none"/>
        </w:rPr>
      </w:r>
      <w:r>
        <w:rPr>
          <w:highlight w:val="none"/>
        </w:rPr>
      </w:r>
    </w:p>
    <w:p>
      <w:pPr>
        <w:pStyle w:val="1157"/>
        <w:jc w:val="center"/>
        <w:rPr>
          <w:highlight w:val="none"/>
        </w:rPr>
      </w:pPr>
      <w:r>
        <w:rPr>
          <w:highlight w:val="none"/>
        </w:rPr>
      </w:r>
      <w:r>
        <w:rPr>
          <w:highlight w:val="none"/>
        </w:rPr>
      </w:r>
      <w:r>
        <w:rPr>
          <w:highlight w:val="none"/>
        </w:rPr>
      </w:r>
    </w:p>
    <w:p>
      <w:pPr>
        <w:pStyle w:val="1135"/>
        <w:jc w:val="center"/>
      </w:pPr>
      <w:r>
        <mc:AlternateContent>
          <mc:Choice Requires="wpg">
            <w:drawing>
              <wp:inline xmlns:wp="http://schemas.openxmlformats.org/drawingml/2006/wordprocessingDrawing" distT="0" distB="0" distL="0" distR="0">
                <wp:extent cx="1790497" cy="1218368"/>
                <wp:effectExtent l="0" t="0" r="0" b="0"/>
                <wp:docPr id="1" name="_x0000_i1026"/>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1"/>
                        <a:stretch/>
                      </pic:blipFill>
                      <pic:spPr bwMode="auto">
                        <a:xfrm>
                          <a:off x="0" y="0"/>
                          <a:ext cx="1790497" cy="1218368"/>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140.98pt;height:95.93pt;mso-wrap-distance-left:0.00pt;mso-wrap-distance-top:0.00pt;mso-wrap-distance-right:0.00pt;mso-wrap-distance-bottom:0.00pt;" stroked="f">
                <v:path textboxrect="0,0,0,0"/>
                <v:imagedata r:id="rId11" o:title=""/>
              </v:shape>
            </w:pict>
          </mc:Fallback>
        </mc:AlternateContent>
      </w:r>
      <w:r/>
    </w:p>
    <w:p>
      <w:pPr>
        <w:pStyle w:val="1135"/>
        <w:rPr>
          <w:b/>
          <w:caps/>
          <w:sz w:val="22"/>
          <w:szCs w:val="22"/>
        </w:rPr>
      </w:pPr>
      <w:r>
        <w:br w:type="page" w:clear="all"/>
      </w:r>
      <w:r>
        <w:rPr>
          <w:b/>
          <w:caps/>
          <w:sz w:val="22"/>
          <w:szCs w:val="22"/>
        </w:rPr>
        <w:t xml:space="preserve">Содержание:</w:t>
      </w:r>
      <w:r>
        <w:rPr>
          <w:b/>
          <w:caps/>
          <w:sz w:val="22"/>
          <w:szCs w:val="22"/>
        </w:rPr>
      </w:r>
      <w:r>
        <w:rPr>
          <w:b/>
          <w:caps/>
          <w:sz w:val="22"/>
          <w:szCs w:val="22"/>
        </w:rPr>
      </w:r>
    </w:p>
    <w:p>
      <w:pPr>
        <w:pStyle w:val="1135"/>
      </w:pPr>
      <w:r/>
      <w:r/>
    </w:p>
    <w:p>
      <w:pPr>
        <w:pStyle w:val="1159"/>
        <w:ind w:left="0" w:right="-283" w:firstLine="0"/>
        <w:jc w:val="both"/>
        <w:rPr>
          <w:rStyle w:val="1172"/>
          <w:color w:val="000000"/>
          <w:szCs w:val="22"/>
          <w:u w:val="none"/>
        </w:rPr>
      </w:pPr>
      <w:r>
        <w:rPr>
          <w:rStyle w:val="1172"/>
          <w:color w:val="000000"/>
          <w:szCs w:val="22"/>
          <w:u w:val="none"/>
        </w:rPr>
        <w:fldChar w:fldCharType="begin"/>
      </w:r>
      <w:r>
        <w:rPr>
          <w:rStyle w:val="1172"/>
          <w:color w:val="000000"/>
          <w:szCs w:val="22"/>
          <w:u w:val="none"/>
        </w:rPr>
        <w:instrText xml:space="preserve"> TOC \h \z \u \t "Заголовок 4;1" </w:instrText>
      </w:r>
      <w:r>
        <w:rPr>
          <w:rStyle w:val="1172"/>
          <w:color w:val="000000"/>
          <w:szCs w:val="22"/>
          <w:u w:val="none"/>
        </w:rPr>
        <w:fldChar w:fldCharType="separate"/>
        <w:fldChar w:fldCharType="begin"/>
      </w:r>
      <w:r>
        <w:rPr>
          <w:rStyle w:val="1172"/>
          <w:color w:val="000000"/>
          <w:szCs w:val="22"/>
          <w:u w:val="none"/>
        </w:rPr>
        <w:instrText xml:space="preserve"> HYPERLINK \l "_Toc422929470" </w:instrText>
      </w:r>
      <w:r>
        <w:rPr>
          <w:rStyle w:val="1172"/>
          <w:color w:val="000000"/>
          <w:szCs w:val="22"/>
          <w:u w:val="none"/>
        </w:rPr>
        <w:fldChar w:fldCharType="separate"/>
      </w:r>
      <w:r>
        <w:rPr>
          <w:rStyle w:val="1172"/>
          <w:color w:val="000000"/>
          <w:szCs w:val="22"/>
          <w:u w:val="none"/>
        </w:rPr>
        <w:t xml:space="preserve">1. От</w:t>
      </w:r>
      <w:bookmarkStart w:id="0" w:name="_Hlt171939938"/>
      <w:r/>
      <w:bookmarkStart w:id="1" w:name="_Hlt171939939"/>
      <w:r>
        <w:rPr>
          <w:rStyle w:val="1172"/>
          <w:color w:val="000000"/>
          <w:szCs w:val="22"/>
          <w:u w:val="none"/>
        </w:rPr>
        <w:t xml:space="preserve">к</w:t>
      </w:r>
      <w:bookmarkEnd w:id="0"/>
      <w:r/>
      <w:bookmarkEnd w:id="1"/>
      <w:r>
        <w:rPr>
          <w:rStyle w:val="1172"/>
          <w:color w:val="000000"/>
          <w:szCs w:val="22"/>
          <w:u w:val="none"/>
        </w:rPr>
        <w:t xml:space="preserve">ры</w:t>
      </w:r>
      <w:bookmarkStart w:id="2" w:name="_Hlt137563977"/>
      <w:r/>
      <w:bookmarkStart w:id="3" w:name="_Hlt137563978"/>
      <w:r>
        <w:rPr>
          <w:rStyle w:val="1172"/>
          <w:color w:val="000000"/>
          <w:szCs w:val="22"/>
          <w:u w:val="none"/>
        </w:rPr>
        <w:t xml:space="preserve">т</w:t>
      </w:r>
      <w:bookmarkEnd w:id="2"/>
      <w:r/>
      <w:bookmarkEnd w:id="3"/>
      <w:r>
        <w:rPr>
          <w:rStyle w:val="1172"/>
          <w:color w:val="000000"/>
          <w:szCs w:val="22"/>
          <w:u w:val="none"/>
        </w:rPr>
        <w:t xml:space="preserve">и</w:t>
      </w:r>
      <w:bookmarkStart w:id="4" w:name="_Hlt74313457"/>
      <w:r/>
      <w:bookmarkStart w:id="5" w:name="_Hlt74313458"/>
      <w:r>
        <w:rPr>
          <w:rStyle w:val="1172"/>
          <w:color w:val="000000"/>
          <w:szCs w:val="22"/>
          <w:u w:val="none"/>
        </w:rPr>
        <w:t xml:space="preserve">е</w:t>
      </w:r>
      <w:bookmarkEnd w:id="4"/>
      <w:r/>
      <w:bookmarkEnd w:id="5"/>
      <w:r>
        <w:rPr>
          <w:rStyle w:val="1172"/>
          <w:color w:val="000000"/>
          <w:szCs w:val="22"/>
          <w:u w:val="none"/>
        </w:rPr>
        <w:t xml:space="preserve"> и</w:t>
      </w:r>
      <w:bookmarkStart w:id="6" w:name="_Hlt173927892"/>
      <w:r/>
      <w:bookmarkStart w:id="7" w:name="_Hlt173927893"/>
      <w:r>
        <w:rPr>
          <w:rStyle w:val="1172"/>
          <w:color w:val="000000"/>
          <w:szCs w:val="22"/>
          <w:u w:val="none"/>
        </w:rPr>
        <w:t xml:space="preserve"> </w:t>
      </w:r>
      <w:bookmarkEnd w:id="6"/>
      <w:r/>
      <w:bookmarkEnd w:id="7"/>
      <w:r>
        <w:rPr>
          <w:rStyle w:val="1172"/>
          <w:color w:val="000000"/>
          <w:szCs w:val="22"/>
          <w:u w:val="none"/>
        </w:rPr>
        <w:t xml:space="preserve">ведение сч</w:t>
      </w:r>
      <w:bookmarkStart w:id="8" w:name="_Hlt137563981"/>
      <w:r>
        <w:rPr>
          <w:rStyle w:val="1172"/>
          <w:color w:val="000000"/>
          <w:szCs w:val="22"/>
          <w:u w:val="none"/>
        </w:rPr>
        <w:t xml:space="preserve">е</w:t>
      </w:r>
      <w:bookmarkEnd w:id="8"/>
      <w:r>
        <w:rPr>
          <w:rStyle w:val="1172"/>
          <w:color w:val="000000"/>
          <w:szCs w:val="22"/>
          <w:u w:val="none"/>
        </w:rPr>
        <w:t xml:space="preserve">тов</w:t>
      </w:r>
      <w:r>
        <w:rPr>
          <w:rStyle w:val="1172"/>
          <w:color w:val="000000"/>
          <w:szCs w:val="22"/>
          <w:u w:val="none"/>
        </w:rPr>
        <w:tab/>
      </w:r>
      <w:r>
        <w:rPr>
          <w:rStyle w:val="1172"/>
          <w:color w:val="000000"/>
          <w:szCs w:val="22"/>
          <w:u w:val="none"/>
        </w:rPr>
        <w:fldChar w:fldCharType="end"/>
      </w:r>
      <w:r>
        <w:rPr>
          <w:rStyle w:val="1172"/>
          <w:color w:val="000000"/>
          <w:szCs w:val="22"/>
          <w:u w:val="none"/>
        </w:rPr>
        <w:t xml:space="preserve">3</w:t>
      </w:r>
      <w:r>
        <w:rPr>
          <w:rStyle w:val="1172"/>
          <w:color w:val="000000"/>
          <w:szCs w:val="22"/>
          <w:u w:val="none"/>
        </w:rPr>
      </w:r>
      <w:r>
        <w:rPr>
          <w:rStyle w:val="1172"/>
          <w:color w:val="000000"/>
          <w:szCs w:val="22"/>
          <w:u w:val="none"/>
        </w:rPr>
      </w:r>
    </w:p>
    <w:p>
      <w:pPr>
        <w:pStyle w:val="1159"/>
        <w:ind w:left="0" w:right="-283" w:firstLine="0"/>
        <w:jc w:val="both"/>
        <w:rPr>
          <w:rStyle w:val="1172"/>
          <w:color w:val="000000"/>
          <w:szCs w:val="22"/>
          <w:u w:val="none"/>
        </w:rPr>
      </w:pPr>
      <w:r>
        <w:rPr>
          <w:rStyle w:val="1172"/>
          <w:color w:val="000000"/>
          <w:szCs w:val="22"/>
          <w:u w:val="none"/>
        </w:rPr>
        <w:fldChar w:fldCharType="begin"/>
      </w:r>
      <w:r>
        <w:rPr>
          <w:rStyle w:val="1172"/>
          <w:color w:val="000000"/>
          <w:szCs w:val="22"/>
          <w:u w:val="none"/>
        </w:rPr>
        <w:instrText xml:space="preserve"> HYPERLINK \l "_Toc422929471" </w:instrText>
      </w:r>
      <w:r>
        <w:rPr>
          <w:rStyle w:val="1172"/>
          <w:color w:val="000000"/>
          <w:szCs w:val="22"/>
          <w:u w:val="none"/>
        </w:rPr>
        <w:fldChar w:fldCharType="separate"/>
      </w:r>
      <w:r>
        <w:rPr>
          <w:rStyle w:val="1172"/>
          <w:color w:val="000000"/>
          <w:szCs w:val="22"/>
          <w:u w:val="none"/>
        </w:rPr>
        <w:t xml:space="preserve">2. Кассовы</w:t>
      </w:r>
      <w:bookmarkStart w:id="9" w:name="_Hlt138069558"/>
      <w:r/>
      <w:bookmarkStart w:id="10" w:name="_Hlt138069559"/>
      <w:r>
        <w:rPr>
          <w:rStyle w:val="1172"/>
          <w:color w:val="000000"/>
          <w:szCs w:val="22"/>
          <w:u w:val="none"/>
        </w:rPr>
        <w:t xml:space="preserve">е</w:t>
      </w:r>
      <w:bookmarkEnd w:id="9"/>
      <w:r/>
      <w:bookmarkEnd w:id="10"/>
      <w:r>
        <w:rPr>
          <w:rStyle w:val="1172"/>
          <w:color w:val="000000"/>
          <w:szCs w:val="22"/>
          <w:u w:val="none"/>
        </w:rPr>
        <w:t xml:space="preserve"> о</w:t>
      </w:r>
      <w:bookmarkStart w:id="11" w:name="_Hlt138069566"/>
      <w:r>
        <w:rPr>
          <w:rStyle w:val="1172"/>
          <w:color w:val="000000"/>
          <w:szCs w:val="22"/>
          <w:u w:val="none"/>
        </w:rPr>
        <w:t xml:space="preserve">п</w:t>
      </w:r>
      <w:bookmarkEnd w:id="11"/>
      <w:r>
        <w:rPr>
          <w:rStyle w:val="1172"/>
          <w:color w:val="000000"/>
          <w:szCs w:val="22"/>
          <w:u w:val="none"/>
        </w:rPr>
        <w:t xml:space="preserve">ераци</w:t>
      </w:r>
      <w:bookmarkStart w:id="12" w:name="_Hlt161234834"/>
      <w:r/>
      <w:bookmarkStart w:id="13" w:name="_Hlt161234835"/>
      <w:r>
        <w:rPr>
          <w:rStyle w:val="1172"/>
          <w:color w:val="000000"/>
          <w:szCs w:val="22"/>
          <w:u w:val="none"/>
        </w:rPr>
        <w:t xml:space="preserve">и</w:t>
      </w:r>
      <w:bookmarkEnd w:id="12"/>
      <w:r/>
      <w:bookmarkEnd w:id="13"/>
      <w:r/>
      <w:bookmarkStart w:id="14" w:name="_Hlt161234856"/>
      <w:r>
        <w:rPr>
          <w:rStyle w:val="1172"/>
          <w:color w:val="000000"/>
          <w:szCs w:val="22"/>
          <w:u w:val="none"/>
        </w:rPr>
        <w:tab/>
      </w:r>
      <w:bookmarkEnd w:id="14"/>
      <w:r>
        <w:rPr>
          <w:rStyle w:val="1172"/>
          <w:color w:val="000000"/>
          <w:szCs w:val="22"/>
          <w:u w:val="none"/>
        </w:rPr>
        <w:fldChar w:fldCharType="end"/>
      </w:r>
      <w:r>
        <w:rPr>
          <w:rStyle w:val="1172"/>
          <w:color w:val="000000"/>
          <w:szCs w:val="22"/>
          <w:u w:val="none"/>
        </w:rPr>
        <w:t xml:space="preserve">23</w:t>
      </w:r>
      <w:r>
        <w:rPr>
          <w:rStyle w:val="1172"/>
          <w:color w:val="000000"/>
          <w:szCs w:val="22"/>
          <w:u w:val="none"/>
        </w:rPr>
      </w:r>
      <w:r>
        <w:rPr>
          <w:rStyle w:val="1172"/>
          <w:color w:val="000000"/>
          <w:szCs w:val="22"/>
          <w:u w:val="none"/>
        </w:rPr>
      </w:r>
    </w:p>
    <w:p>
      <w:pPr>
        <w:pStyle w:val="1159"/>
        <w:ind w:left="0" w:right="-283" w:firstLine="0"/>
        <w:jc w:val="both"/>
        <w:rPr>
          <w:rStyle w:val="1172"/>
          <w:color w:val="000000"/>
          <w:szCs w:val="22"/>
          <w:u w:val="none"/>
        </w:rPr>
      </w:pPr>
      <w:r>
        <w:rPr>
          <w:rStyle w:val="1172"/>
          <w:color w:val="000000"/>
          <w:szCs w:val="22"/>
          <w:u w:val="none"/>
        </w:rPr>
        <w:fldChar w:fldCharType="begin"/>
      </w:r>
      <w:r>
        <w:rPr>
          <w:rStyle w:val="1172"/>
          <w:color w:val="000000"/>
          <w:szCs w:val="22"/>
          <w:u w:val="none"/>
        </w:rPr>
        <w:instrText xml:space="preserve"> HYPERLINK \l "_Toc422929472" </w:instrText>
      </w:r>
      <w:r>
        <w:rPr>
          <w:rStyle w:val="1172"/>
          <w:color w:val="000000"/>
          <w:szCs w:val="22"/>
          <w:u w:val="none"/>
        </w:rPr>
        <w:fldChar w:fldCharType="separate"/>
      </w:r>
      <w:r>
        <w:rPr>
          <w:rStyle w:val="1172"/>
          <w:color w:val="000000"/>
          <w:szCs w:val="22"/>
          <w:u w:val="none"/>
        </w:rPr>
        <w:t xml:space="preserve">3. Выполне</w:t>
      </w:r>
      <w:bookmarkStart w:id="15" w:name="_Hlt155790187"/>
      <w:r/>
      <w:bookmarkStart w:id="16" w:name="_Hlt155790188"/>
      <w:r>
        <w:rPr>
          <w:rStyle w:val="1172"/>
          <w:color w:val="000000"/>
          <w:szCs w:val="22"/>
          <w:u w:val="none"/>
        </w:rPr>
        <w:t xml:space="preserve">н</w:t>
      </w:r>
      <w:bookmarkEnd w:id="15"/>
      <w:r/>
      <w:bookmarkEnd w:id="16"/>
      <w:r>
        <w:rPr>
          <w:rStyle w:val="1172"/>
          <w:color w:val="000000"/>
          <w:szCs w:val="22"/>
          <w:u w:val="none"/>
        </w:rPr>
        <w:t xml:space="preserve">ие </w:t>
      </w:r>
      <w:bookmarkStart w:id="17" w:name="_Hlt47965546"/>
      <w:r/>
      <w:bookmarkStart w:id="18" w:name="_Hlt47966781"/>
      <w:r>
        <w:rPr>
          <w:rStyle w:val="1172"/>
          <w:color w:val="000000"/>
          <w:szCs w:val="22"/>
          <w:u w:val="none"/>
        </w:rPr>
        <w:t xml:space="preserve">ф</w:t>
      </w:r>
      <w:bookmarkEnd w:id="17"/>
      <w:r/>
      <w:bookmarkEnd w:id="18"/>
      <w:r/>
      <w:bookmarkStart w:id="19" w:name="_Hlt99630102"/>
      <w:r/>
      <w:bookmarkStart w:id="20" w:name="_Hlt102570046"/>
      <w:r>
        <w:rPr>
          <w:rStyle w:val="1172"/>
          <w:color w:val="000000"/>
          <w:szCs w:val="22"/>
          <w:u w:val="none"/>
        </w:rPr>
        <w:t xml:space="preserve">у</w:t>
      </w:r>
      <w:bookmarkEnd w:id="19"/>
      <w:r/>
      <w:bookmarkEnd w:id="20"/>
      <w:r>
        <w:rPr>
          <w:rStyle w:val="1172"/>
          <w:color w:val="000000"/>
          <w:szCs w:val="22"/>
          <w:u w:val="none"/>
        </w:rPr>
        <w:t xml:space="preserve">нкц</w:t>
      </w:r>
      <w:bookmarkStart w:id="21" w:name="_Hlt49524787"/>
      <w:r/>
      <w:bookmarkStart w:id="22" w:name="_Hlt49524788"/>
      <w:r>
        <w:rPr>
          <w:rStyle w:val="1172"/>
          <w:color w:val="000000"/>
          <w:szCs w:val="22"/>
          <w:u w:val="none"/>
        </w:rPr>
        <w:t xml:space="preserve">и</w:t>
      </w:r>
      <w:bookmarkEnd w:id="21"/>
      <w:r/>
      <w:bookmarkEnd w:id="22"/>
      <w:r>
        <w:rPr>
          <w:rStyle w:val="1172"/>
          <w:color w:val="000000"/>
          <w:szCs w:val="22"/>
          <w:u w:val="none"/>
        </w:rPr>
        <w:t xml:space="preserve">й аге</w:t>
      </w:r>
      <w:bookmarkStart w:id="23" w:name="_Hlt68169140"/>
      <w:r>
        <w:rPr>
          <w:rStyle w:val="1172"/>
          <w:color w:val="000000"/>
          <w:szCs w:val="22"/>
          <w:u w:val="none"/>
        </w:rPr>
        <w:t xml:space="preserve">н</w:t>
      </w:r>
      <w:bookmarkEnd w:id="23"/>
      <w:r>
        <w:rPr>
          <w:rStyle w:val="1172"/>
          <w:color w:val="000000"/>
          <w:szCs w:val="22"/>
          <w:u w:val="none"/>
        </w:rPr>
        <w:t xml:space="preserve">та валютного контр</w:t>
      </w:r>
      <w:bookmarkStart w:id="24" w:name="_Hlt161234886"/>
      <w:r>
        <w:rPr>
          <w:rStyle w:val="1172"/>
          <w:color w:val="000000"/>
          <w:szCs w:val="22"/>
          <w:u w:val="none"/>
        </w:rPr>
        <w:t xml:space="preserve">о</w:t>
      </w:r>
      <w:bookmarkEnd w:id="24"/>
      <w:r>
        <w:rPr>
          <w:rStyle w:val="1172"/>
          <w:color w:val="000000"/>
          <w:szCs w:val="22"/>
          <w:u w:val="none"/>
        </w:rPr>
        <w:t xml:space="preserve">ля</w:t>
      </w:r>
      <w:r>
        <w:rPr>
          <w:rStyle w:val="1172"/>
          <w:color w:val="000000"/>
          <w:szCs w:val="22"/>
          <w:u w:val="none"/>
        </w:rPr>
        <w:tab/>
      </w:r>
      <w:r>
        <w:rPr>
          <w:rStyle w:val="1172"/>
          <w:color w:val="000000"/>
          <w:szCs w:val="22"/>
          <w:u w:val="none"/>
        </w:rPr>
        <w:fldChar w:fldCharType="begin"/>
      </w:r>
      <w:r>
        <w:rPr>
          <w:rStyle w:val="1172"/>
          <w:color w:val="000000"/>
          <w:szCs w:val="22"/>
          <w:u w:val="none"/>
        </w:rPr>
        <w:instrText xml:space="preserve"> PAGEREF _Toc422929472 \h </w:instrText>
      </w:r>
      <w:r>
        <w:rPr>
          <w:rStyle w:val="1172"/>
          <w:color w:val="000000"/>
          <w:szCs w:val="22"/>
          <w:u w:val="none"/>
        </w:rPr>
        <w:fldChar w:fldCharType="separate"/>
      </w:r>
      <w:r>
        <w:rPr>
          <w:rStyle w:val="1172"/>
          <w:color w:val="000000"/>
          <w:szCs w:val="22"/>
          <w:u w:val="none"/>
        </w:rPr>
        <w:t xml:space="preserve">2</w:t>
      </w:r>
      <w:r>
        <w:rPr>
          <w:rStyle w:val="1172"/>
          <w:color w:val="000000"/>
          <w:szCs w:val="22"/>
          <w:u w:val="none"/>
        </w:rPr>
        <w:fldChar w:fldCharType="end"/>
      </w:r>
      <w:r>
        <w:rPr>
          <w:rStyle w:val="1172"/>
          <w:color w:val="000000"/>
          <w:szCs w:val="22"/>
          <w:u w:val="none"/>
        </w:rPr>
        <w:fldChar w:fldCharType="end"/>
      </w:r>
      <w:r>
        <w:rPr>
          <w:rStyle w:val="1172"/>
          <w:color w:val="000000"/>
          <w:szCs w:val="22"/>
          <w:u w:val="none"/>
        </w:rPr>
        <w:t xml:space="preserve">8</w:t>
      </w:r>
      <w:r>
        <w:rPr>
          <w:rStyle w:val="1172"/>
          <w:color w:val="000000"/>
          <w:szCs w:val="22"/>
          <w:u w:val="none"/>
        </w:rPr>
      </w:r>
      <w:r>
        <w:rPr>
          <w:rStyle w:val="1172"/>
          <w:color w:val="000000"/>
          <w:szCs w:val="22"/>
          <w:u w:val="none"/>
        </w:rPr>
      </w:r>
    </w:p>
    <w:p>
      <w:pPr>
        <w:pStyle w:val="1159"/>
        <w:ind w:left="0" w:right="-283" w:firstLine="0"/>
        <w:jc w:val="both"/>
        <w:rPr>
          <w:rStyle w:val="1172"/>
          <w:color w:val="000000"/>
          <w:szCs w:val="22"/>
          <w:u w:val="none"/>
        </w:rPr>
      </w:pPr>
      <w:r>
        <w:rPr>
          <w:rStyle w:val="1172"/>
          <w:color w:val="000000"/>
          <w:szCs w:val="22"/>
          <w:u w:val="none"/>
        </w:rPr>
        <w:fldChar w:fldCharType="begin"/>
      </w:r>
      <w:r>
        <w:rPr>
          <w:rStyle w:val="1172"/>
          <w:color w:val="000000"/>
          <w:szCs w:val="22"/>
          <w:u w:val="none"/>
        </w:rPr>
        <w:instrText xml:space="preserve"> HYPERLINK \l "_Toc422929473" </w:instrText>
      </w:r>
      <w:r>
        <w:rPr>
          <w:rStyle w:val="1172"/>
          <w:color w:val="000000"/>
          <w:szCs w:val="22"/>
          <w:u w:val="none"/>
        </w:rPr>
        <w:fldChar w:fldCharType="separate"/>
      </w:r>
      <w:r>
        <w:rPr>
          <w:rStyle w:val="1172"/>
          <w:color w:val="000000"/>
          <w:szCs w:val="22"/>
          <w:u w:val="none"/>
        </w:rPr>
        <w:t xml:space="preserve">4. Операции</w:t>
      </w:r>
      <w:bookmarkStart w:id="25" w:name="_Hlt105663471"/>
      <w:r>
        <w:rPr>
          <w:rStyle w:val="1172"/>
          <w:color w:val="000000"/>
          <w:szCs w:val="22"/>
          <w:u w:val="none"/>
        </w:rPr>
        <w:t xml:space="preserve"> </w:t>
      </w:r>
      <w:bookmarkEnd w:id="25"/>
      <w:r/>
      <w:bookmarkStart w:id="26" w:name="_Hlt47966791"/>
      <w:r/>
      <w:bookmarkStart w:id="27" w:name="_Hlt68169152"/>
      <w:r>
        <w:rPr>
          <w:rStyle w:val="1172"/>
          <w:color w:val="000000"/>
          <w:szCs w:val="22"/>
          <w:u w:val="none"/>
        </w:rPr>
        <w:t xml:space="preserve">с</w:t>
      </w:r>
      <w:bookmarkEnd w:id="26"/>
      <w:r/>
      <w:bookmarkEnd w:id="27"/>
      <w:r>
        <w:rPr>
          <w:rStyle w:val="1172"/>
          <w:color w:val="000000"/>
          <w:szCs w:val="22"/>
          <w:u w:val="none"/>
        </w:rPr>
        <w:t xml:space="preserve"> </w:t>
      </w:r>
      <w:bookmarkStart w:id="28" w:name="_Hlt102570123"/>
      <w:r>
        <w:rPr>
          <w:rStyle w:val="1172"/>
          <w:color w:val="000000"/>
          <w:szCs w:val="22"/>
          <w:u w:val="none"/>
        </w:rPr>
        <w:t xml:space="preserve">ц</w:t>
      </w:r>
      <w:bookmarkEnd w:id="28"/>
      <w:r>
        <w:rPr>
          <w:rStyle w:val="1172"/>
          <w:color w:val="000000"/>
          <w:szCs w:val="22"/>
          <w:u w:val="none"/>
        </w:rPr>
        <w:t xml:space="preserve">е</w:t>
      </w:r>
      <w:bookmarkStart w:id="29" w:name="_Hlt89626691"/>
      <w:r>
        <w:rPr>
          <w:rStyle w:val="1172"/>
          <w:color w:val="000000"/>
          <w:szCs w:val="22"/>
          <w:u w:val="none"/>
        </w:rPr>
        <w:t xml:space="preserve">н</w:t>
      </w:r>
      <w:bookmarkEnd w:id="29"/>
      <w:r>
        <w:rPr>
          <w:rStyle w:val="1172"/>
          <w:color w:val="000000"/>
          <w:szCs w:val="22"/>
          <w:u w:val="none"/>
        </w:rPr>
        <w:t xml:space="preserve">ны</w:t>
      </w:r>
      <w:bookmarkStart w:id="30" w:name="_Hlt49524799"/>
      <w:r>
        <w:rPr>
          <w:rStyle w:val="1172"/>
          <w:color w:val="000000"/>
          <w:szCs w:val="22"/>
          <w:u w:val="none"/>
        </w:rPr>
        <w:t xml:space="preserve">м</w:t>
      </w:r>
      <w:bookmarkEnd w:id="30"/>
      <w:r>
        <w:rPr>
          <w:rStyle w:val="1172"/>
          <w:color w:val="000000"/>
          <w:szCs w:val="22"/>
          <w:u w:val="none"/>
        </w:rPr>
        <w:t xml:space="preserve">и бумагами</w:t>
      </w:r>
      <w:bookmarkStart w:id="31" w:name="_Hlt161234903"/>
      <w:r>
        <w:rPr>
          <w:rStyle w:val="1172"/>
          <w:color w:val="000000"/>
          <w:szCs w:val="22"/>
          <w:u w:val="none"/>
        </w:rPr>
        <w:tab/>
      </w:r>
      <w:bookmarkEnd w:id="31"/>
      <w:r>
        <w:rPr>
          <w:rStyle w:val="1172"/>
          <w:color w:val="000000"/>
          <w:szCs w:val="22"/>
          <w:u w:val="none"/>
        </w:rPr>
        <w:fldChar w:fldCharType="end"/>
      </w:r>
      <w:r>
        <w:rPr>
          <w:rStyle w:val="1172"/>
          <w:color w:val="000000"/>
          <w:szCs w:val="22"/>
          <w:u w:val="none"/>
        </w:rPr>
        <w:t xml:space="preserve">3</w:t>
      </w:r>
      <w:r>
        <w:rPr>
          <w:rStyle w:val="1172"/>
          <w:color w:val="000000"/>
          <w:szCs w:val="22"/>
          <w:u w:val="none"/>
        </w:rPr>
        <w:t xml:space="preserve">3</w:t>
      </w:r>
      <w:r>
        <w:rPr>
          <w:rStyle w:val="1172"/>
          <w:color w:val="000000"/>
          <w:szCs w:val="22"/>
          <w:u w:val="none"/>
        </w:rPr>
      </w:r>
      <w:r>
        <w:rPr>
          <w:rStyle w:val="1172"/>
          <w:color w:val="000000"/>
          <w:szCs w:val="22"/>
          <w:u w:val="none"/>
        </w:rPr>
      </w:r>
    </w:p>
    <w:p>
      <w:pPr>
        <w:pStyle w:val="1159"/>
        <w:ind w:left="0" w:right="-283" w:firstLine="0"/>
        <w:jc w:val="both"/>
        <w:rPr>
          <w:rStyle w:val="1172"/>
          <w:color w:val="000000"/>
          <w:szCs w:val="22"/>
          <w:u w:val="none"/>
        </w:rPr>
      </w:pPr>
      <w:r>
        <w:rPr>
          <w:rStyle w:val="1172"/>
          <w:color w:val="000000"/>
          <w:szCs w:val="22"/>
          <w:u w:val="none"/>
        </w:rPr>
        <w:fldChar w:fldCharType="begin"/>
      </w:r>
      <w:r>
        <w:rPr>
          <w:rStyle w:val="1172"/>
          <w:color w:val="000000"/>
          <w:szCs w:val="22"/>
          <w:u w:val="none"/>
        </w:rPr>
        <w:instrText xml:space="preserve"> HYPERLINK \l "_Toc422929474" </w:instrText>
      </w:r>
      <w:r>
        <w:rPr>
          <w:rStyle w:val="1172"/>
          <w:color w:val="000000"/>
          <w:szCs w:val="22"/>
          <w:u w:val="none"/>
        </w:rPr>
        <w:fldChar w:fldCharType="separate"/>
      </w:r>
      <w:r>
        <w:rPr>
          <w:rStyle w:val="1172"/>
          <w:color w:val="000000"/>
          <w:szCs w:val="22"/>
          <w:u w:val="none"/>
        </w:rPr>
        <w:t xml:space="preserve">5. Докумен</w:t>
      </w:r>
      <w:bookmarkStart w:id="32" w:name="_Hlt68169171"/>
      <w:r>
        <w:rPr>
          <w:rStyle w:val="1172"/>
          <w:color w:val="000000"/>
          <w:szCs w:val="22"/>
          <w:u w:val="none"/>
        </w:rPr>
        <w:t xml:space="preserve">т</w:t>
      </w:r>
      <w:bookmarkEnd w:id="32"/>
      <w:r>
        <w:rPr>
          <w:rStyle w:val="1172"/>
          <w:color w:val="000000"/>
          <w:szCs w:val="22"/>
          <w:u w:val="none"/>
        </w:rPr>
        <w:t xml:space="preserve">а</w:t>
      </w:r>
      <w:bookmarkStart w:id="33" w:name="_Hlt43222876"/>
      <w:r/>
      <w:bookmarkStart w:id="34" w:name="_Hlt43222877"/>
      <w:r/>
      <w:bookmarkStart w:id="35" w:name="_Hlt49524812"/>
      <w:r>
        <w:rPr>
          <w:rStyle w:val="1172"/>
          <w:color w:val="000000"/>
          <w:szCs w:val="22"/>
          <w:u w:val="none"/>
        </w:rPr>
        <w:t xml:space="preserve">р</w:t>
      </w:r>
      <w:bookmarkEnd w:id="33"/>
      <w:r/>
      <w:bookmarkEnd w:id="34"/>
      <w:r/>
      <w:bookmarkEnd w:id="35"/>
      <w:r>
        <w:rPr>
          <w:rStyle w:val="1172"/>
          <w:color w:val="000000"/>
          <w:szCs w:val="22"/>
          <w:u w:val="none"/>
        </w:rPr>
        <w:t xml:space="preserve">н</w:t>
      </w:r>
      <w:bookmarkStart w:id="36" w:name="_Hlt102570139"/>
      <w:r>
        <w:rPr>
          <w:rStyle w:val="1172"/>
          <w:color w:val="000000"/>
          <w:szCs w:val="22"/>
          <w:u w:val="none"/>
        </w:rPr>
        <w:t xml:space="preserve">ы</w:t>
      </w:r>
      <w:bookmarkEnd w:id="36"/>
      <w:r/>
      <w:bookmarkStart w:id="37" w:name="_Hlt89626714"/>
      <w:r>
        <w:rPr>
          <w:rStyle w:val="1172"/>
          <w:color w:val="000000"/>
          <w:szCs w:val="22"/>
          <w:u w:val="none"/>
        </w:rPr>
        <w:t xml:space="preserve">е</w:t>
      </w:r>
      <w:bookmarkEnd w:id="37"/>
      <w:r>
        <w:rPr>
          <w:rStyle w:val="1172"/>
          <w:color w:val="000000"/>
          <w:szCs w:val="22"/>
          <w:u w:val="none"/>
        </w:rPr>
        <w:t xml:space="preserve"> о</w:t>
      </w:r>
      <w:bookmarkStart w:id="38" w:name="_Hlt105663492"/>
      <w:r>
        <w:rPr>
          <w:rStyle w:val="1172"/>
          <w:color w:val="000000"/>
          <w:szCs w:val="22"/>
          <w:u w:val="none"/>
        </w:rPr>
        <w:t xml:space="preserve">п</w:t>
      </w:r>
      <w:bookmarkEnd w:id="38"/>
      <w:r>
        <w:rPr>
          <w:rStyle w:val="1172"/>
          <w:color w:val="000000"/>
          <w:szCs w:val="22"/>
          <w:u w:val="none"/>
        </w:rPr>
        <w:t xml:space="preserve">ера</w:t>
      </w:r>
      <w:bookmarkStart w:id="39" w:name="_Hlt47966805"/>
      <w:r>
        <w:rPr>
          <w:rStyle w:val="1172"/>
          <w:color w:val="000000"/>
          <w:szCs w:val="22"/>
          <w:u w:val="none"/>
        </w:rPr>
        <w:t xml:space="preserve">ц</w:t>
      </w:r>
      <w:bookmarkEnd w:id="39"/>
      <w:r>
        <w:rPr>
          <w:rStyle w:val="1172"/>
          <w:color w:val="000000"/>
          <w:szCs w:val="22"/>
          <w:u w:val="none"/>
        </w:rPr>
        <w:t xml:space="preserve">ии</w:t>
      </w:r>
      <w:bookmarkStart w:id="40" w:name="_Hlt161234924"/>
      <w:r>
        <w:rPr>
          <w:rStyle w:val="1172"/>
          <w:color w:val="000000"/>
          <w:szCs w:val="22"/>
          <w:u w:val="none"/>
        </w:rPr>
        <w:tab/>
      </w:r>
      <w:bookmarkEnd w:id="40"/>
      <w:r>
        <w:rPr>
          <w:rStyle w:val="1172"/>
          <w:color w:val="000000"/>
          <w:szCs w:val="22"/>
          <w:u w:val="none"/>
        </w:rPr>
        <w:fldChar w:fldCharType="end"/>
      </w:r>
      <w:r>
        <w:rPr>
          <w:rStyle w:val="1172"/>
          <w:color w:val="000000"/>
          <w:szCs w:val="22"/>
          <w:u w:val="none"/>
        </w:rPr>
        <w:t xml:space="preserve">3</w:t>
      </w:r>
      <w:r>
        <w:rPr>
          <w:rStyle w:val="1172"/>
          <w:color w:val="000000"/>
          <w:szCs w:val="22"/>
          <w:u w:val="none"/>
        </w:rPr>
        <w:t xml:space="preserve">3</w:t>
      </w:r>
      <w:r>
        <w:rPr>
          <w:rStyle w:val="1172"/>
          <w:color w:val="000000"/>
          <w:szCs w:val="22"/>
          <w:u w:val="none"/>
        </w:rPr>
      </w:r>
      <w:r>
        <w:rPr>
          <w:rStyle w:val="1172"/>
          <w:color w:val="000000"/>
          <w:szCs w:val="22"/>
          <w:u w:val="none"/>
        </w:rPr>
      </w:r>
    </w:p>
    <w:p>
      <w:pPr>
        <w:pStyle w:val="1159"/>
        <w:ind w:left="0" w:right="-283" w:firstLine="0"/>
        <w:jc w:val="both"/>
        <w:rPr>
          <w:rStyle w:val="1172"/>
          <w:color w:val="000000"/>
          <w:szCs w:val="22"/>
          <w:u w:val="none"/>
        </w:rPr>
      </w:pPr>
      <w:r>
        <w:rPr>
          <w:rStyle w:val="1172"/>
          <w:color w:val="000000"/>
          <w:szCs w:val="22"/>
          <w:u w:val="none"/>
        </w:rPr>
        <w:fldChar w:fldCharType="begin"/>
      </w:r>
      <w:r>
        <w:rPr>
          <w:rStyle w:val="1172"/>
          <w:color w:val="000000"/>
          <w:szCs w:val="22"/>
          <w:u w:val="none"/>
        </w:rPr>
        <w:instrText xml:space="preserve"> HYPERLINK \l "_Toc422929475" </w:instrText>
      </w:r>
      <w:r>
        <w:rPr>
          <w:rStyle w:val="1172"/>
          <w:color w:val="000000"/>
          <w:szCs w:val="22"/>
          <w:u w:val="none"/>
        </w:rPr>
        <w:fldChar w:fldCharType="separate"/>
      </w:r>
      <w:r>
        <w:rPr>
          <w:rStyle w:val="1172"/>
          <w:color w:val="000000"/>
          <w:szCs w:val="22"/>
          <w:u w:val="none"/>
        </w:rPr>
        <w:t xml:space="preserve">6. Гарантий</w:t>
      </w:r>
      <w:bookmarkStart w:id="41" w:name="_Hlt43222889"/>
      <w:r>
        <w:rPr>
          <w:rStyle w:val="1172"/>
          <w:color w:val="000000"/>
          <w:szCs w:val="22"/>
          <w:u w:val="none"/>
        </w:rPr>
        <w:t xml:space="preserve">н</w:t>
      </w:r>
      <w:bookmarkEnd w:id="41"/>
      <w:r/>
      <w:bookmarkStart w:id="42" w:name="_Hlt89626738"/>
      <w:r>
        <w:rPr>
          <w:rStyle w:val="1172"/>
          <w:color w:val="000000"/>
          <w:szCs w:val="22"/>
          <w:u w:val="none"/>
        </w:rPr>
        <w:t xml:space="preserve">ы</w:t>
      </w:r>
      <w:bookmarkEnd w:id="42"/>
      <w:r/>
      <w:bookmarkStart w:id="43" w:name="_Hlt47966816"/>
      <w:r/>
      <w:bookmarkStart w:id="44" w:name="_Hlt105663502"/>
      <w:r>
        <w:rPr>
          <w:rStyle w:val="1172"/>
          <w:color w:val="000000"/>
          <w:szCs w:val="22"/>
          <w:u w:val="none"/>
        </w:rPr>
        <w:t xml:space="preserve">е</w:t>
      </w:r>
      <w:bookmarkEnd w:id="43"/>
      <w:r/>
      <w:bookmarkEnd w:id="44"/>
      <w:r/>
      <w:bookmarkStart w:id="45" w:name="_Hlt68169183"/>
      <w:r>
        <w:rPr>
          <w:rStyle w:val="1172"/>
          <w:color w:val="000000"/>
          <w:szCs w:val="22"/>
          <w:u w:val="none"/>
        </w:rPr>
        <w:t xml:space="preserve"> </w:t>
      </w:r>
      <w:bookmarkEnd w:id="45"/>
      <w:r/>
      <w:bookmarkStart w:id="46" w:name="_Hlt49525099"/>
      <w:r>
        <w:rPr>
          <w:rStyle w:val="1172"/>
          <w:color w:val="000000"/>
          <w:szCs w:val="22"/>
          <w:u w:val="none"/>
        </w:rPr>
        <w:t xml:space="preserve">о</w:t>
      </w:r>
      <w:bookmarkEnd w:id="46"/>
      <w:r>
        <w:rPr>
          <w:rStyle w:val="1172"/>
          <w:color w:val="000000"/>
          <w:szCs w:val="22"/>
          <w:u w:val="none"/>
        </w:rPr>
        <w:t xml:space="preserve">п</w:t>
      </w:r>
      <w:bookmarkStart w:id="47" w:name="_Hlt49524825"/>
      <w:r>
        <w:rPr>
          <w:rStyle w:val="1172"/>
          <w:color w:val="000000"/>
          <w:szCs w:val="22"/>
          <w:u w:val="none"/>
        </w:rPr>
        <w:t xml:space="preserve">е</w:t>
      </w:r>
      <w:bookmarkEnd w:id="47"/>
      <w:r>
        <w:rPr>
          <w:rStyle w:val="1172"/>
          <w:color w:val="000000"/>
          <w:szCs w:val="22"/>
          <w:u w:val="none"/>
        </w:rPr>
        <w:t xml:space="preserve">рации</w:t>
      </w:r>
      <w:bookmarkStart w:id="48" w:name="_Hlt76640908"/>
      <w:r/>
      <w:bookmarkStart w:id="49" w:name="_Hlt76640909"/>
      <w:r/>
      <w:bookmarkStart w:id="50" w:name="_Hlt102570155"/>
      <w:r/>
      <w:bookmarkStart w:id="51" w:name="_Hlt161234937"/>
      <w:r>
        <w:rPr>
          <w:rStyle w:val="1172"/>
          <w:color w:val="000000"/>
          <w:szCs w:val="22"/>
          <w:u w:val="none"/>
        </w:rPr>
        <w:tab/>
      </w:r>
      <w:bookmarkEnd w:id="48"/>
      <w:r/>
      <w:bookmarkEnd w:id="49"/>
      <w:r/>
      <w:bookmarkEnd w:id="50"/>
      <w:r/>
      <w:bookmarkEnd w:id="51"/>
      <w:r>
        <w:rPr>
          <w:rStyle w:val="1172"/>
          <w:color w:val="000000"/>
          <w:szCs w:val="22"/>
          <w:u w:val="none"/>
        </w:rPr>
        <w:t xml:space="preserve">4</w:t>
        <w:fldChar w:fldCharType="end"/>
      </w:r>
      <w:r>
        <w:rPr>
          <w:rStyle w:val="1172"/>
          <w:color w:val="000000"/>
          <w:szCs w:val="22"/>
          <w:u w:val="none"/>
        </w:rPr>
        <w:t xml:space="preserve">0</w:t>
      </w:r>
      <w:r>
        <w:rPr>
          <w:rStyle w:val="1172"/>
          <w:color w:val="000000"/>
          <w:szCs w:val="22"/>
          <w:u w:val="none"/>
        </w:rPr>
      </w:r>
      <w:r>
        <w:rPr>
          <w:rStyle w:val="1172"/>
          <w:color w:val="000000"/>
          <w:szCs w:val="22"/>
          <w:u w:val="none"/>
        </w:rPr>
      </w:r>
    </w:p>
    <w:p>
      <w:pPr>
        <w:pStyle w:val="1159"/>
        <w:ind w:left="0" w:right="-283" w:firstLine="0"/>
        <w:jc w:val="both"/>
        <w:rPr>
          <w:rStyle w:val="1172"/>
          <w:color w:val="000000"/>
          <w:szCs w:val="22"/>
          <w:u w:val="none"/>
        </w:rPr>
      </w:pPr>
      <w:r>
        <w:rPr>
          <w:rStyle w:val="1172"/>
          <w:color w:val="000000"/>
          <w:szCs w:val="22"/>
          <w:u w:val="none"/>
        </w:rPr>
        <w:fldChar w:fldCharType="begin"/>
      </w:r>
      <w:r>
        <w:rPr>
          <w:rStyle w:val="1172"/>
          <w:color w:val="000000"/>
          <w:szCs w:val="22"/>
          <w:u w:val="none"/>
        </w:rPr>
        <w:instrText xml:space="preserve"> HYPERLINK \l "_Toc422929476" </w:instrText>
      </w:r>
      <w:r>
        <w:rPr>
          <w:rStyle w:val="1172"/>
          <w:color w:val="000000"/>
          <w:szCs w:val="22"/>
          <w:u w:val="none"/>
        </w:rPr>
        <w:fldChar w:fldCharType="separate"/>
      </w:r>
      <w:r>
        <w:rPr>
          <w:rStyle w:val="1172"/>
          <w:color w:val="000000"/>
          <w:szCs w:val="22"/>
          <w:u w:val="none"/>
        </w:rPr>
        <w:t xml:space="preserve">7. Дистанци</w:t>
      </w:r>
      <w:bookmarkStart w:id="52" w:name="_Hlt43222899"/>
      <w:r>
        <w:rPr>
          <w:rStyle w:val="1172"/>
          <w:color w:val="000000"/>
          <w:szCs w:val="22"/>
          <w:u w:val="none"/>
        </w:rPr>
        <w:t xml:space="preserve">о</w:t>
      </w:r>
      <w:bookmarkEnd w:id="52"/>
      <w:r>
        <w:rPr>
          <w:rStyle w:val="1172"/>
          <w:color w:val="000000"/>
          <w:szCs w:val="22"/>
          <w:u w:val="none"/>
        </w:rPr>
        <w:t xml:space="preserve">н</w:t>
      </w:r>
      <w:bookmarkStart w:id="53" w:name="_Hlt76640930"/>
      <w:r>
        <w:rPr>
          <w:rStyle w:val="1172"/>
          <w:color w:val="000000"/>
          <w:szCs w:val="22"/>
          <w:u w:val="none"/>
        </w:rPr>
        <w:t xml:space="preserve">н</w:t>
      </w:r>
      <w:bookmarkEnd w:id="53"/>
      <w:r>
        <w:rPr>
          <w:rStyle w:val="1172"/>
          <w:color w:val="000000"/>
          <w:szCs w:val="22"/>
          <w:u w:val="none"/>
        </w:rPr>
        <w:t xml:space="preserve">ое</w:t>
      </w:r>
      <w:bookmarkStart w:id="54" w:name="_Hlt89626760"/>
      <w:r>
        <w:rPr>
          <w:rStyle w:val="1172"/>
          <w:color w:val="000000"/>
          <w:szCs w:val="22"/>
          <w:u w:val="none"/>
        </w:rPr>
        <w:t xml:space="preserve"> </w:t>
      </w:r>
      <w:bookmarkEnd w:id="54"/>
      <w:r>
        <w:rPr>
          <w:rStyle w:val="1172"/>
          <w:color w:val="000000"/>
          <w:szCs w:val="22"/>
          <w:u w:val="none"/>
        </w:rPr>
        <w:t xml:space="preserve">б</w:t>
      </w:r>
      <w:bookmarkStart w:id="55" w:name="_Hlt47966831"/>
      <w:r/>
      <w:bookmarkStart w:id="56" w:name="_Hlt68169201"/>
      <w:r>
        <w:rPr>
          <w:rStyle w:val="1172"/>
          <w:color w:val="000000"/>
          <w:szCs w:val="22"/>
          <w:u w:val="none"/>
        </w:rPr>
        <w:t xml:space="preserve">а</w:t>
      </w:r>
      <w:bookmarkEnd w:id="55"/>
      <w:r/>
      <w:bookmarkEnd w:id="56"/>
      <w:r>
        <w:rPr>
          <w:rStyle w:val="1172"/>
          <w:color w:val="000000"/>
          <w:szCs w:val="22"/>
          <w:u w:val="none"/>
        </w:rPr>
        <w:t xml:space="preserve">н</w:t>
      </w:r>
      <w:bookmarkStart w:id="57" w:name="_Hlt49525106"/>
      <w:r>
        <w:rPr>
          <w:rStyle w:val="1172"/>
          <w:color w:val="000000"/>
          <w:szCs w:val="22"/>
          <w:u w:val="none"/>
        </w:rPr>
        <w:t xml:space="preserve">к</w:t>
      </w:r>
      <w:bookmarkEnd w:id="57"/>
      <w:r/>
      <w:bookmarkStart w:id="58" w:name="_Hlt76640964"/>
      <w:r>
        <w:rPr>
          <w:rStyle w:val="1172"/>
          <w:color w:val="000000"/>
          <w:szCs w:val="22"/>
          <w:u w:val="none"/>
        </w:rPr>
        <w:t xml:space="preserve">о</w:t>
      </w:r>
      <w:bookmarkEnd w:id="58"/>
      <w:r>
        <w:rPr>
          <w:rStyle w:val="1172"/>
          <w:color w:val="000000"/>
          <w:szCs w:val="22"/>
          <w:u w:val="none"/>
        </w:rPr>
        <w:t xml:space="preserve">в</w:t>
      </w:r>
      <w:bookmarkStart w:id="59" w:name="_Hlt49524837"/>
      <w:r>
        <w:rPr>
          <w:rStyle w:val="1172"/>
          <w:color w:val="000000"/>
          <w:szCs w:val="22"/>
          <w:u w:val="none"/>
        </w:rPr>
        <w:t xml:space="preserve">с</w:t>
      </w:r>
      <w:bookmarkEnd w:id="59"/>
      <w:r/>
      <w:bookmarkStart w:id="60" w:name="_Hlt102570171"/>
      <w:r>
        <w:rPr>
          <w:rStyle w:val="1172"/>
          <w:color w:val="000000"/>
          <w:szCs w:val="22"/>
          <w:u w:val="none"/>
        </w:rPr>
        <w:t xml:space="preserve">к</w:t>
      </w:r>
      <w:bookmarkEnd w:id="60"/>
      <w:r>
        <w:rPr>
          <w:rStyle w:val="1172"/>
          <w:color w:val="000000"/>
          <w:szCs w:val="22"/>
          <w:u w:val="none"/>
        </w:rPr>
        <w:t xml:space="preserve">ое обсл</w:t>
      </w:r>
      <w:bookmarkStart w:id="61" w:name="_Hlt105663517"/>
      <w:r>
        <w:rPr>
          <w:rStyle w:val="1172"/>
          <w:color w:val="000000"/>
          <w:szCs w:val="22"/>
          <w:u w:val="none"/>
        </w:rPr>
        <w:t xml:space="preserve">у</w:t>
      </w:r>
      <w:bookmarkEnd w:id="61"/>
      <w:r>
        <w:rPr>
          <w:rStyle w:val="1172"/>
          <w:color w:val="000000"/>
          <w:szCs w:val="22"/>
          <w:u w:val="none"/>
        </w:rPr>
        <w:t xml:space="preserve">живание (ДБО</w:t>
      </w:r>
      <w:bookmarkStart w:id="62" w:name="_Hlt161234975"/>
      <w:r>
        <w:rPr>
          <w:rStyle w:val="1172"/>
          <w:color w:val="000000"/>
          <w:szCs w:val="22"/>
          <w:u w:val="none"/>
        </w:rPr>
        <w:t xml:space="preserve">)</w:t>
      </w:r>
      <w:bookmarkEnd w:id="62"/>
      <w:r/>
      <w:bookmarkStart w:id="63" w:name="_Hlt156208878"/>
      <w:r/>
      <w:bookmarkStart w:id="64" w:name="_Hlt156208879"/>
      <w:r>
        <w:rPr>
          <w:rStyle w:val="1172"/>
          <w:color w:val="000000"/>
          <w:szCs w:val="22"/>
          <w:u w:val="none"/>
        </w:rPr>
        <w:tab/>
      </w:r>
      <w:bookmarkEnd w:id="63"/>
      <w:r/>
      <w:bookmarkEnd w:id="64"/>
      <w:r>
        <w:rPr>
          <w:rStyle w:val="1172"/>
          <w:color w:val="000000"/>
          <w:szCs w:val="22"/>
          <w:u w:val="none"/>
        </w:rPr>
        <w:fldChar w:fldCharType="end"/>
      </w:r>
      <w:r>
        <w:rPr>
          <w:rStyle w:val="1172"/>
          <w:color w:val="000000"/>
          <w:szCs w:val="22"/>
          <w:u w:val="none"/>
        </w:rPr>
        <w:t xml:space="preserve">43</w:t>
      </w:r>
      <w:r>
        <w:rPr>
          <w:rStyle w:val="1172"/>
          <w:color w:val="000000"/>
          <w:szCs w:val="22"/>
          <w:u w:val="none"/>
        </w:rPr>
      </w:r>
      <w:r>
        <w:rPr>
          <w:rStyle w:val="1172"/>
          <w:color w:val="000000"/>
          <w:szCs w:val="22"/>
          <w:u w:val="none"/>
        </w:rPr>
      </w:r>
    </w:p>
    <w:p>
      <w:pPr>
        <w:pStyle w:val="1159"/>
        <w:ind w:left="0" w:right="-283" w:firstLine="0"/>
        <w:jc w:val="both"/>
        <w:rPr>
          <w:rStyle w:val="1172"/>
          <w:color w:val="000000"/>
          <w:szCs w:val="22"/>
          <w:u w:val="none"/>
        </w:rPr>
      </w:pPr>
      <w:r>
        <w:rPr>
          <w:rStyle w:val="1172"/>
          <w:color w:val="000000"/>
          <w:szCs w:val="22"/>
          <w:u w:val="none"/>
        </w:rPr>
        <w:fldChar w:fldCharType="begin"/>
      </w:r>
      <w:r>
        <w:rPr>
          <w:rStyle w:val="1172"/>
          <w:color w:val="000000"/>
          <w:szCs w:val="22"/>
          <w:u w:val="none"/>
        </w:rPr>
        <w:instrText xml:space="preserve"> HYPERLINK \l "_Toc422929477" </w:instrText>
      </w:r>
      <w:r>
        <w:rPr>
          <w:rStyle w:val="1172"/>
          <w:color w:val="000000"/>
          <w:szCs w:val="22"/>
          <w:u w:val="none"/>
        </w:rPr>
        <w:fldChar w:fldCharType="separate"/>
      </w:r>
      <w:r>
        <w:rPr>
          <w:rStyle w:val="1172"/>
          <w:color w:val="000000"/>
          <w:szCs w:val="22"/>
          <w:u w:val="none"/>
        </w:rPr>
        <w:t xml:space="preserve">8. Хранение ценнос</w:t>
      </w:r>
      <w:bookmarkStart w:id="65" w:name="_Hlt47966841"/>
      <w:r>
        <w:rPr>
          <w:rStyle w:val="1172"/>
          <w:color w:val="000000"/>
          <w:szCs w:val="22"/>
          <w:u w:val="none"/>
        </w:rPr>
        <w:t xml:space="preserve">т</w:t>
      </w:r>
      <w:bookmarkEnd w:id="65"/>
      <w:r>
        <w:rPr>
          <w:rStyle w:val="1172"/>
          <w:color w:val="000000"/>
          <w:szCs w:val="22"/>
          <w:u w:val="none"/>
        </w:rPr>
        <w:t xml:space="preserve">е</w:t>
      </w:r>
      <w:bookmarkStart w:id="66" w:name="_Hlt49525178"/>
      <w:r>
        <w:rPr>
          <w:rStyle w:val="1172"/>
          <w:color w:val="000000"/>
          <w:szCs w:val="22"/>
          <w:u w:val="none"/>
        </w:rPr>
        <w:t xml:space="preserve">й</w:t>
      </w:r>
      <w:bookmarkEnd w:id="66"/>
      <w:r/>
      <w:bookmarkStart w:id="67" w:name="_Hlt68169250"/>
      <w:r>
        <w:rPr>
          <w:rStyle w:val="1172"/>
          <w:color w:val="000000"/>
          <w:szCs w:val="22"/>
          <w:u w:val="none"/>
        </w:rPr>
        <w:t xml:space="preserve"> </w:t>
      </w:r>
      <w:bookmarkEnd w:id="67"/>
      <w:r>
        <w:rPr>
          <w:rStyle w:val="1172"/>
          <w:color w:val="000000"/>
          <w:szCs w:val="22"/>
          <w:u w:val="none"/>
        </w:rPr>
        <w:t xml:space="preserve">кл</w:t>
      </w:r>
      <w:bookmarkStart w:id="68" w:name="_Hlt49525119"/>
      <w:r>
        <w:rPr>
          <w:rStyle w:val="1172"/>
          <w:color w:val="000000"/>
          <w:szCs w:val="22"/>
          <w:u w:val="none"/>
        </w:rPr>
        <w:t xml:space="preserve">и</w:t>
      </w:r>
      <w:bookmarkEnd w:id="68"/>
      <w:r/>
      <w:bookmarkStart w:id="69" w:name="_Hlt68169216"/>
      <w:r/>
      <w:bookmarkStart w:id="70" w:name="_Hlt68169230"/>
      <w:r>
        <w:rPr>
          <w:rStyle w:val="1172"/>
          <w:color w:val="000000"/>
          <w:szCs w:val="22"/>
          <w:u w:val="none"/>
        </w:rPr>
        <w:t xml:space="preserve">е</w:t>
      </w:r>
      <w:bookmarkEnd w:id="69"/>
      <w:r/>
      <w:bookmarkEnd w:id="70"/>
      <w:r/>
      <w:bookmarkStart w:id="71" w:name="_Hlt102570186"/>
      <w:r>
        <w:rPr>
          <w:rStyle w:val="1172"/>
          <w:color w:val="000000"/>
          <w:szCs w:val="22"/>
          <w:u w:val="none"/>
        </w:rPr>
        <w:t xml:space="preserve">н</w:t>
      </w:r>
      <w:bookmarkEnd w:id="71"/>
      <w:r/>
      <w:bookmarkStart w:id="72" w:name="_Hlt43222914"/>
      <w:r/>
      <w:bookmarkStart w:id="73" w:name="_Hlt105663529"/>
      <w:r>
        <w:rPr>
          <w:rStyle w:val="1172"/>
          <w:color w:val="000000"/>
          <w:szCs w:val="22"/>
          <w:u w:val="none"/>
        </w:rPr>
        <w:t xml:space="preserve">т</w:t>
      </w:r>
      <w:bookmarkEnd w:id="72"/>
      <w:r/>
      <w:bookmarkEnd w:id="73"/>
      <w:r>
        <w:rPr>
          <w:rStyle w:val="1172"/>
          <w:color w:val="000000"/>
          <w:szCs w:val="22"/>
          <w:u w:val="none"/>
        </w:rPr>
        <w:t xml:space="preserve">ов в</w:t>
      </w:r>
      <w:bookmarkStart w:id="74" w:name="_Hlt76640947"/>
      <w:r>
        <w:rPr>
          <w:rStyle w:val="1172"/>
          <w:color w:val="000000"/>
          <w:szCs w:val="22"/>
          <w:u w:val="none"/>
        </w:rPr>
        <w:t xml:space="preserve"> </w:t>
      </w:r>
      <w:bookmarkEnd w:id="74"/>
      <w:r>
        <w:rPr>
          <w:rStyle w:val="1172"/>
          <w:color w:val="000000"/>
          <w:szCs w:val="22"/>
          <w:u w:val="none"/>
        </w:rPr>
        <w:t xml:space="preserve">хра</w:t>
      </w:r>
      <w:bookmarkStart w:id="75" w:name="_Hlt89626786"/>
      <w:r>
        <w:rPr>
          <w:rStyle w:val="1172"/>
          <w:color w:val="000000"/>
          <w:szCs w:val="22"/>
          <w:u w:val="none"/>
        </w:rPr>
        <w:t xml:space="preserve">н</w:t>
      </w:r>
      <w:bookmarkEnd w:id="75"/>
      <w:r>
        <w:rPr>
          <w:rStyle w:val="1172"/>
          <w:color w:val="000000"/>
          <w:szCs w:val="22"/>
          <w:u w:val="none"/>
        </w:rPr>
        <w:t xml:space="preserve">илище ценностей Б</w:t>
      </w:r>
      <w:bookmarkStart w:id="76" w:name="_Hlt161234989"/>
      <w:r>
        <w:rPr>
          <w:rStyle w:val="1172"/>
          <w:color w:val="000000"/>
          <w:szCs w:val="22"/>
          <w:u w:val="none"/>
        </w:rPr>
        <w:t xml:space="preserve">а</w:t>
      </w:r>
      <w:bookmarkEnd w:id="76"/>
      <w:r>
        <w:rPr>
          <w:rStyle w:val="1172"/>
          <w:color w:val="000000"/>
          <w:szCs w:val="22"/>
          <w:u w:val="none"/>
        </w:rPr>
        <w:t xml:space="preserve">нка</w:t>
      </w:r>
      <w:r>
        <w:rPr>
          <w:rStyle w:val="1172"/>
          <w:color w:val="000000"/>
          <w:szCs w:val="22"/>
          <w:u w:val="none"/>
        </w:rPr>
        <w:tab/>
      </w:r>
      <w:r>
        <w:rPr>
          <w:rStyle w:val="1172"/>
          <w:color w:val="000000"/>
          <w:szCs w:val="22"/>
          <w:u w:val="none"/>
        </w:rPr>
        <w:t xml:space="preserve">5</w:t>
        <w:fldChar w:fldCharType="end"/>
      </w:r>
      <w:r>
        <w:rPr>
          <w:rStyle w:val="1172"/>
          <w:color w:val="000000"/>
          <w:szCs w:val="22"/>
          <w:u w:val="none"/>
        </w:rPr>
        <w:t xml:space="preserve">1</w:t>
      </w:r>
      <w:r>
        <w:rPr>
          <w:rStyle w:val="1172"/>
          <w:color w:val="000000"/>
          <w:szCs w:val="22"/>
          <w:u w:val="none"/>
        </w:rPr>
      </w:r>
      <w:r>
        <w:rPr>
          <w:rStyle w:val="1172"/>
          <w:color w:val="000000"/>
          <w:szCs w:val="22"/>
          <w:u w:val="none"/>
        </w:rPr>
      </w:r>
    </w:p>
    <w:p>
      <w:pPr>
        <w:pStyle w:val="1159"/>
        <w:ind w:left="0" w:right="-283" w:firstLine="0"/>
        <w:jc w:val="both"/>
        <w:rPr>
          <w:rStyle w:val="1172"/>
          <w:color w:val="000000"/>
          <w:szCs w:val="22"/>
          <w:u w:val="none"/>
        </w:rPr>
      </w:pPr>
      <w:r>
        <w:rPr>
          <w:rStyle w:val="1172"/>
          <w:color w:val="000000"/>
          <w:szCs w:val="22"/>
          <w:u w:val="none"/>
        </w:rPr>
        <w:fldChar w:fldCharType="begin"/>
      </w:r>
      <w:r>
        <w:rPr>
          <w:rStyle w:val="1172"/>
          <w:color w:val="000000"/>
          <w:szCs w:val="22"/>
          <w:u w:val="none"/>
        </w:rPr>
        <w:instrText xml:space="preserve"> HYPERLINK \l "_Toc422929478" </w:instrText>
      </w:r>
      <w:r>
        <w:rPr>
          <w:rStyle w:val="1172"/>
          <w:color w:val="000000"/>
          <w:szCs w:val="22"/>
          <w:u w:val="none"/>
        </w:rPr>
        <w:fldChar w:fldCharType="separate"/>
      </w:r>
      <w:r>
        <w:rPr>
          <w:rStyle w:val="1172"/>
          <w:color w:val="000000"/>
          <w:szCs w:val="22"/>
          <w:u w:val="none"/>
        </w:rPr>
        <w:t xml:space="preserve">9. Аренда клиен</w:t>
      </w:r>
      <w:bookmarkStart w:id="77" w:name="_Hlt49525135"/>
      <w:r>
        <w:rPr>
          <w:rStyle w:val="1172"/>
          <w:color w:val="000000"/>
          <w:szCs w:val="22"/>
          <w:u w:val="none"/>
        </w:rPr>
        <w:t xml:space="preserve">т</w:t>
      </w:r>
      <w:bookmarkEnd w:id="77"/>
      <w:r>
        <w:rPr>
          <w:rStyle w:val="1172"/>
          <w:color w:val="000000"/>
          <w:szCs w:val="22"/>
          <w:u w:val="none"/>
        </w:rPr>
        <w:t xml:space="preserve">ами инд</w:t>
      </w:r>
      <w:bookmarkStart w:id="78" w:name="_Hlt68169295"/>
      <w:r>
        <w:rPr>
          <w:rStyle w:val="1172"/>
          <w:color w:val="000000"/>
          <w:szCs w:val="22"/>
          <w:u w:val="none"/>
        </w:rPr>
        <w:t xml:space="preserve">и</w:t>
      </w:r>
      <w:bookmarkEnd w:id="78"/>
      <w:r/>
      <w:bookmarkStart w:id="79" w:name="_Hlt89626815"/>
      <w:r>
        <w:rPr>
          <w:rStyle w:val="1172"/>
          <w:color w:val="000000"/>
          <w:szCs w:val="22"/>
          <w:u w:val="none"/>
        </w:rPr>
        <w:t xml:space="preserve">в</w:t>
      </w:r>
      <w:bookmarkEnd w:id="79"/>
      <w:r/>
      <w:bookmarkStart w:id="80" w:name="_Hlt47966851"/>
      <w:r/>
      <w:bookmarkStart w:id="81" w:name="_Hlt102570200"/>
      <w:r>
        <w:rPr>
          <w:rStyle w:val="1172"/>
          <w:color w:val="000000"/>
          <w:szCs w:val="22"/>
          <w:u w:val="none"/>
        </w:rPr>
        <w:t xml:space="preserve">и</w:t>
      </w:r>
      <w:bookmarkEnd w:id="80"/>
      <w:r/>
      <w:bookmarkEnd w:id="81"/>
      <w:r/>
      <w:bookmarkStart w:id="82" w:name="_Hlt68169267"/>
      <w:r>
        <w:rPr>
          <w:rStyle w:val="1172"/>
          <w:color w:val="000000"/>
          <w:szCs w:val="22"/>
          <w:u w:val="none"/>
        </w:rPr>
        <w:t xml:space="preserve">д</w:t>
      </w:r>
      <w:bookmarkEnd w:id="82"/>
      <w:r>
        <w:rPr>
          <w:rStyle w:val="1172"/>
          <w:color w:val="000000"/>
          <w:szCs w:val="22"/>
          <w:u w:val="none"/>
        </w:rPr>
        <w:t xml:space="preserve">уаль</w:t>
      </w:r>
      <w:bookmarkStart w:id="83" w:name="_Hlt161235000"/>
      <w:r>
        <w:rPr>
          <w:rStyle w:val="1172"/>
          <w:color w:val="000000"/>
          <w:szCs w:val="22"/>
          <w:u w:val="none"/>
        </w:rPr>
        <w:t xml:space="preserve">н</w:t>
      </w:r>
      <w:bookmarkEnd w:id="83"/>
      <w:r>
        <w:rPr>
          <w:rStyle w:val="1172"/>
          <w:color w:val="000000"/>
          <w:szCs w:val="22"/>
          <w:u w:val="none"/>
        </w:rPr>
        <w:t xml:space="preserve">ы</w:t>
      </w:r>
      <w:bookmarkStart w:id="84" w:name="_Hlt43222929"/>
      <w:r>
        <w:rPr>
          <w:rStyle w:val="1172"/>
          <w:color w:val="000000"/>
          <w:szCs w:val="22"/>
          <w:u w:val="none"/>
        </w:rPr>
        <w:t xml:space="preserve">х</w:t>
      </w:r>
      <w:bookmarkEnd w:id="84"/>
      <w:r>
        <w:rPr>
          <w:rStyle w:val="1172"/>
          <w:color w:val="000000"/>
          <w:szCs w:val="22"/>
          <w:u w:val="none"/>
        </w:rPr>
        <w:t xml:space="preserve"> сейфовых ячеек</w:t>
      </w:r>
      <w:r>
        <w:rPr>
          <w:rStyle w:val="1172"/>
          <w:color w:val="000000"/>
          <w:szCs w:val="22"/>
          <w:u w:val="none"/>
        </w:rPr>
        <w:tab/>
        <w:t xml:space="preserve">5</w:t>
      </w:r>
      <w:r>
        <w:rPr>
          <w:rStyle w:val="1172"/>
          <w:color w:val="000000"/>
          <w:szCs w:val="22"/>
          <w:u w:val="none"/>
        </w:rPr>
        <w:fldChar w:fldCharType="end"/>
      </w:r>
      <w:r>
        <w:rPr>
          <w:rStyle w:val="1172"/>
          <w:color w:val="000000"/>
          <w:szCs w:val="22"/>
          <w:u w:val="none"/>
        </w:rPr>
        <w:t xml:space="preserve">2</w:t>
      </w:r>
      <w:r>
        <w:rPr>
          <w:rStyle w:val="1172"/>
          <w:color w:val="000000"/>
          <w:szCs w:val="22"/>
          <w:u w:val="none"/>
        </w:rPr>
      </w:r>
      <w:r>
        <w:rPr>
          <w:rStyle w:val="1172"/>
          <w:color w:val="000000"/>
          <w:szCs w:val="22"/>
          <w:u w:val="none"/>
        </w:rPr>
      </w:r>
    </w:p>
    <w:p>
      <w:pPr>
        <w:pStyle w:val="1159"/>
        <w:ind w:left="0" w:right="-283" w:firstLine="0"/>
        <w:jc w:val="both"/>
        <w:rPr>
          <w:rStyle w:val="1172"/>
          <w:color w:val="000000"/>
          <w:szCs w:val="22"/>
          <w:u w:val="none"/>
        </w:rPr>
      </w:pPr>
      <w:r>
        <w:rPr>
          <w:rStyle w:val="1172"/>
          <w:color w:val="000000"/>
          <w:szCs w:val="22"/>
          <w:u w:val="none"/>
        </w:rPr>
        <w:fldChar w:fldCharType="begin"/>
      </w:r>
      <w:r>
        <w:rPr>
          <w:rStyle w:val="1172"/>
          <w:color w:val="000000"/>
          <w:szCs w:val="22"/>
          <w:u w:val="none"/>
        </w:rPr>
        <w:instrText xml:space="preserve"> HYPERLINK \l "_Toc422929479" </w:instrText>
      </w:r>
      <w:r>
        <w:rPr>
          <w:rStyle w:val="1172"/>
          <w:color w:val="000000"/>
          <w:szCs w:val="22"/>
          <w:u w:val="none"/>
        </w:rPr>
        <w:fldChar w:fldCharType="separate"/>
      </w:r>
      <w:r>
        <w:rPr>
          <w:rStyle w:val="1172"/>
          <w:color w:val="000000"/>
          <w:szCs w:val="22"/>
          <w:u w:val="none"/>
        </w:rPr>
        <w:t xml:space="preserve">10. Услуги инкассац</w:t>
      </w:r>
      <w:bookmarkStart w:id="85" w:name="_Hlt43222967"/>
      <w:r>
        <w:rPr>
          <w:rStyle w:val="1172"/>
          <w:color w:val="000000"/>
          <w:szCs w:val="22"/>
          <w:u w:val="none"/>
        </w:rPr>
        <w:t xml:space="preserve">и</w:t>
      </w:r>
      <w:bookmarkEnd w:id="85"/>
      <w:r>
        <w:rPr>
          <w:rStyle w:val="1172"/>
          <w:color w:val="000000"/>
          <w:szCs w:val="22"/>
          <w:u w:val="none"/>
        </w:rPr>
        <w:t xml:space="preserve">и по</w:t>
      </w:r>
      <w:bookmarkStart w:id="86" w:name="_Hlt68169285"/>
      <w:r>
        <w:rPr>
          <w:rStyle w:val="1172"/>
          <w:color w:val="000000"/>
          <w:szCs w:val="22"/>
          <w:u w:val="none"/>
        </w:rPr>
        <w:t xml:space="preserve"> </w:t>
      </w:r>
      <w:bookmarkEnd w:id="86"/>
      <w:r/>
      <w:bookmarkStart w:id="87" w:name="_Hlt47966862"/>
      <w:r>
        <w:rPr>
          <w:rStyle w:val="1172"/>
          <w:color w:val="000000"/>
          <w:szCs w:val="22"/>
          <w:u w:val="none"/>
        </w:rPr>
        <w:t xml:space="preserve">о</w:t>
      </w:r>
      <w:bookmarkEnd w:id="87"/>
      <w:r>
        <w:rPr>
          <w:rStyle w:val="1172"/>
          <w:color w:val="000000"/>
          <w:szCs w:val="22"/>
          <w:u w:val="none"/>
        </w:rPr>
        <w:t xml:space="preserve">тде</w:t>
      </w:r>
      <w:bookmarkStart w:id="88" w:name="_Hlt89626837"/>
      <w:r>
        <w:rPr>
          <w:rStyle w:val="1172"/>
          <w:color w:val="000000"/>
          <w:szCs w:val="22"/>
          <w:u w:val="none"/>
        </w:rPr>
        <w:t xml:space="preserve">л</w:t>
      </w:r>
      <w:bookmarkEnd w:id="88"/>
      <w:r/>
      <w:bookmarkStart w:id="89" w:name="_Hlt68169317"/>
      <w:r/>
      <w:bookmarkStart w:id="90" w:name="_Hlt105663545"/>
      <w:r>
        <w:rPr>
          <w:rStyle w:val="1172"/>
          <w:color w:val="000000"/>
          <w:szCs w:val="22"/>
          <w:u w:val="none"/>
        </w:rPr>
        <w:t xml:space="preserve">ь</w:t>
      </w:r>
      <w:bookmarkEnd w:id="89"/>
      <w:r/>
      <w:bookmarkEnd w:id="90"/>
      <w:r>
        <w:rPr>
          <w:rStyle w:val="1172"/>
          <w:color w:val="000000"/>
          <w:szCs w:val="22"/>
          <w:u w:val="none"/>
        </w:rPr>
        <w:t xml:space="preserve">ному д</w:t>
      </w:r>
      <w:bookmarkStart w:id="91" w:name="_Hlt102570218"/>
      <w:r>
        <w:rPr>
          <w:rStyle w:val="1172"/>
          <w:color w:val="000000"/>
          <w:szCs w:val="22"/>
          <w:u w:val="none"/>
        </w:rPr>
        <w:t xml:space="preserve">о</w:t>
      </w:r>
      <w:bookmarkEnd w:id="91"/>
      <w:r>
        <w:rPr>
          <w:rStyle w:val="1172"/>
          <w:color w:val="000000"/>
          <w:szCs w:val="22"/>
          <w:u w:val="none"/>
        </w:rPr>
        <w:t xml:space="preserve">говору с Российским объединением инкассации Банка России</w:t>
      </w:r>
      <w:bookmarkStart w:id="92" w:name="_Hlt161235010"/>
      <w:r>
        <w:rPr>
          <w:rStyle w:val="1172"/>
          <w:color w:val="000000"/>
          <w:szCs w:val="22"/>
          <w:u w:val="none"/>
        </w:rPr>
        <w:tab/>
      </w:r>
      <w:bookmarkEnd w:id="92"/>
      <w:r>
        <w:rPr>
          <w:rStyle w:val="1172"/>
          <w:color w:val="000000"/>
          <w:szCs w:val="22"/>
          <w:u w:val="none"/>
        </w:rPr>
        <w:fldChar w:fldCharType="end"/>
      </w:r>
      <w:r>
        <w:rPr>
          <w:rStyle w:val="1172"/>
          <w:color w:val="000000"/>
          <w:szCs w:val="22"/>
          <w:u w:val="none"/>
        </w:rPr>
        <w:t xml:space="preserve">53</w:t>
      </w:r>
      <w:r>
        <w:rPr>
          <w:rStyle w:val="1172"/>
          <w:color w:val="000000"/>
          <w:szCs w:val="22"/>
          <w:u w:val="none"/>
        </w:rPr>
      </w:r>
      <w:r>
        <w:rPr>
          <w:rStyle w:val="1172"/>
          <w:color w:val="000000"/>
          <w:szCs w:val="22"/>
          <w:u w:val="none"/>
        </w:rPr>
      </w:r>
    </w:p>
    <w:p>
      <w:pPr>
        <w:pStyle w:val="1159"/>
        <w:ind w:left="0" w:right="-283" w:firstLine="0"/>
        <w:jc w:val="both"/>
        <w:rPr>
          <w:rStyle w:val="1172"/>
          <w:color w:val="000000"/>
          <w:szCs w:val="22"/>
          <w:u w:val="none"/>
        </w:rPr>
      </w:pPr>
      <w:r>
        <w:rPr>
          <w:rStyle w:val="1172"/>
          <w:color w:val="000000"/>
          <w:szCs w:val="22"/>
          <w:u w:val="none"/>
        </w:rPr>
        <w:fldChar w:fldCharType="begin"/>
      </w:r>
      <w:r>
        <w:rPr>
          <w:rStyle w:val="1172"/>
          <w:color w:val="000000"/>
          <w:szCs w:val="22"/>
          <w:u w:val="none"/>
        </w:rPr>
        <w:instrText xml:space="preserve"> HYPERLINK \l "_Toc422929480" </w:instrText>
      </w:r>
      <w:r>
        <w:rPr>
          <w:rStyle w:val="1172"/>
          <w:color w:val="000000"/>
          <w:szCs w:val="22"/>
          <w:u w:val="none"/>
        </w:rPr>
        <w:fldChar w:fldCharType="separate"/>
      </w:r>
      <w:r>
        <w:rPr>
          <w:rStyle w:val="1172"/>
          <w:color w:val="000000"/>
          <w:szCs w:val="22"/>
          <w:u w:val="none"/>
        </w:rPr>
        <w:t xml:space="preserve">11. Операции по пок</w:t>
      </w:r>
      <w:bookmarkStart w:id="93" w:name="_Hlt47966871"/>
      <w:r/>
      <w:bookmarkStart w:id="94" w:name="_Hlt76641022"/>
      <w:r>
        <w:rPr>
          <w:rStyle w:val="1172"/>
          <w:color w:val="000000"/>
          <w:szCs w:val="22"/>
          <w:u w:val="none"/>
        </w:rPr>
        <w:t xml:space="preserve">у</w:t>
      </w:r>
      <w:bookmarkEnd w:id="93"/>
      <w:r/>
      <w:bookmarkEnd w:id="94"/>
      <w:r>
        <w:rPr>
          <w:rStyle w:val="1172"/>
          <w:color w:val="000000"/>
          <w:szCs w:val="22"/>
          <w:u w:val="none"/>
        </w:rPr>
        <w:t xml:space="preserve">п</w:t>
      </w:r>
      <w:bookmarkStart w:id="95" w:name="_Hlt43222984"/>
      <w:r>
        <w:rPr>
          <w:rStyle w:val="1172"/>
          <w:color w:val="000000"/>
          <w:szCs w:val="22"/>
          <w:u w:val="none"/>
        </w:rPr>
        <w:t xml:space="preserve">к</w:t>
      </w:r>
      <w:bookmarkEnd w:id="95"/>
      <w:r>
        <w:rPr>
          <w:rStyle w:val="1172"/>
          <w:color w:val="000000"/>
          <w:szCs w:val="22"/>
          <w:u w:val="none"/>
        </w:rPr>
        <w:t xml:space="preserve">е-п</w:t>
      </w:r>
      <w:bookmarkStart w:id="96" w:name="_Hlt49525197"/>
      <w:r/>
      <w:bookmarkStart w:id="97" w:name="_Hlt76640998"/>
      <w:r>
        <w:rPr>
          <w:rStyle w:val="1172"/>
          <w:color w:val="000000"/>
          <w:szCs w:val="22"/>
          <w:u w:val="none"/>
        </w:rPr>
        <w:t xml:space="preserve">р</w:t>
      </w:r>
      <w:bookmarkEnd w:id="96"/>
      <w:r/>
      <w:bookmarkEnd w:id="97"/>
      <w:r>
        <w:rPr>
          <w:rStyle w:val="1172"/>
          <w:color w:val="000000"/>
          <w:szCs w:val="22"/>
          <w:u w:val="none"/>
        </w:rPr>
        <w:t xml:space="preserve">од</w:t>
      </w:r>
      <w:bookmarkStart w:id="98" w:name="_Hlt68169329"/>
      <w:r>
        <w:rPr>
          <w:rStyle w:val="1172"/>
          <w:color w:val="000000"/>
          <w:szCs w:val="22"/>
          <w:u w:val="none"/>
        </w:rPr>
        <w:t xml:space="preserve">а</w:t>
      </w:r>
      <w:bookmarkEnd w:id="98"/>
      <w:r>
        <w:rPr>
          <w:rStyle w:val="1172"/>
          <w:color w:val="000000"/>
          <w:szCs w:val="22"/>
          <w:u w:val="none"/>
        </w:rPr>
        <w:t xml:space="preserve">ж</w:t>
      </w:r>
      <w:bookmarkStart w:id="99" w:name="_Hlt89626867"/>
      <w:r/>
      <w:bookmarkStart w:id="100" w:name="_Hlt156208919"/>
      <w:r>
        <w:rPr>
          <w:rStyle w:val="1172"/>
          <w:color w:val="000000"/>
          <w:szCs w:val="22"/>
          <w:u w:val="none"/>
        </w:rPr>
        <w:t xml:space="preserve">е</w:t>
      </w:r>
      <w:bookmarkEnd w:id="99"/>
      <w:r/>
      <w:bookmarkEnd w:id="100"/>
      <w:r>
        <w:rPr>
          <w:rStyle w:val="1172"/>
          <w:color w:val="000000"/>
          <w:szCs w:val="22"/>
          <w:u w:val="none"/>
        </w:rPr>
        <w:t xml:space="preserve"> </w:t>
      </w:r>
      <w:bookmarkStart w:id="101" w:name="_Hlt68169344"/>
      <w:r>
        <w:rPr>
          <w:rStyle w:val="1172"/>
          <w:color w:val="000000"/>
          <w:szCs w:val="22"/>
          <w:u w:val="none"/>
        </w:rPr>
        <w:t xml:space="preserve">и</w:t>
      </w:r>
      <w:bookmarkEnd w:id="101"/>
      <w:r>
        <w:rPr>
          <w:rStyle w:val="1172"/>
          <w:color w:val="000000"/>
          <w:szCs w:val="22"/>
          <w:u w:val="none"/>
        </w:rPr>
        <w:t xml:space="preserve">н</w:t>
      </w:r>
      <w:bookmarkStart w:id="102" w:name="_Hlt156208969"/>
      <w:r>
        <w:rPr>
          <w:rStyle w:val="1172"/>
          <w:color w:val="000000"/>
          <w:szCs w:val="22"/>
          <w:u w:val="none"/>
        </w:rPr>
        <w:t xml:space="preserve">о</w:t>
      </w:r>
      <w:bookmarkEnd w:id="102"/>
      <w:r>
        <w:rPr>
          <w:rStyle w:val="1172"/>
          <w:color w:val="000000"/>
          <w:szCs w:val="22"/>
          <w:u w:val="none"/>
        </w:rPr>
        <w:t xml:space="preserve">ст</w:t>
      </w:r>
      <w:bookmarkStart w:id="103" w:name="_Hlt161235029"/>
      <w:r>
        <w:rPr>
          <w:rStyle w:val="1172"/>
          <w:color w:val="000000"/>
          <w:szCs w:val="22"/>
          <w:u w:val="none"/>
        </w:rPr>
        <w:t xml:space="preserve">р</w:t>
      </w:r>
      <w:bookmarkEnd w:id="103"/>
      <w:r>
        <w:rPr>
          <w:rStyle w:val="1172"/>
          <w:color w:val="000000"/>
          <w:szCs w:val="22"/>
          <w:u w:val="none"/>
        </w:rPr>
        <w:t xml:space="preserve">анной </w:t>
      </w:r>
      <w:bookmarkStart w:id="104" w:name="_Hlt102570229"/>
      <w:r>
        <w:rPr>
          <w:rStyle w:val="1172"/>
          <w:color w:val="000000"/>
          <w:szCs w:val="22"/>
          <w:u w:val="none"/>
        </w:rPr>
        <w:t xml:space="preserve">в</w:t>
      </w:r>
      <w:bookmarkEnd w:id="104"/>
      <w:r>
        <w:rPr>
          <w:rStyle w:val="1172"/>
          <w:color w:val="000000"/>
          <w:szCs w:val="22"/>
          <w:u w:val="none"/>
        </w:rPr>
        <w:t xml:space="preserve">алюты</w:t>
      </w:r>
      <w:r>
        <w:rPr>
          <w:rStyle w:val="1172"/>
          <w:color w:val="000000"/>
          <w:szCs w:val="22"/>
          <w:u w:val="none"/>
        </w:rPr>
        <w:tab/>
      </w:r>
      <w:r>
        <w:rPr>
          <w:rStyle w:val="1172"/>
          <w:color w:val="000000"/>
          <w:szCs w:val="22"/>
          <w:u w:val="none"/>
        </w:rPr>
        <w:fldChar w:fldCharType="end"/>
      </w:r>
      <w:r>
        <w:rPr>
          <w:rStyle w:val="1172"/>
          <w:color w:val="000000"/>
          <w:szCs w:val="22"/>
          <w:u w:val="none"/>
        </w:rPr>
        <w:t xml:space="preserve">54</w:t>
      </w:r>
      <w:r>
        <w:rPr>
          <w:rStyle w:val="1172"/>
          <w:color w:val="000000"/>
          <w:szCs w:val="22"/>
          <w:u w:val="none"/>
        </w:rPr>
      </w:r>
      <w:r>
        <w:rPr>
          <w:rStyle w:val="1172"/>
          <w:color w:val="000000"/>
          <w:szCs w:val="22"/>
          <w:u w:val="none"/>
        </w:rPr>
      </w:r>
    </w:p>
    <w:p>
      <w:pPr>
        <w:pStyle w:val="1159"/>
        <w:ind w:left="0" w:right="-283" w:firstLine="0"/>
        <w:jc w:val="both"/>
        <w:rPr>
          <w:rStyle w:val="1172"/>
          <w:color w:val="000000"/>
          <w:szCs w:val="22"/>
          <w:u w:val="none"/>
        </w:rPr>
      </w:pPr>
      <w:r>
        <w:rPr>
          <w:rStyle w:val="1172"/>
          <w:color w:val="000000"/>
          <w:szCs w:val="22"/>
          <w:u w:val="none"/>
        </w:rPr>
        <w:fldChar w:fldCharType="begin"/>
      </w:r>
      <w:r>
        <w:rPr>
          <w:rStyle w:val="1172"/>
          <w:color w:val="000000"/>
          <w:szCs w:val="22"/>
          <w:u w:val="none"/>
        </w:rPr>
        <w:instrText xml:space="preserve"> HYPERLINK \l "_Toc422929481" </w:instrText>
      </w:r>
      <w:r>
        <w:rPr>
          <w:rStyle w:val="1172"/>
          <w:color w:val="000000"/>
          <w:szCs w:val="22"/>
          <w:u w:val="none"/>
        </w:rPr>
        <w:fldChar w:fldCharType="separate"/>
      </w:r>
      <w:r>
        <w:rPr>
          <w:rStyle w:val="1172"/>
          <w:color w:val="000000"/>
          <w:szCs w:val="22"/>
          <w:u w:val="none"/>
        </w:rPr>
        <w:t xml:space="preserve">12. Кре</w:t>
      </w:r>
      <w:bookmarkStart w:id="105" w:name="_Hlt61336876"/>
      <w:r/>
      <w:bookmarkStart w:id="106" w:name="_Hlt61336877"/>
      <w:r>
        <w:rPr>
          <w:rStyle w:val="1172"/>
          <w:color w:val="000000"/>
          <w:szCs w:val="22"/>
          <w:u w:val="none"/>
        </w:rPr>
        <w:t xml:space="preserve">д</w:t>
      </w:r>
      <w:bookmarkEnd w:id="105"/>
      <w:r/>
      <w:bookmarkEnd w:id="106"/>
      <w:r/>
      <w:bookmarkStart w:id="107" w:name="_Hlt151480185"/>
      <w:r/>
      <w:bookmarkStart w:id="108" w:name="_Hlt151480186"/>
      <w:r>
        <w:rPr>
          <w:rStyle w:val="1172"/>
          <w:color w:val="000000"/>
          <w:szCs w:val="22"/>
          <w:u w:val="none"/>
        </w:rPr>
        <w:t xml:space="preserve">и</w:t>
      </w:r>
      <w:bookmarkEnd w:id="107"/>
      <w:r/>
      <w:bookmarkEnd w:id="108"/>
      <w:r/>
      <w:bookmarkStart w:id="109" w:name="_Hlt68169360"/>
      <w:r>
        <w:rPr>
          <w:rStyle w:val="1172"/>
          <w:color w:val="000000"/>
          <w:szCs w:val="22"/>
          <w:u w:val="none"/>
        </w:rPr>
        <w:t xml:space="preserve">т</w:t>
      </w:r>
      <w:bookmarkEnd w:id="109"/>
      <w:r/>
      <w:bookmarkStart w:id="110" w:name="_Hlt42786901"/>
      <w:r/>
      <w:bookmarkStart w:id="111" w:name="_Hlt42786902"/>
      <w:r>
        <w:rPr>
          <w:rStyle w:val="1172"/>
          <w:color w:val="000000"/>
          <w:szCs w:val="22"/>
          <w:u w:val="none"/>
        </w:rPr>
        <w:t xml:space="preserve">н</w:t>
      </w:r>
      <w:bookmarkEnd w:id="110"/>
      <w:r/>
      <w:bookmarkEnd w:id="111"/>
      <w:r/>
      <w:bookmarkStart w:id="112" w:name="_Hlt53073309"/>
      <w:r/>
      <w:bookmarkStart w:id="113" w:name="_Hlt53073310"/>
      <w:r/>
      <w:bookmarkStart w:id="114" w:name="_Hlt167369900"/>
      <w:r/>
      <w:bookmarkStart w:id="115" w:name="_Hlt167369901"/>
      <w:r>
        <w:rPr>
          <w:rStyle w:val="1172"/>
          <w:color w:val="000000"/>
          <w:szCs w:val="22"/>
          <w:u w:val="none"/>
        </w:rPr>
        <w:t xml:space="preserve">ы</w:t>
      </w:r>
      <w:bookmarkEnd w:id="112"/>
      <w:r/>
      <w:bookmarkEnd w:id="113"/>
      <w:r/>
      <w:bookmarkEnd w:id="114"/>
      <w:r/>
      <w:bookmarkEnd w:id="115"/>
      <w:r/>
      <w:bookmarkStart w:id="116" w:name="_Hlt43223014"/>
      <w:r/>
      <w:bookmarkStart w:id="117" w:name="_Hlt64535812"/>
      <w:r/>
      <w:bookmarkStart w:id="118" w:name="_Hlt64535813"/>
      <w:r>
        <w:rPr>
          <w:rStyle w:val="1172"/>
          <w:color w:val="000000"/>
          <w:szCs w:val="22"/>
          <w:u w:val="none"/>
        </w:rPr>
        <w:t xml:space="preserve">е</w:t>
      </w:r>
      <w:bookmarkEnd w:id="116"/>
      <w:r/>
      <w:bookmarkEnd w:id="117"/>
      <w:r/>
      <w:bookmarkEnd w:id="118"/>
      <w:r>
        <w:rPr>
          <w:rStyle w:val="1172"/>
          <w:color w:val="000000"/>
          <w:szCs w:val="22"/>
          <w:u w:val="none"/>
        </w:rPr>
        <w:t xml:space="preserve"> </w:t>
      </w:r>
      <w:bookmarkStart w:id="119" w:name="_Hlt49525213"/>
      <w:r>
        <w:rPr>
          <w:rStyle w:val="1172"/>
          <w:color w:val="000000"/>
          <w:szCs w:val="22"/>
          <w:u w:val="none"/>
        </w:rPr>
        <w:t xml:space="preserve">о</w:t>
      </w:r>
      <w:bookmarkEnd w:id="119"/>
      <w:r/>
      <w:bookmarkStart w:id="120" w:name="_Hlt57294065"/>
      <w:r/>
      <w:bookmarkStart w:id="121" w:name="_Hlt57294066"/>
      <w:r>
        <w:rPr>
          <w:rStyle w:val="1172"/>
          <w:color w:val="000000"/>
          <w:szCs w:val="22"/>
          <w:u w:val="none"/>
        </w:rPr>
        <w:t xml:space="preserve">п</w:t>
      </w:r>
      <w:bookmarkEnd w:id="120"/>
      <w:r/>
      <w:bookmarkEnd w:id="121"/>
      <w:r/>
      <w:bookmarkStart w:id="122" w:name="_Hlt76641045"/>
      <w:r/>
      <w:bookmarkStart w:id="123" w:name="_Hlt89626893"/>
      <w:r/>
      <w:bookmarkStart w:id="124" w:name="_Hlt105663561"/>
      <w:r>
        <w:rPr>
          <w:rStyle w:val="1172"/>
          <w:color w:val="000000"/>
          <w:szCs w:val="22"/>
          <w:u w:val="none"/>
        </w:rPr>
        <w:t xml:space="preserve">е</w:t>
      </w:r>
      <w:bookmarkEnd w:id="122"/>
      <w:r/>
      <w:bookmarkEnd w:id="123"/>
      <w:r/>
      <w:bookmarkEnd w:id="124"/>
      <w:r>
        <w:rPr>
          <w:rStyle w:val="1172"/>
          <w:color w:val="000000"/>
          <w:szCs w:val="22"/>
          <w:u w:val="none"/>
        </w:rPr>
        <w:t xml:space="preserve">р</w:t>
      </w:r>
      <w:bookmarkStart w:id="125" w:name="_Hlt47966883"/>
      <w:r/>
      <w:bookmarkStart w:id="126" w:name="_Hlt163553975"/>
      <w:r/>
      <w:bookmarkStart w:id="127" w:name="_Hlt163553976"/>
      <w:r>
        <w:rPr>
          <w:rStyle w:val="1172"/>
          <w:color w:val="000000"/>
          <w:szCs w:val="22"/>
          <w:u w:val="none"/>
        </w:rPr>
        <w:t xml:space="preserve">а</w:t>
      </w:r>
      <w:bookmarkEnd w:id="125"/>
      <w:r/>
      <w:bookmarkEnd w:id="126"/>
      <w:r/>
      <w:bookmarkEnd w:id="127"/>
      <w:r>
        <w:rPr>
          <w:rStyle w:val="1172"/>
          <w:color w:val="000000"/>
          <w:szCs w:val="22"/>
          <w:u w:val="none"/>
        </w:rPr>
        <w:t xml:space="preserve">ции</w:t>
      </w:r>
      <w:bookmarkStart w:id="128" w:name="_Hlt102570242"/>
      <w:r>
        <w:rPr>
          <w:rStyle w:val="1172"/>
          <w:color w:val="000000"/>
          <w:szCs w:val="22"/>
          <w:u w:val="none"/>
        </w:rPr>
        <w:tab/>
      </w:r>
      <w:bookmarkEnd w:id="128"/>
      <w:r>
        <w:rPr>
          <w:rStyle w:val="1172"/>
          <w:color w:val="000000"/>
          <w:szCs w:val="22"/>
          <w:u w:val="none"/>
        </w:rPr>
        <w:fldChar w:fldCharType="end"/>
      </w:r>
      <w:r>
        <w:rPr>
          <w:rStyle w:val="1172"/>
          <w:color w:val="000000"/>
          <w:szCs w:val="22"/>
          <w:u w:val="none"/>
        </w:rPr>
        <w:t xml:space="preserve">55</w:t>
      </w:r>
      <w:r>
        <w:rPr>
          <w:rStyle w:val="1172"/>
          <w:color w:val="000000"/>
          <w:szCs w:val="22"/>
          <w:u w:val="none"/>
        </w:rPr>
      </w:r>
      <w:r>
        <w:rPr>
          <w:rStyle w:val="1172"/>
          <w:color w:val="000000"/>
          <w:szCs w:val="22"/>
          <w:u w:val="none"/>
        </w:rPr>
      </w:r>
    </w:p>
    <w:p>
      <w:pPr>
        <w:pStyle w:val="1159"/>
        <w:ind w:left="0" w:right="-283" w:firstLine="0"/>
        <w:jc w:val="both"/>
        <w:rPr>
          <w:rStyle w:val="1172"/>
          <w:color w:val="000000"/>
          <w:szCs w:val="22"/>
          <w:u w:val="none"/>
        </w:rPr>
      </w:pPr>
      <w:r>
        <w:rPr>
          <w:rStyle w:val="1172"/>
          <w:color w:val="000000"/>
          <w:szCs w:val="22"/>
          <w:u w:val="none"/>
        </w:rPr>
        <w:fldChar w:fldCharType="begin"/>
      </w:r>
      <w:r>
        <w:rPr>
          <w:rStyle w:val="1172"/>
          <w:color w:val="000000"/>
          <w:szCs w:val="22"/>
          <w:u w:val="none"/>
        </w:rPr>
        <w:instrText xml:space="preserve"> HYPERLINK \l "_Toc422929482" </w:instrText>
      </w:r>
      <w:r>
        <w:rPr>
          <w:rStyle w:val="1172"/>
          <w:color w:val="000000"/>
          <w:szCs w:val="22"/>
          <w:u w:val="none"/>
        </w:rPr>
        <w:fldChar w:fldCharType="separate"/>
      </w:r>
      <w:r>
        <w:rPr>
          <w:rStyle w:val="1172"/>
          <w:color w:val="000000"/>
          <w:szCs w:val="22"/>
          <w:u w:val="none"/>
        </w:rPr>
        <w:t xml:space="preserve">13. Обслу</w:t>
      </w:r>
      <w:bookmarkStart w:id="129" w:name="_Hlt170892900"/>
      <w:r/>
      <w:bookmarkStart w:id="130" w:name="_Hlt170892901"/>
      <w:r>
        <w:rPr>
          <w:rStyle w:val="1172"/>
          <w:color w:val="000000"/>
          <w:szCs w:val="22"/>
          <w:u w:val="none"/>
        </w:rPr>
        <w:t xml:space="preserve">ж</w:t>
      </w:r>
      <w:bookmarkEnd w:id="129"/>
      <w:r/>
      <w:bookmarkEnd w:id="130"/>
      <w:r/>
      <w:bookmarkStart w:id="131" w:name="_Hlt69742501"/>
      <w:r/>
      <w:bookmarkStart w:id="132" w:name="_Hlt69742502"/>
      <w:r>
        <w:rPr>
          <w:rStyle w:val="1172"/>
          <w:color w:val="000000"/>
          <w:szCs w:val="22"/>
          <w:u w:val="none"/>
        </w:rPr>
        <w:t xml:space="preserve">и</w:t>
      </w:r>
      <w:bookmarkEnd w:id="131"/>
      <w:r/>
      <w:bookmarkEnd w:id="132"/>
      <w:r>
        <w:rPr>
          <w:rStyle w:val="1172"/>
          <w:color w:val="000000"/>
          <w:szCs w:val="22"/>
          <w:u w:val="none"/>
        </w:rPr>
        <w:t xml:space="preserve">в</w:t>
      </w:r>
      <w:bookmarkStart w:id="133" w:name="_Hlt183433333"/>
      <w:r/>
      <w:bookmarkStart w:id="134" w:name="_Hlt183433334"/>
      <w:r>
        <w:rPr>
          <w:rStyle w:val="1172"/>
          <w:color w:val="000000"/>
          <w:szCs w:val="22"/>
          <w:u w:val="none"/>
        </w:rPr>
        <w:t xml:space="preserve">а</w:t>
      </w:r>
      <w:bookmarkEnd w:id="133"/>
      <w:r/>
      <w:bookmarkEnd w:id="134"/>
      <w:r>
        <w:rPr>
          <w:rStyle w:val="1172"/>
          <w:color w:val="000000"/>
          <w:szCs w:val="22"/>
          <w:u w:val="none"/>
        </w:rPr>
        <w:t xml:space="preserve">ни</w:t>
      </w:r>
      <w:bookmarkStart w:id="135" w:name="_Hlt57294438"/>
      <w:r>
        <w:rPr>
          <w:rStyle w:val="1172"/>
          <w:color w:val="000000"/>
          <w:szCs w:val="22"/>
          <w:u w:val="none"/>
        </w:rPr>
        <w:t xml:space="preserve">е</w:t>
      </w:r>
      <w:bookmarkEnd w:id="135"/>
      <w:r>
        <w:rPr>
          <w:rStyle w:val="1172"/>
          <w:color w:val="000000"/>
          <w:szCs w:val="22"/>
          <w:u w:val="none"/>
        </w:rPr>
        <w:t xml:space="preserve"> торг</w:t>
      </w:r>
      <w:bookmarkStart w:id="136" w:name="_Hlt47966892"/>
      <w:r>
        <w:rPr>
          <w:rStyle w:val="1172"/>
          <w:color w:val="000000"/>
          <w:szCs w:val="22"/>
          <w:u w:val="none"/>
        </w:rPr>
        <w:t xml:space="preserve">о</w:t>
      </w:r>
      <w:bookmarkEnd w:id="136"/>
      <w:r/>
      <w:bookmarkStart w:id="137" w:name="_Hlt68169379"/>
      <w:r>
        <w:rPr>
          <w:rStyle w:val="1172"/>
          <w:color w:val="000000"/>
          <w:szCs w:val="22"/>
          <w:u w:val="none"/>
        </w:rPr>
        <w:t xml:space="preserve">в</w:t>
      </w:r>
      <w:bookmarkEnd w:id="137"/>
      <w:r/>
      <w:bookmarkStart w:id="138" w:name="_Hlt89626910"/>
      <w:r>
        <w:rPr>
          <w:rStyle w:val="1172"/>
          <w:color w:val="000000"/>
          <w:szCs w:val="22"/>
          <w:u w:val="none"/>
        </w:rPr>
        <w:t xml:space="preserve">о</w:t>
      </w:r>
      <w:bookmarkEnd w:id="138"/>
      <w:r>
        <w:rPr>
          <w:rStyle w:val="1172"/>
          <w:color w:val="000000"/>
          <w:szCs w:val="22"/>
          <w:u w:val="none"/>
        </w:rPr>
        <w:t xml:space="preserve">-</w:t>
      </w:r>
      <w:bookmarkStart w:id="139" w:name="_Hlt57294488"/>
      <w:r>
        <w:rPr>
          <w:rStyle w:val="1172"/>
          <w:color w:val="000000"/>
          <w:szCs w:val="22"/>
          <w:u w:val="none"/>
        </w:rPr>
        <w:t xml:space="preserve">с</w:t>
      </w:r>
      <w:bookmarkEnd w:id="139"/>
      <w:r>
        <w:rPr>
          <w:rStyle w:val="1172"/>
          <w:color w:val="000000"/>
          <w:szCs w:val="22"/>
          <w:u w:val="none"/>
        </w:rPr>
        <w:t xml:space="preserve">ер</w:t>
      </w:r>
      <w:bookmarkStart w:id="140" w:name="_Hlt119919941"/>
      <w:r/>
      <w:bookmarkStart w:id="141" w:name="_Hlt119919942"/>
      <w:r>
        <w:rPr>
          <w:rStyle w:val="1172"/>
          <w:color w:val="000000"/>
          <w:szCs w:val="22"/>
          <w:u w:val="none"/>
        </w:rPr>
        <w:t xml:space="preserve">в</w:t>
      </w:r>
      <w:bookmarkEnd w:id="140"/>
      <w:r/>
      <w:bookmarkEnd w:id="141"/>
      <w:r/>
      <w:bookmarkStart w:id="142" w:name="_Hlt43223027"/>
      <w:r/>
      <w:bookmarkStart w:id="143" w:name="_Hlt76641059"/>
      <w:r>
        <w:rPr>
          <w:rStyle w:val="1172"/>
          <w:color w:val="000000"/>
          <w:szCs w:val="22"/>
          <w:u w:val="none"/>
        </w:rPr>
        <w:t xml:space="preserve">и</w:t>
      </w:r>
      <w:bookmarkEnd w:id="142"/>
      <w:r/>
      <w:bookmarkEnd w:id="143"/>
      <w:r/>
      <w:bookmarkStart w:id="144" w:name="_Hlt49525224"/>
      <w:r>
        <w:rPr>
          <w:rStyle w:val="1172"/>
          <w:color w:val="000000"/>
          <w:szCs w:val="22"/>
          <w:u w:val="none"/>
        </w:rPr>
        <w:t xml:space="preserve">с</w:t>
      </w:r>
      <w:bookmarkEnd w:id="144"/>
      <w:r/>
      <w:bookmarkStart w:id="145" w:name="_Hlt57294636"/>
      <w:r>
        <w:rPr>
          <w:rStyle w:val="1172"/>
          <w:color w:val="000000"/>
          <w:szCs w:val="22"/>
          <w:u w:val="none"/>
        </w:rPr>
        <w:t xml:space="preserve">н</w:t>
      </w:r>
      <w:bookmarkEnd w:id="145"/>
      <w:r>
        <w:rPr>
          <w:rStyle w:val="1172"/>
          <w:color w:val="000000"/>
          <w:szCs w:val="22"/>
          <w:u w:val="none"/>
        </w:rPr>
        <w:t xml:space="preserve">ых предприятий, п</w:t>
      </w:r>
      <w:bookmarkStart w:id="146" w:name="_Hlt105663578"/>
      <w:r>
        <w:rPr>
          <w:rStyle w:val="1172"/>
          <w:color w:val="000000"/>
          <w:szCs w:val="22"/>
          <w:u w:val="none"/>
        </w:rPr>
        <w:t xml:space="preserve">р</w:t>
      </w:r>
      <w:bookmarkEnd w:id="146"/>
      <w:r>
        <w:rPr>
          <w:rStyle w:val="1172"/>
          <w:color w:val="000000"/>
          <w:szCs w:val="22"/>
          <w:u w:val="none"/>
        </w:rPr>
        <w:t xml:space="preserve">инима</w:t>
      </w:r>
      <w:bookmarkStart w:id="147" w:name="_Hlt102570255"/>
      <w:r>
        <w:rPr>
          <w:rStyle w:val="1172"/>
          <w:color w:val="000000"/>
          <w:szCs w:val="22"/>
          <w:u w:val="none"/>
        </w:rPr>
        <w:t xml:space="preserve">ю</w:t>
      </w:r>
      <w:bookmarkEnd w:id="147"/>
      <w:r>
        <w:rPr>
          <w:rStyle w:val="1172"/>
          <w:color w:val="000000"/>
          <w:szCs w:val="22"/>
          <w:u w:val="none"/>
        </w:rPr>
        <w:t xml:space="preserve">щих к оплате платежные карты</w:t>
      </w:r>
      <w:r>
        <w:rPr>
          <w:rStyle w:val="1172"/>
          <w:color w:val="000000"/>
          <w:szCs w:val="22"/>
          <w:u w:val="none"/>
        </w:rPr>
        <w:tab/>
      </w:r>
      <w:r>
        <w:rPr>
          <w:rStyle w:val="1172"/>
          <w:color w:val="000000"/>
          <w:szCs w:val="22"/>
          <w:u w:val="none"/>
        </w:rPr>
        <w:t xml:space="preserve">6</w:t>
      </w:r>
      <w:r>
        <w:rPr>
          <w:rStyle w:val="1172"/>
          <w:color w:val="000000"/>
          <w:szCs w:val="22"/>
          <w:u w:val="none"/>
        </w:rPr>
        <w:fldChar w:fldCharType="end"/>
      </w:r>
      <w:r>
        <w:rPr>
          <w:rStyle w:val="1172"/>
          <w:color w:val="000000"/>
          <w:szCs w:val="22"/>
          <w:u w:val="none"/>
        </w:rPr>
        <w:t xml:space="preserve">5</w:t>
      </w:r>
      <w:r>
        <w:rPr>
          <w:rStyle w:val="1172"/>
          <w:color w:val="000000"/>
          <w:szCs w:val="22"/>
          <w:u w:val="none"/>
        </w:rPr>
      </w:r>
      <w:r>
        <w:rPr>
          <w:rStyle w:val="1172"/>
          <w:color w:val="000000"/>
          <w:szCs w:val="22"/>
          <w:u w:val="none"/>
        </w:rPr>
      </w:r>
    </w:p>
    <w:p>
      <w:pPr>
        <w:pStyle w:val="1159"/>
        <w:ind w:left="0" w:right="-283" w:firstLine="0"/>
        <w:jc w:val="both"/>
        <w:rPr>
          <w:rStyle w:val="1172"/>
          <w:color w:val="000000"/>
          <w:szCs w:val="22"/>
          <w:u w:val="none"/>
        </w:rPr>
      </w:pPr>
      <w:r>
        <w:rPr>
          <w:rStyle w:val="1172"/>
          <w:color w:val="000000"/>
          <w:szCs w:val="22"/>
          <w:u w:val="none"/>
        </w:rPr>
        <w:fldChar w:fldCharType="begin"/>
      </w:r>
      <w:r>
        <w:rPr>
          <w:rStyle w:val="1172"/>
          <w:color w:val="000000"/>
          <w:szCs w:val="22"/>
          <w:u w:val="none"/>
        </w:rPr>
        <w:instrText xml:space="preserve"> HYPERLINK \l "_Toc422929483" </w:instrText>
      </w:r>
      <w:r>
        <w:rPr>
          <w:rStyle w:val="1172"/>
          <w:color w:val="000000"/>
          <w:szCs w:val="22"/>
          <w:u w:val="none"/>
        </w:rPr>
        <w:fldChar w:fldCharType="separate"/>
      </w:r>
      <w:r>
        <w:rPr>
          <w:rStyle w:val="1172"/>
          <w:color w:val="000000"/>
          <w:szCs w:val="22"/>
          <w:u w:val="none"/>
        </w:rPr>
        <w:t xml:space="preserve">14. Деп</w:t>
      </w:r>
      <w:bookmarkStart w:id="148" w:name="_Hlt61336984"/>
      <w:r>
        <w:rPr>
          <w:rStyle w:val="1172"/>
          <w:color w:val="000000"/>
          <w:szCs w:val="22"/>
          <w:u w:val="none"/>
        </w:rPr>
        <w:t xml:space="preserve">о</w:t>
      </w:r>
      <w:bookmarkEnd w:id="148"/>
      <w:r/>
      <w:bookmarkStart w:id="149" w:name="_Hlt43223045"/>
      <w:r>
        <w:rPr>
          <w:rStyle w:val="1172"/>
          <w:color w:val="000000"/>
          <w:szCs w:val="22"/>
          <w:u w:val="none"/>
        </w:rPr>
        <w:t xml:space="preserve">з</w:t>
      </w:r>
      <w:bookmarkEnd w:id="149"/>
      <w:r/>
      <w:bookmarkStart w:id="150" w:name="_Hlt47965644"/>
      <w:r>
        <w:rPr>
          <w:rStyle w:val="1172"/>
          <w:color w:val="000000"/>
          <w:szCs w:val="22"/>
          <w:u w:val="none"/>
        </w:rPr>
        <w:t xml:space="preserve">и</w:t>
      </w:r>
      <w:bookmarkEnd w:id="150"/>
      <w:r>
        <w:rPr>
          <w:rStyle w:val="1172"/>
          <w:color w:val="000000"/>
          <w:szCs w:val="22"/>
          <w:u w:val="none"/>
        </w:rPr>
        <w:t xml:space="preserve">та</w:t>
      </w:r>
      <w:bookmarkStart w:id="151" w:name="_Hlt89626925"/>
      <w:r>
        <w:rPr>
          <w:rStyle w:val="1172"/>
          <w:color w:val="000000"/>
          <w:szCs w:val="22"/>
          <w:u w:val="none"/>
        </w:rPr>
        <w:t xml:space="preserve">р</w:t>
      </w:r>
      <w:bookmarkEnd w:id="151"/>
      <w:r/>
      <w:bookmarkStart w:id="152" w:name="_Hlt53074416"/>
      <w:r/>
      <w:bookmarkStart w:id="153" w:name="_Hlt76641074"/>
      <w:r>
        <w:rPr>
          <w:rStyle w:val="1172"/>
          <w:color w:val="000000"/>
          <w:szCs w:val="22"/>
          <w:u w:val="none"/>
        </w:rPr>
        <w:t xml:space="preserve">н</w:t>
      </w:r>
      <w:bookmarkEnd w:id="152"/>
      <w:r/>
      <w:bookmarkEnd w:id="153"/>
      <w:r/>
      <w:bookmarkStart w:id="154" w:name="_Hlt49525241"/>
      <w:r/>
      <w:bookmarkStart w:id="155" w:name="_Hlt68169397"/>
      <w:r>
        <w:rPr>
          <w:rStyle w:val="1172"/>
          <w:color w:val="000000"/>
          <w:szCs w:val="22"/>
          <w:u w:val="none"/>
        </w:rPr>
        <w:t xml:space="preserve">ы</w:t>
      </w:r>
      <w:bookmarkEnd w:id="154"/>
      <w:r/>
      <w:bookmarkEnd w:id="155"/>
      <w:r/>
      <w:bookmarkStart w:id="156" w:name="_Hlt47966920"/>
      <w:r/>
      <w:bookmarkStart w:id="157" w:name="_Hlt90913422"/>
      <w:r/>
      <w:bookmarkStart w:id="158" w:name="_Hlt99465345"/>
      <w:r/>
      <w:bookmarkStart w:id="159" w:name="_Hlt102570266"/>
      <w:r/>
      <w:bookmarkStart w:id="160" w:name="_Hlt163557777"/>
      <w:r>
        <w:rPr>
          <w:rStyle w:val="1172"/>
          <w:color w:val="000000"/>
          <w:szCs w:val="22"/>
          <w:u w:val="none"/>
        </w:rPr>
        <w:t xml:space="preserve">е</w:t>
      </w:r>
      <w:bookmarkEnd w:id="156"/>
      <w:r/>
      <w:bookmarkEnd w:id="157"/>
      <w:r/>
      <w:bookmarkEnd w:id="158"/>
      <w:r/>
      <w:bookmarkEnd w:id="159"/>
      <w:r/>
      <w:bookmarkEnd w:id="160"/>
      <w:r/>
      <w:bookmarkStart w:id="161" w:name="_Hlt105663591"/>
      <w:r>
        <w:rPr>
          <w:rStyle w:val="1172"/>
          <w:color w:val="000000"/>
          <w:szCs w:val="22"/>
          <w:u w:val="none"/>
        </w:rPr>
        <w:t xml:space="preserve"> </w:t>
      </w:r>
      <w:bookmarkEnd w:id="161"/>
      <w:r/>
      <w:bookmarkStart w:id="162" w:name="_Hlt47007217"/>
      <w:r/>
      <w:bookmarkStart w:id="163" w:name="_Hlt47007218"/>
      <w:r>
        <w:rPr>
          <w:rStyle w:val="1172"/>
          <w:color w:val="000000"/>
          <w:szCs w:val="22"/>
          <w:u w:val="none"/>
        </w:rPr>
        <w:t xml:space="preserve">у</w:t>
      </w:r>
      <w:bookmarkEnd w:id="162"/>
      <w:r/>
      <w:bookmarkEnd w:id="163"/>
      <w:r>
        <w:rPr>
          <w:rStyle w:val="1172"/>
          <w:color w:val="000000"/>
          <w:szCs w:val="22"/>
          <w:u w:val="none"/>
        </w:rPr>
        <w:t xml:space="preserve">с</w:t>
      </w:r>
      <w:bookmarkStart w:id="164" w:name="_Hlt119919963"/>
      <w:r>
        <w:rPr>
          <w:rStyle w:val="1172"/>
          <w:color w:val="000000"/>
          <w:szCs w:val="22"/>
          <w:u w:val="none"/>
        </w:rPr>
        <w:t xml:space="preserve">л</w:t>
      </w:r>
      <w:bookmarkEnd w:id="164"/>
      <w:r>
        <w:rPr>
          <w:rStyle w:val="1172"/>
          <w:color w:val="000000"/>
          <w:szCs w:val="22"/>
          <w:u w:val="none"/>
        </w:rPr>
        <w:t xml:space="preserve">уги</w:t>
      </w:r>
      <w:bookmarkStart w:id="165" w:name="_Hlt57294657"/>
      <w:r/>
      <w:bookmarkStart w:id="166" w:name="_Hlt156208980"/>
      <w:r/>
      <w:bookmarkStart w:id="167" w:name="_Hlt161235069"/>
      <w:r>
        <w:rPr>
          <w:rStyle w:val="1172"/>
          <w:color w:val="000000"/>
          <w:szCs w:val="22"/>
          <w:u w:val="none"/>
        </w:rPr>
        <w:tab/>
      </w:r>
      <w:bookmarkEnd w:id="165"/>
      <w:r/>
      <w:bookmarkEnd w:id="166"/>
      <w:r/>
      <w:bookmarkEnd w:id="167"/>
      <w:r>
        <w:rPr>
          <w:rStyle w:val="1172"/>
          <w:color w:val="000000"/>
          <w:szCs w:val="22"/>
          <w:u w:val="none"/>
        </w:rPr>
        <w:t xml:space="preserve">6</w:t>
      </w:r>
      <w:r>
        <w:rPr>
          <w:rStyle w:val="1172"/>
          <w:color w:val="000000"/>
          <w:szCs w:val="22"/>
          <w:u w:val="none"/>
        </w:rPr>
        <w:fldChar w:fldCharType="end"/>
      </w:r>
      <w:r>
        <w:rPr>
          <w:rStyle w:val="1172"/>
          <w:color w:val="000000"/>
          <w:szCs w:val="22"/>
          <w:u w:val="none"/>
        </w:rPr>
        <w:t xml:space="preserve">7</w:t>
      </w:r>
      <w:r>
        <w:rPr>
          <w:rStyle w:val="1172"/>
          <w:color w:val="000000"/>
          <w:szCs w:val="22"/>
          <w:u w:val="none"/>
        </w:rPr>
      </w:r>
      <w:r>
        <w:rPr>
          <w:rStyle w:val="1172"/>
          <w:color w:val="000000"/>
          <w:szCs w:val="22"/>
          <w:u w:val="none"/>
        </w:rPr>
      </w:r>
    </w:p>
    <w:p>
      <w:pPr>
        <w:pStyle w:val="1159"/>
        <w:ind w:left="0" w:right="-283" w:firstLine="0"/>
        <w:jc w:val="both"/>
        <w:rPr>
          <w:rStyle w:val="1172"/>
          <w:color w:val="000000"/>
          <w:szCs w:val="22"/>
          <w:u w:val="none"/>
        </w:rPr>
      </w:pPr>
      <w:r>
        <w:rPr>
          <w:rStyle w:val="1172"/>
          <w:color w:val="000000"/>
          <w:szCs w:val="22"/>
          <w:u w:val="none"/>
        </w:rPr>
        <w:fldChar w:fldCharType="begin"/>
      </w:r>
      <w:r>
        <w:rPr>
          <w:rStyle w:val="1172"/>
          <w:color w:val="000000"/>
          <w:szCs w:val="22"/>
          <w:u w:val="none"/>
        </w:rPr>
        <w:instrText xml:space="preserve"> HYPERLINK \l "_Toc422929484" </w:instrText>
      </w:r>
      <w:r>
        <w:rPr>
          <w:rStyle w:val="1172"/>
          <w:color w:val="000000"/>
          <w:szCs w:val="22"/>
          <w:u w:val="none"/>
        </w:rPr>
        <w:fldChar w:fldCharType="separate"/>
      </w:r>
      <w:r>
        <w:rPr>
          <w:rStyle w:val="1172"/>
          <w:color w:val="000000"/>
          <w:szCs w:val="22"/>
          <w:u w:val="none"/>
        </w:rPr>
        <w:t xml:space="preserve">15. Оп</w:t>
      </w:r>
      <w:bookmarkStart w:id="168" w:name="_Hlt167370366"/>
      <w:r>
        <w:rPr>
          <w:rStyle w:val="1172"/>
          <w:color w:val="000000"/>
          <w:szCs w:val="22"/>
          <w:u w:val="none"/>
        </w:rPr>
        <w:t xml:space="preserve">е</w:t>
      </w:r>
      <w:bookmarkEnd w:id="168"/>
      <w:r>
        <w:rPr>
          <w:rStyle w:val="1172"/>
          <w:color w:val="000000"/>
          <w:szCs w:val="22"/>
          <w:u w:val="none"/>
        </w:rPr>
        <w:t xml:space="preserve">рации с</w:t>
      </w:r>
      <w:bookmarkStart w:id="169" w:name="_Hlt43223055"/>
      <w:r/>
      <w:bookmarkStart w:id="170" w:name="_Hlt105663605"/>
      <w:r>
        <w:rPr>
          <w:rStyle w:val="1172"/>
          <w:color w:val="000000"/>
          <w:szCs w:val="22"/>
          <w:u w:val="none"/>
        </w:rPr>
        <w:t xml:space="preserve"> </w:t>
      </w:r>
      <w:bookmarkEnd w:id="169"/>
      <w:r/>
      <w:bookmarkEnd w:id="170"/>
      <w:r>
        <w:rPr>
          <w:rStyle w:val="1172"/>
          <w:color w:val="000000"/>
          <w:szCs w:val="22"/>
          <w:u w:val="none"/>
        </w:rPr>
        <w:t xml:space="preserve">мо</w:t>
      </w:r>
      <w:bookmarkStart w:id="171" w:name="_Hlt61337007"/>
      <w:r/>
      <w:bookmarkStart w:id="172" w:name="_Hlt170893683"/>
      <w:r>
        <w:rPr>
          <w:rStyle w:val="1172"/>
          <w:color w:val="000000"/>
          <w:szCs w:val="22"/>
          <w:u w:val="none"/>
        </w:rPr>
        <w:t xml:space="preserve">н</w:t>
      </w:r>
      <w:bookmarkEnd w:id="171"/>
      <w:r/>
      <w:bookmarkEnd w:id="172"/>
      <w:r/>
      <w:bookmarkStart w:id="173" w:name="_Hlt90913437"/>
      <w:r>
        <w:rPr>
          <w:rStyle w:val="1172"/>
          <w:color w:val="000000"/>
          <w:szCs w:val="22"/>
          <w:u w:val="none"/>
        </w:rPr>
        <w:t xml:space="preserve">е</w:t>
      </w:r>
      <w:bookmarkEnd w:id="173"/>
      <w:r>
        <w:rPr>
          <w:rStyle w:val="1172"/>
          <w:color w:val="000000"/>
          <w:szCs w:val="22"/>
          <w:u w:val="none"/>
        </w:rPr>
        <w:t xml:space="preserve">та</w:t>
      </w:r>
      <w:bookmarkStart w:id="174" w:name="_Hlt53074432"/>
      <w:r/>
      <w:bookmarkStart w:id="175" w:name="_Hlt68169423"/>
      <w:r/>
      <w:bookmarkStart w:id="176" w:name="_Hlt163557791"/>
      <w:r>
        <w:rPr>
          <w:rStyle w:val="1172"/>
          <w:color w:val="000000"/>
          <w:szCs w:val="22"/>
          <w:u w:val="none"/>
        </w:rPr>
        <w:t xml:space="preserve">м</w:t>
      </w:r>
      <w:bookmarkEnd w:id="174"/>
      <w:r/>
      <w:bookmarkEnd w:id="175"/>
      <w:r/>
      <w:bookmarkEnd w:id="176"/>
      <w:r>
        <w:rPr>
          <w:rStyle w:val="1172"/>
          <w:color w:val="000000"/>
          <w:szCs w:val="22"/>
          <w:u w:val="none"/>
        </w:rPr>
        <w:t xml:space="preserve">и</w:t>
      </w:r>
      <w:r>
        <w:rPr>
          <w:rStyle w:val="1172"/>
          <w:color w:val="000000"/>
          <w:szCs w:val="22"/>
          <w:u w:val="none"/>
        </w:rPr>
        <w:t xml:space="preserve"> </w:t>
      </w:r>
      <w:r>
        <w:rPr>
          <w:rStyle w:val="1172"/>
          <w:color w:val="000000"/>
          <w:szCs w:val="22"/>
          <w:u w:val="none"/>
        </w:rPr>
        <w:t xml:space="preserve">и</w:t>
      </w:r>
      <w:r>
        <w:rPr>
          <w:rStyle w:val="1172"/>
          <w:color w:val="000000"/>
          <w:szCs w:val="22"/>
          <w:u w:val="none"/>
        </w:rPr>
        <w:t xml:space="preserve">з д</w:t>
      </w:r>
      <w:r>
        <w:rPr>
          <w:rStyle w:val="1172"/>
          <w:color w:val="000000"/>
          <w:szCs w:val="22"/>
          <w:u w:val="none"/>
        </w:rPr>
        <w:t xml:space="preserve">ра</w:t>
      </w:r>
      <w:r>
        <w:rPr>
          <w:rStyle w:val="1172"/>
          <w:color w:val="000000"/>
          <w:szCs w:val="22"/>
          <w:u w:val="none"/>
        </w:rPr>
        <w:t xml:space="preserve">гоц</w:t>
      </w:r>
      <w:r>
        <w:rPr>
          <w:rStyle w:val="1172"/>
          <w:color w:val="000000"/>
          <w:szCs w:val="22"/>
          <w:u w:val="none"/>
        </w:rPr>
        <w:t xml:space="preserve">енных металлов</w:t>
      </w:r>
      <w:r>
        <w:rPr>
          <w:rStyle w:val="1172"/>
          <w:color w:val="000000"/>
          <w:szCs w:val="22"/>
          <w:u w:val="none"/>
        </w:rPr>
        <w:tab/>
      </w:r>
      <w:r>
        <w:rPr>
          <w:rStyle w:val="1172"/>
          <w:color w:val="000000"/>
          <w:szCs w:val="22"/>
          <w:u w:val="none"/>
        </w:rPr>
        <w:t xml:space="preserve">7</w:t>
        <w:fldChar w:fldCharType="end"/>
      </w:r>
      <w:r>
        <w:rPr>
          <w:rStyle w:val="1172"/>
          <w:color w:val="000000"/>
          <w:szCs w:val="22"/>
          <w:u w:val="none"/>
        </w:rPr>
        <w:t xml:space="preserve">2</w:t>
      </w:r>
      <w:r>
        <w:rPr>
          <w:rStyle w:val="1172"/>
          <w:color w:val="000000"/>
          <w:szCs w:val="22"/>
          <w:u w:val="none"/>
        </w:rPr>
      </w:r>
      <w:r>
        <w:rPr>
          <w:rStyle w:val="1172"/>
          <w:color w:val="000000"/>
          <w:szCs w:val="22"/>
          <w:u w:val="none"/>
        </w:rPr>
      </w:r>
    </w:p>
    <w:p>
      <w:pPr>
        <w:pStyle w:val="1159"/>
        <w:ind w:left="0" w:right="-283" w:firstLine="0"/>
        <w:jc w:val="both"/>
        <w:rPr>
          <w:rStyle w:val="1172"/>
          <w:color w:val="000000"/>
          <w:szCs w:val="22"/>
          <w:u w:val="none"/>
        </w:rPr>
      </w:pPr>
      <w:r>
        <w:rPr>
          <w:rStyle w:val="1172"/>
          <w:color w:val="000000"/>
          <w:szCs w:val="22"/>
          <w:u w:val="none"/>
        </w:rPr>
        <w:fldChar w:fldCharType="begin"/>
      </w:r>
      <w:r>
        <w:rPr>
          <w:rStyle w:val="1172"/>
          <w:color w:val="000000"/>
          <w:szCs w:val="22"/>
          <w:u w:val="none"/>
        </w:rPr>
        <w:instrText xml:space="preserve"> HYPERLINK \l "_Toc422929484" </w:instrText>
      </w:r>
      <w:r>
        <w:rPr>
          <w:rStyle w:val="1172"/>
          <w:color w:val="000000"/>
          <w:szCs w:val="22"/>
          <w:u w:val="none"/>
        </w:rPr>
        <w:fldChar w:fldCharType="separate"/>
      </w:r>
      <w:r>
        <w:rPr>
          <w:rStyle w:val="1172"/>
          <w:color w:val="000000"/>
          <w:szCs w:val="22"/>
          <w:u w:val="none"/>
        </w:rPr>
        <w:t xml:space="preserve">16. Операции с</w:t>
      </w:r>
      <w:r>
        <w:rPr>
          <w:rStyle w:val="1172"/>
          <w:color w:val="000000"/>
          <w:szCs w:val="22"/>
          <w:u w:val="none"/>
        </w:rPr>
        <w:t xml:space="preserve"> </w:t>
      </w:r>
      <w:r>
        <w:rPr>
          <w:rStyle w:val="1172"/>
          <w:color w:val="000000"/>
          <w:szCs w:val="22"/>
          <w:u w:val="none"/>
        </w:rPr>
        <w:t xml:space="preserve">др</w:t>
      </w:r>
      <w:r>
        <w:rPr>
          <w:rStyle w:val="1172"/>
          <w:color w:val="000000"/>
          <w:szCs w:val="22"/>
          <w:u w:val="none"/>
        </w:rPr>
        <w:t xml:space="preserve">аго</w:t>
      </w:r>
      <w:r>
        <w:rPr>
          <w:rStyle w:val="1172"/>
          <w:color w:val="000000"/>
          <w:szCs w:val="22"/>
          <w:u w:val="none"/>
        </w:rPr>
        <w:t xml:space="preserve">ц</w:t>
      </w:r>
      <w:r>
        <w:rPr>
          <w:rStyle w:val="1172"/>
          <w:color w:val="000000"/>
          <w:szCs w:val="22"/>
          <w:u w:val="none"/>
        </w:rPr>
        <w:t xml:space="preserve">ен</w:t>
      </w:r>
      <w:r>
        <w:rPr>
          <w:rStyle w:val="1172"/>
          <w:color w:val="000000"/>
          <w:szCs w:val="22"/>
          <w:u w:val="none"/>
        </w:rPr>
        <w:t xml:space="preserve">ны</w:t>
      </w:r>
      <w:r>
        <w:rPr>
          <w:rStyle w:val="1172"/>
          <w:color w:val="000000"/>
          <w:szCs w:val="22"/>
          <w:u w:val="none"/>
        </w:rPr>
        <w:t xml:space="preserve">ми</w:t>
      </w:r>
      <w:r>
        <w:rPr>
          <w:rStyle w:val="1172"/>
          <w:color w:val="000000"/>
          <w:szCs w:val="22"/>
          <w:u w:val="none"/>
        </w:rPr>
        <w:t xml:space="preserve"> м</w:t>
      </w:r>
      <w:r>
        <w:rPr>
          <w:rStyle w:val="1172"/>
          <w:color w:val="000000"/>
          <w:szCs w:val="22"/>
          <w:u w:val="none"/>
        </w:rPr>
        <w:t xml:space="preserve">е</w:t>
      </w:r>
      <w:r>
        <w:rPr>
          <w:rStyle w:val="1172"/>
          <w:color w:val="000000"/>
          <w:szCs w:val="22"/>
          <w:u w:val="none"/>
        </w:rPr>
        <w:t xml:space="preserve">т</w:t>
      </w:r>
      <w:r>
        <w:rPr>
          <w:rStyle w:val="1172"/>
          <w:color w:val="000000"/>
          <w:szCs w:val="22"/>
          <w:u w:val="none"/>
        </w:rPr>
        <w:t xml:space="preserve">ал</w:t>
      </w:r>
      <w:r>
        <w:rPr>
          <w:rStyle w:val="1172"/>
          <w:color w:val="000000"/>
          <w:szCs w:val="22"/>
          <w:u w:val="none"/>
        </w:rPr>
        <w:t xml:space="preserve">л</w:t>
      </w:r>
      <w:r>
        <w:rPr>
          <w:rStyle w:val="1172"/>
          <w:color w:val="000000"/>
          <w:szCs w:val="22"/>
          <w:u w:val="none"/>
        </w:rPr>
        <w:t xml:space="preserve">ами</w:t>
      </w:r>
      <w:r>
        <w:rPr>
          <w:rStyle w:val="1172"/>
          <w:color w:val="000000"/>
          <w:szCs w:val="22"/>
          <w:u w:val="none"/>
        </w:rPr>
        <w:tab/>
      </w:r>
      <w:r>
        <w:rPr>
          <w:rStyle w:val="1172"/>
          <w:color w:val="000000"/>
          <w:szCs w:val="22"/>
          <w:u w:val="none"/>
        </w:rPr>
        <w:fldChar w:fldCharType="end"/>
        <w:t xml:space="preserve">7</w:t>
      </w:r>
      <w:r>
        <w:rPr>
          <w:rStyle w:val="1172"/>
          <w:color w:val="000000"/>
          <w:szCs w:val="22"/>
          <w:u w:val="none"/>
        </w:rPr>
        <w:t xml:space="preserve">2</w:t>
      </w:r>
      <w:r>
        <w:rPr>
          <w:rStyle w:val="1172"/>
          <w:color w:val="000000"/>
          <w:szCs w:val="22"/>
          <w:u w:val="none"/>
        </w:rPr>
      </w:r>
      <w:r>
        <w:rPr>
          <w:rStyle w:val="1172"/>
          <w:color w:val="000000"/>
          <w:szCs w:val="22"/>
          <w:u w:val="none"/>
        </w:rPr>
      </w:r>
    </w:p>
    <w:p>
      <w:pPr>
        <w:pStyle w:val="1135"/>
        <w:ind w:left="0" w:right="-283" w:firstLine="0"/>
        <w:jc w:val="both"/>
        <w:spacing w:line="360" w:lineRule="auto"/>
        <w:rPr>
          <w:rStyle w:val="1172"/>
          <w:b/>
          <w:color w:val="000000"/>
          <w:sz w:val="22"/>
          <w:szCs w:val="22"/>
          <w:u w:val="none"/>
        </w:rPr>
      </w:pPr>
      <w:r>
        <w:rPr>
          <w:rStyle w:val="1172"/>
          <w:b/>
          <w:color w:val="000000"/>
          <w:sz w:val="22"/>
          <w:szCs w:val="22"/>
          <w:u w:val="none"/>
        </w:rPr>
        <w:t xml:space="preserve">17. Обслуживание с использованием Торговой системы РСХБ-Дилинг АО</w:t>
      </w:r>
      <w:r>
        <w:rPr>
          <w:rStyle w:val="1172"/>
          <w:b/>
          <w:color w:val="000000"/>
          <w:sz w:val="22"/>
          <w:szCs w:val="22"/>
          <w:u w:val="none"/>
        </w:rPr>
        <w:t xml:space="preserve">  </w:t>
      </w:r>
      <w:r>
        <w:rPr>
          <w:rStyle w:val="1172"/>
          <w:b/>
          <w:color w:val="000000"/>
          <w:sz w:val="22"/>
          <w:szCs w:val="22"/>
          <w:u w:val="none"/>
        </w:rPr>
        <w:t xml:space="preserve"> Россельхозбанк»……............................................................................................................</w:t>
      </w:r>
      <w:r>
        <w:rPr>
          <w:rStyle w:val="1172"/>
          <w:b/>
          <w:color w:val="000000"/>
          <w:sz w:val="22"/>
          <w:szCs w:val="22"/>
          <w:u w:val="none"/>
        </w:rPr>
        <w:t xml:space="preserve">..............</w:t>
      </w:r>
      <w:r>
        <w:rPr>
          <w:rStyle w:val="1172"/>
          <w:b/>
          <w:color w:val="000000"/>
          <w:sz w:val="22"/>
          <w:szCs w:val="22"/>
          <w:u w:val="none"/>
        </w:rPr>
        <w:t xml:space="preserve">.............</w:t>
      </w:r>
      <w:r>
        <w:rPr>
          <w:rStyle w:val="1172"/>
          <w:b/>
          <w:color w:val="000000"/>
          <w:sz w:val="22"/>
          <w:szCs w:val="22"/>
          <w:u w:val="none"/>
        </w:rPr>
        <w:t xml:space="preserve">..</w:t>
      </w:r>
      <w:r>
        <w:rPr>
          <w:rStyle w:val="1172"/>
          <w:b/>
          <w:color w:val="000000"/>
          <w:sz w:val="22"/>
          <w:szCs w:val="22"/>
          <w:u w:val="none"/>
        </w:rPr>
        <w:t xml:space="preserve">   </w:t>
        <w:fldChar w:fldCharType="end"/>
      </w:r>
      <w:r>
        <w:rPr>
          <w:rStyle w:val="1172"/>
          <w:b/>
          <w:color w:val="000000"/>
          <w:sz w:val="22"/>
          <w:szCs w:val="22"/>
          <w:u w:val="none"/>
        </w:rPr>
        <w:t xml:space="preserve">73</w:t>
      </w:r>
      <w:r>
        <w:rPr>
          <w:rStyle w:val="1172"/>
          <w:b/>
          <w:color w:val="000000"/>
          <w:sz w:val="22"/>
          <w:szCs w:val="22"/>
          <w:u w:val="none"/>
        </w:rPr>
      </w:r>
      <w:r>
        <w:rPr>
          <w:rStyle w:val="1172"/>
          <w:b/>
          <w:color w:val="000000"/>
          <w:sz w:val="22"/>
          <w:szCs w:val="22"/>
          <w:u w:val="none"/>
        </w:rPr>
      </w:r>
    </w:p>
    <w:p>
      <w:pPr>
        <w:pStyle w:val="1135"/>
        <w:ind w:left="0" w:right="-283" w:firstLine="0"/>
        <w:jc w:val="both"/>
        <w:spacing w:line="360" w:lineRule="auto"/>
        <w:rPr>
          <w:rStyle w:val="1172"/>
          <w:b/>
          <w:color w:val="000000"/>
          <w:sz w:val="22"/>
          <w:szCs w:val="22"/>
          <w:u w:val="none"/>
        </w:rPr>
      </w:pPr>
      <w:r>
        <w:rPr>
          <w:rStyle w:val="1172"/>
          <w:b/>
          <w:color w:val="000000"/>
          <w:sz w:val="22"/>
          <w:szCs w:val="22"/>
          <w:u w:val="none"/>
        </w:rPr>
        <w:t xml:space="preserve">18. </w:t>
      </w:r>
      <w:r>
        <w:rPr>
          <w:b/>
          <w:sz w:val="22"/>
          <w:szCs w:val="22"/>
        </w:rPr>
        <w:t xml:space="preserve">Операции</w:t>
      </w:r>
      <w:r>
        <w:rPr>
          <w:b/>
          <w:sz w:val="22"/>
          <w:szCs w:val="22"/>
        </w:rPr>
        <w:t xml:space="preserve"> с использованием цифрового рубля…………………………………………………..........76 </w:t>
      </w:r>
      <w:r>
        <w:rPr>
          <w:b/>
          <w:sz w:val="22"/>
          <w:szCs w:val="22"/>
        </w:rPr>
        <w:tab/>
      </w:r>
      <w:r>
        <w:rPr>
          <w:rStyle w:val="1172"/>
          <w:b/>
          <w:color w:val="000000"/>
          <w:sz w:val="22"/>
          <w:szCs w:val="22"/>
          <w:u w:val="none"/>
        </w:rPr>
      </w:r>
      <w:r>
        <w:rPr>
          <w:rStyle w:val="1172"/>
          <w:b/>
          <w:color w:val="000000"/>
          <w:sz w:val="22"/>
          <w:szCs w:val="22"/>
          <w:u w:val="none"/>
        </w:rPr>
      </w:r>
    </w:p>
    <w:p>
      <w:pPr>
        <w:pStyle w:val="1135"/>
        <w:jc w:val="center"/>
        <w:rPr>
          <w:b/>
          <w:bCs/>
        </w:rPr>
      </w:pPr>
      <w:r>
        <w:rPr>
          <w:rStyle w:val="1172"/>
        </w:rPr>
        <w:br w:type="page" w:clear="all"/>
      </w:r>
      <w:r>
        <w:rPr>
          <w:b/>
          <w:bCs/>
        </w:rPr>
        <w:t xml:space="preserve">1. Открытие и ведение счетов</w:t>
      </w:r>
      <w:r>
        <w:rPr>
          <w:b/>
          <w:bCs/>
        </w:rPr>
      </w:r>
      <w:r>
        <w:rPr>
          <w:b/>
          <w:bCs/>
        </w:rPr>
      </w:r>
    </w:p>
    <w:p>
      <w:pPr>
        <w:pStyle w:val="1135"/>
        <w:jc w:val="center"/>
        <w:rPr>
          <w:b/>
          <w:bCs/>
        </w:rPr>
      </w:pPr>
      <w:r>
        <w:rPr>
          <w:b/>
          <w:bCs/>
        </w:rPr>
      </w:r>
      <w:r>
        <w:rPr>
          <w:b/>
          <w:bCs/>
        </w:rPr>
      </w:r>
      <w:r>
        <w:rPr>
          <w:b/>
          <w:bCs/>
        </w:rPr>
      </w:r>
    </w:p>
    <w:tbl>
      <w:tblPr>
        <w:tblW w:w="10182" w:type="dxa"/>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93"/>
        <w:gridCol w:w="3108"/>
        <w:gridCol w:w="2420"/>
        <w:gridCol w:w="120"/>
        <w:gridCol w:w="354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center"/>
            <w:textDirection w:val="lrTb"/>
            <w:noWrap w:val="false"/>
          </w:tcPr>
          <w:p>
            <w:pPr>
              <w:pStyle w:val="1135"/>
              <w:jc w:val="center"/>
              <w:rPr>
                <w:b/>
                <w:sz w:val="20"/>
                <w:szCs w:val="20"/>
              </w:rPr>
            </w:pPr>
            <w:r>
              <w:rPr>
                <w:b/>
                <w:sz w:val="20"/>
                <w:szCs w:val="20"/>
              </w:rPr>
              <w:t xml:space="preserve">№</w:t>
            </w:r>
            <w:r>
              <w:rPr>
                <w:b/>
                <w:sz w:val="20"/>
                <w:szCs w:val="20"/>
              </w:rPr>
            </w:r>
            <w:r>
              <w:rPr>
                <w:b/>
                <w:sz w:val="20"/>
                <w:szCs w:val="20"/>
              </w:rPr>
            </w:r>
          </w:p>
          <w:p>
            <w:pPr>
              <w:pStyle w:val="1135"/>
              <w:jc w:val="center"/>
              <w:rPr>
                <w:b/>
                <w:sz w:val="20"/>
                <w:szCs w:val="20"/>
              </w:rPr>
            </w:pPr>
            <w:r>
              <w:rPr>
                <w:b/>
                <w:sz w:val="20"/>
                <w:szCs w:val="20"/>
              </w:rPr>
              <w:t xml:space="preserve">п/п</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108" w:type="dxa"/>
            <w:vAlign w:val="center"/>
            <w:textDirection w:val="lrTb"/>
            <w:noWrap w:val="false"/>
          </w:tcPr>
          <w:p>
            <w:pPr>
              <w:pStyle w:val="1135"/>
              <w:jc w:val="center"/>
              <w:rPr>
                <w:b/>
                <w:sz w:val="20"/>
                <w:szCs w:val="20"/>
              </w:rPr>
            </w:pPr>
            <w:r>
              <w:rPr>
                <w:b/>
                <w:sz w:val="20"/>
                <w:szCs w:val="20"/>
              </w:rPr>
              <w:t xml:space="preserve">Наименование услуги</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2420" w:type="dxa"/>
            <w:vAlign w:val="center"/>
            <w:textDirection w:val="lrTb"/>
            <w:noWrap w:val="false"/>
          </w:tcPr>
          <w:p>
            <w:pPr>
              <w:pStyle w:val="1135"/>
              <w:jc w:val="center"/>
              <w:rPr>
                <w:b/>
                <w:sz w:val="20"/>
                <w:szCs w:val="20"/>
              </w:rPr>
            </w:pPr>
            <w:r>
              <w:rPr>
                <w:b/>
                <w:sz w:val="20"/>
                <w:szCs w:val="20"/>
              </w:rPr>
              <w:t xml:space="preserve">Тариф</w:t>
            </w:r>
            <w:r>
              <w:rPr>
                <w:b/>
                <w:sz w:val="20"/>
                <w:szCs w:val="20"/>
              </w:rPr>
            </w:r>
            <w:r>
              <w:rPr>
                <w:b/>
                <w:sz w:val="20"/>
                <w:szCs w:val="20"/>
              </w:rPr>
            </w:r>
          </w:p>
        </w:tc>
        <w:tc>
          <w:tcPr>
            <w:gridSpan w:val="2"/>
            <w:tcBorders>
              <w:top w:val="single" w:color="000000" w:sz="4" w:space="0"/>
              <w:left w:val="single" w:color="000000" w:sz="4" w:space="0"/>
              <w:bottom w:val="single" w:color="000000" w:sz="4" w:space="0"/>
              <w:right w:val="single" w:color="000000" w:sz="4" w:space="0"/>
            </w:tcBorders>
            <w:tcW w:w="3661" w:type="dxa"/>
            <w:vAlign w:val="center"/>
            <w:textDirection w:val="lrTb"/>
            <w:noWrap w:val="false"/>
          </w:tcPr>
          <w:p>
            <w:pPr>
              <w:pStyle w:val="1135"/>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center"/>
            <w:textDirection w:val="lrTb"/>
            <w:noWrap w:val="false"/>
          </w:tcPr>
          <w:p>
            <w:pPr>
              <w:pStyle w:val="1135"/>
              <w:jc w:val="center"/>
              <w:spacing w:before="120" w:after="120"/>
              <w:rPr>
                <w:sz w:val="20"/>
                <w:szCs w:val="20"/>
              </w:rPr>
            </w:pPr>
            <w:r>
              <w:rPr>
                <w:sz w:val="20"/>
                <w:szCs w:val="20"/>
              </w:rPr>
              <w:t xml:space="preserve">1.1.</w:t>
            </w:r>
            <w:r>
              <w:rPr>
                <w:sz w:val="20"/>
                <w:szCs w:val="20"/>
              </w:rPr>
            </w:r>
            <w:r>
              <w:rPr>
                <w:sz w:val="20"/>
                <w:szCs w:val="20"/>
              </w:rPr>
            </w:r>
          </w:p>
        </w:tc>
        <w:tc>
          <w:tcPr>
            <w:gridSpan w:val="4"/>
            <w:tcBorders>
              <w:top w:val="single" w:color="000000" w:sz="4" w:space="0"/>
              <w:left w:val="single" w:color="000000" w:sz="4" w:space="0"/>
              <w:bottom w:val="single" w:color="000000" w:sz="4" w:space="0"/>
              <w:right w:val="single" w:color="000000" w:sz="4" w:space="0"/>
            </w:tcBorders>
            <w:tcW w:w="9189" w:type="dxa"/>
            <w:vAlign w:val="center"/>
            <w:textDirection w:val="lrTb"/>
            <w:noWrap w:val="false"/>
          </w:tcPr>
          <w:p>
            <w:pPr>
              <w:pStyle w:val="1135"/>
              <w:jc w:val="both"/>
              <w:spacing w:before="120" w:after="120"/>
              <w:rPr>
                <w:b/>
                <w:sz w:val="20"/>
                <w:szCs w:val="20"/>
              </w:rPr>
            </w:pPr>
            <w:r>
              <w:rPr>
                <w:bCs/>
                <w:sz w:val="20"/>
                <w:szCs w:val="20"/>
              </w:rPr>
              <w:t xml:space="preserve">Открытие и ведение счетов в рублях Российской Федерации</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35"/>
              <w:jc w:val="center"/>
              <w:spacing w:before="40" w:after="40"/>
              <w:rPr>
                <w:sz w:val="20"/>
                <w:szCs w:val="20"/>
              </w:rPr>
            </w:pPr>
            <w:r>
              <w:rPr>
                <w:sz w:val="20"/>
                <w:szCs w:val="20"/>
              </w:rPr>
              <w:t xml:space="preserve">1.1.1.</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135"/>
              <w:spacing w:before="40" w:after="40"/>
              <w:rPr>
                <w:sz w:val="20"/>
                <w:szCs w:val="20"/>
              </w:rPr>
            </w:pPr>
            <w:r>
              <w:rPr>
                <w:sz w:val="20"/>
                <w:szCs w:val="20"/>
              </w:rPr>
              <w:t xml:space="preserve">Открытие счета</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420" w:type="dxa"/>
            <w:vAlign w:val="top"/>
            <w:textDirection w:val="lrTb"/>
            <w:noWrap w:val="false"/>
          </w:tcPr>
          <w:p>
            <w:pPr>
              <w:pStyle w:val="1135"/>
              <w:jc w:val="center"/>
              <w:spacing w:before="40" w:after="40"/>
              <w:rPr>
                <w:sz w:val="20"/>
                <w:szCs w:val="20"/>
              </w:rPr>
            </w:pPr>
            <w:r>
              <w:rPr>
                <w:sz w:val="20"/>
                <w:szCs w:val="20"/>
              </w:rPr>
              <w:t xml:space="preserve">2500 руб.</w:t>
            </w:r>
            <w:r>
              <w:rPr>
                <w:sz w:val="20"/>
                <w:szCs w:val="20"/>
              </w:rPr>
            </w:r>
            <w:r>
              <w:rPr>
                <w:sz w:val="20"/>
                <w:szCs w:val="20"/>
              </w:rPr>
            </w:r>
          </w:p>
        </w:tc>
        <w:tc>
          <w:tcPr>
            <w:gridSpan w:val="2"/>
            <w:tcBorders>
              <w:top w:val="single" w:color="000000" w:sz="4" w:space="0"/>
              <w:left w:val="single" w:color="000000" w:sz="4" w:space="0"/>
              <w:bottom w:val="none" w:color="000000" w:sz="4" w:space="0"/>
              <w:right w:val="single" w:color="000000" w:sz="4" w:space="0"/>
            </w:tcBorders>
            <w:tcW w:w="3661" w:type="dxa"/>
            <w:vAlign w:val="top"/>
            <w:vMerge w:val="restart"/>
            <w:textDirection w:val="lrTb"/>
            <w:noWrap w:val="false"/>
          </w:tcPr>
          <w:p>
            <w:pPr>
              <w:pStyle w:val="1135"/>
              <w:jc w:val="both"/>
              <w:spacing w:before="40" w:after="40"/>
              <w:rPr>
                <w:bCs/>
                <w:sz w:val="20"/>
                <w:szCs w:val="20"/>
              </w:rPr>
            </w:pPr>
            <w:r>
              <w:rPr>
                <w:bCs/>
                <w:sz w:val="20"/>
                <w:szCs w:val="20"/>
              </w:rPr>
              <w:t xml:space="preserve">В случае необходимости за оформление Банком карточки с образцами подписей и оттиска печати комиссия не взимается</w:t>
            </w:r>
            <w:r>
              <w:rPr>
                <w:bCs/>
                <w:sz w:val="20"/>
                <w:szCs w:val="20"/>
              </w:rPr>
            </w:r>
            <w:r>
              <w:rPr>
                <w:bCs/>
                <w:sz w:val="20"/>
                <w:szCs w:val="20"/>
              </w:rPr>
            </w:r>
          </w:p>
          <w:p>
            <w:pPr>
              <w:pStyle w:val="1135"/>
              <w:jc w:val="both"/>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35"/>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35"/>
              <w:jc w:val="both"/>
              <w:spacing w:before="40" w:after="40"/>
              <w:tabs>
                <w:tab w:val="left" w:pos="176" w:leader="none"/>
              </w:tabs>
              <w:rPr>
                <w:bCs/>
                <w:sz w:val="20"/>
                <w:szCs w:val="20"/>
              </w:rPr>
            </w:pPr>
            <w:r>
              <w:rPr>
                <w:bCs/>
                <w:sz w:val="20"/>
                <w:szCs w:val="20"/>
              </w:rPr>
              <w:t xml:space="preserve">-</w:t>
              <w:tab/>
              <w:t xml:space="preserve">при переходе на обслуживание из другого подразделения Банка и предъявлении клиентом Уведомления о закрытии счета в подразделении Банка, выданного в течение 3-х месяцев с даты закрытия счета</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35"/>
              <w:jc w:val="center"/>
              <w:spacing w:before="40" w:after="40"/>
              <w:rPr>
                <w:bCs/>
                <w:sz w:val="20"/>
                <w:szCs w:val="20"/>
              </w:rPr>
            </w:pPr>
            <w:r>
              <w:rPr>
                <w:sz w:val="20"/>
                <w:szCs w:val="20"/>
              </w:rPr>
              <w:t xml:space="preserve">Не взимается</w:t>
            </w:r>
            <w:r>
              <w:rPr>
                <w:bCs/>
                <w:sz w:val="20"/>
                <w:szCs w:val="20"/>
              </w:rPr>
            </w:r>
            <w:r>
              <w:rPr>
                <w:bCs/>
                <w:sz w:val="20"/>
                <w:szCs w:val="20"/>
              </w:rPr>
            </w:r>
          </w:p>
        </w:tc>
        <w:tc>
          <w:tcPr>
            <w:gridSpan w:val="2"/>
            <w:tcBorders>
              <w:left w:val="single" w:color="000000" w:sz="4" w:space="0"/>
              <w:bottom w:val="none" w:color="000000" w:sz="4" w:space="0"/>
              <w:right w:val="single" w:color="000000" w:sz="4" w:space="0"/>
            </w:tcBorders>
            <w:tcW w:w="3661" w:type="dxa"/>
            <w:vAlign w:val="top"/>
            <w:vMerge w:val="continue"/>
            <w:textDirection w:val="lrTb"/>
            <w:noWrap w:val="false"/>
          </w:tcPr>
          <w:p>
            <w:pPr>
              <w:pStyle w:val="1135"/>
              <w:jc w:val="both"/>
              <w:spacing w:before="12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35"/>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35"/>
              <w:jc w:val="both"/>
              <w:spacing w:before="40" w:after="40"/>
              <w:rPr>
                <w:bCs/>
                <w:sz w:val="20"/>
                <w:szCs w:val="20"/>
              </w:rPr>
            </w:pPr>
            <w:r>
              <w:rPr>
                <w:bCs/>
                <w:sz w:val="20"/>
                <w:szCs w:val="20"/>
              </w:rPr>
              <w:t xml:space="preserve">- накопительного счета, счета с особым режимом, счета по депозиту</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35"/>
              <w:jc w:val="center"/>
              <w:spacing w:before="40" w:after="40"/>
              <w:rPr>
                <w:bCs/>
                <w:sz w:val="20"/>
                <w:szCs w:val="20"/>
              </w:rPr>
            </w:pPr>
            <w:r>
              <w:rPr>
                <w:sz w:val="20"/>
                <w:szCs w:val="20"/>
              </w:rPr>
              <w:t xml:space="preserve">Не взимается</w:t>
            </w:r>
            <w:r>
              <w:rPr>
                <w:bCs/>
                <w:sz w:val="20"/>
                <w:szCs w:val="20"/>
              </w:rPr>
            </w:r>
            <w:r>
              <w:rPr>
                <w:bCs/>
                <w:sz w:val="20"/>
                <w:szCs w:val="20"/>
              </w:rPr>
            </w:r>
          </w:p>
        </w:tc>
        <w:tc>
          <w:tcPr>
            <w:gridSpan w:val="2"/>
            <w:tcBorders>
              <w:left w:val="single" w:color="000000" w:sz="4" w:space="0"/>
              <w:bottom w:val="none" w:color="000000" w:sz="4" w:space="0"/>
              <w:right w:val="single" w:color="000000" w:sz="4" w:space="0"/>
            </w:tcBorders>
            <w:tcW w:w="3661" w:type="dxa"/>
            <w:vAlign w:val="top"/>
            <w:vMerge w:val="continue"/>
            <w:textDirection w:val="lrTb"/>
            <w:noWrap w:val="false"/>
          </w:tcPr>
          <w:p>
            <w:pPr>
              <w:pStyle w:val="1135"/>
              <w:jc w:val="both"/>
              <w:spacing w:before="120"/>
              <w:rPr>
                <w:color w:val="000000"/>
                <w:sz w:val="20"/>
                <w:szCs w:val="20"/>
              </w:rPr>
            </w:pPr>
            <w:r>
              <w:rPr>
                <w:color w:val="000000"/>
                <w:sz w:val="20"/>
                <w:szCs w:val="20"/>
              </w:rPr>
            </w:r>
            <w:r>
              <w:rPr>
                <w:color w:val="000000"/>
                <w:sz w:val="20"/>
                <w:szCs w:val="20"/>
              </w:rPr>
            </w:r>
            <w:r>
              <w:rPr>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35"/>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35"/>
              <w:jc w:val="both"/>
              <w:spacing w:before="40"/>
              <w:rPr>
                <w:bCs/>
                <w:sz w:val="20"/>
                <w:szCs w:val="20"/>
              </w:rPr>
            </w:pPr>
            <w:r>
              <w:rPr>
                <w:bCs/>
                <w:sz w:val="20"/>
                <w:szCs w:val="20"/>
              </w:rPr>
              <w:t xml:space="preserve">- </w:t>
            </w:r>
            <w:r>
              <w:rPr>
                <w:sz w:val="20"/>
                <w:szCs w:val="20"/>
                <w:lang w:eastAsia="en-US"/>
              </w:rPr>
              <w:t xml:space="preserve">для</w:t>
            </w:r>
            <w:r>
              <w:rPr>
                <w:sz w:val="20"/>
                <w:szCs w:val="20"/>
              </w:rPr>
              <w:t xml:space="preserve"> клиентов, в отношении которых введена любая из процедур, применяемых в деле о банкротстве в соответствии с Федеральным законом от 26.10.2002 № 127-ФЗ «О несостоятельности (банкротстве)» или находящихся в процессе ликвидации</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35"/>
              <w:jc w:val="center"/>
              <w:spacing w:before="40" w:after="40"/>
              <w:rPr>
                <w:bCs/>
                <w:sz w:val="20"/>
                <w:szCs w:val="20"/>
              </w:rPr>
            </w:pPr>
            <w:r>
              <w:rPr>
                <w:bCs/>
                <w:sz w:val="20"/>
                <w:szCs w:val="20"/>
              </w:rPr>
              <w:t xml:space="preserve">2 500 руб.</w:t>
            </w:r>
            <w:r>
              <w:rPr>
                <w:bCs/>
                <w:sz w:val="20"/>
                <w:szCs w:val="20"/>
              </w:rPr>
            </w:r>
            <w:r>
              <w:rPr>
                <w:bCs/>
                <w:sz w:val="20"/>
                <w:szCs w:val="20"/>
              </w:rPr>
            </w:r>
          </w:p>
        </w:tc>
        <w:tc>
          <w:tcPr>
            <w:gridSpan w:val="2"/>
            <w:tcBorders>
              <w:left w:val="single" w:color="000000" w:sz="4" w:space="0"/>
              <w:bottom w:val="none" w:color="000000" w:sz="4" w:space="0"/>
              <w:right w:val="single" w:color="000000" w:sz="4" w:space="0"/>
            </w:tcBorders>
            <w:tcW w:w="3661" w:type="dxa"/>
            <w:vAlign w:val="top"/>
            <w:vMerge w:val="continue"/>
            <w:textDirection w:val="lrTb"/>
            <w:noWrap w:val="false"/>
          </w:tcPr>
          <w:p>
            <w:pPr>
              <w:pStyle w:val="1135"/>
              <w:jc w:val="both"/>
              <w:spacing w:before="120"/>
              <w:rPr>
                <w:color w:val="000000"/>
                <w:sz w:val="20"/>
                <w:szCs w:val="20"/>
              </w:rPr>
            </w:pPr>
            <w:r>
              <w:rPr>
                <w:color w:val="000000"/>
                <w:sz w:val="20"/>
                <w:szCs w:val="20"/>
              </w:rPr>
            </w:r>
            <w:r>
              <w:rPr>
                <w:color w:val="000000"/>
                <w:sz w:val="20"/>
                <w:szCs w:val="20"/>
              </w:rPr>
            </w:r>
            <w:r>
              <w:rPr>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35"/>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35"/>
              <w:jc w:val="both"/>
              <w:spacing w:before="40" w:after="40"/>
              <w:rPr>
                <w:b/>
                <w:bCs/>
                <w:sz w:val="20"/>
                <w:szCs w:val="20"/>
              </w:rPr>
            </w:pPr>
            <w:r>
              <w:rPr>
                <w:b/>
                <w:bCs/>
                <w:sz w:val="20"/>
                <w:szCs w:val="20"/>
              </w:rPr>
              <w:t xml:space="preserve">- </w:t>
            </w:r>
            <w:r>
              <w:rPr>
                <w:bCs/>
                <w:sz w:val="20"/>
                <w:szCs w:val="20"/>
              </w:rPr>
              <w:t xml:space="preserve">клиентам, включенным в региональную адресную программу по проведению капитального ремонта многок</w:t>
            </w:r>
            <w:r>
              <w:rPr>
                <w:bCs/>
                <w:sz w:val="20"/>
                <w:szCs w:val="20"/>
              </w:rPr>
              <w:t xml:space="preserve">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r>
              <w:rPr>
                <w:b/>
                <w:bCs/>
                <w:sz w:val="20"/>
                <w:szCs w:val="20"/>
              </w:rPr>
            </w:r>
            <w:r>
              <w:rPr>
                <w:b/>
                <w:bCs/>
                <w:sz w:val="20"/>
                <w:szCs w:val="20"/>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35"/>
              <w:jc w:val="center"/>
              <w:spacing w:before="40" w:after="40"/>
              <w:rPr>
                <w:bCs/>
                <w:sz w:val="20"/>
                <w:szCs w:val="20"/>
                <w:lang w:val="en-US"/>
              </w:rPr>
            </w:pPr>
            <w:r>
              <w:rPr>
                <w:bCs/>
                <w:sz w:val="20"/>
                <w:szCs w:val="20"/>
              </w:rPr>
              <w:t xml:space="preserve">Не взимается*</w:t>
            </w:r>
            <w:r>
              <w:rPr>
                <w:bCs/>
                <w:sz w:val="20"/>
                <w:szCs w:val="20"/>
                <w:lang w:val="en-US"/>
              </w:rPr>
            </w:r>
            <w:r>
              <w:rPr>
                <w:bCs/>
                <w:sz w:val="20"/>
                <w:szCs w:val="20"/>
                <w:lang w:val="en-US"/>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135"/>
              <w:jc w:val="both"/>
              <w:spacing w:before="120"/>
              <w:rPr>
                <w:color w:val="000000"/>
                <w:sz w:val="20"/>
                <w:szCs w:val="20"/>
              </w:rPr>
            </w:pPr>
            <w:r>
              <w:rPr>
                <w:color w:val="000000"/>
                <w:sz w:val="20"/>
                <w:szCs w:val="20"/>
              </w:rPr>
            </w:r>
            <w:r>
              <w:rPr>
                <w:color w:val="000000"/>
                <w:sz w:val="20"/>
                <w:szCs w:val="20"/>
              </w:rPr>
            </w:r>
            <w:r>
              <w:rPr>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35"/>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35"/>
              <w:jc w:val="both"/>
              <w:spacing w:before="40" w:after="40"/>
              <w:rPr>
                <w:sz w:val="20"/>
                <w:szCs w:val="20"/>
              </w:rPr>
            </w:pPr>
            <w:r>
              <w:rPr>
                <w:sz w:val="20"/>
                <w:szCs w:val="20"/>
              </w:rPr>
              <w:t xml:space="preserve">- клиентам, заключившим договор специального банковского счета для формирования фонда капитального ремонта в рамках требований Жилищного кодекса РФ от 29.12.2004 № 188-ФЗ </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35"/>
              <w:jc w:val="center"/>
              <w:spacing w:before="40" w:after="40"/>
              <w:rPr>
                <w:sz w:val="20"/>
                <w:szCs w:val="20"/>
              </w:rPr>
            </w:pPr>
            <w:r>
              <w:rPr>
                <w:sz w:val="20"/>
                <w:szCs w:val="20"/>
              </w:rPr>
              <w:t xml:space="preserve">Не взимается</w:t>
            </w:r>
            <w:r>
              <w:rPr>
                <w:sz w:val="20"/>
                <w:szCs w:val="20"/>
              </w:rPr>
            </w:r>
            <w:r>
              <w:rPr>
                <w:sz w:val="20"/>
                <w:szCs w:val="20"/>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135"/>
              <w:jc w:val="both"/>
              <w:spacing w:before="120"/>
              <w:rPr>
                <w:color w:val="000000"/>
                <w:sz w:val="20"/>
                <w:szCs w:val="20"/>
              </w:rPr>
            </w:pPr>
            <w:r>
              <w:rPr>
                <w:color w:val="000000"/>
                <w:sz w:val="20"/>
                <w:szCs w:val="20"/>
              </w:rPr>
            </w:r>
            <w:r>
              <w:rPr>
                <w:color w:val="000000"/>
                <w:sz w:val="20"/>
                <w:szCs w:val="20"/>
              </w:rPr>
            </w:r>
            <w:r>
              <w:rPr>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35"/>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35"/>
              <w:jc w:val="both"/>
              <w:spacing w:before="40" w:after="40"/>
              <w:rPr>
                <w:sz w:val="20"/>
                <w:szCs w:val="20"/>
              </w:rPr>
            </w:pPr>
            <w:r>
              <w:rPr>
                <w:sz w:val="20"/>
                <w:szCs w:val="20"/>
              </w:rPr>
              <w:t xml:space="preserve">- клиентам, заключившим договор номинального банковского счета, открываемого организациям, на которые возлагается исполнение обязанностей опекунов или попечителей</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35"/>
              <w:jc w:val="center"/>
              <w:spacing w:before="40" w:after="40"/>
              <w:rPr>
                <w:sz w:val="20"/>
                <w:szCs w:val="20"/>
              </w:rPr>
            </w:pPr>
            <w:r>
              <w:rPr>
                <w:sz w:val="20"/>
                <w:szCs w:val="20"/>
              </w:rPr>
              <w:t xml:space="preserve">Не взимается</w:t>
            </w:r>
            <w:r>
              <w:rPr>
                <w:sz w:val="20"/>
                <w:szCs w:val="20"/>
              </w:rPr>
            </w:r>
            <w:r>
              <w:rPr>
                <w:sz w:val="20"/>
                <w:szCs w:val="20"/>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135"/>
              <w:jc w:val="both"/>
              <w:spacing w:before="120"/>
              <w:rPr>
                <w:color w:val="000000"/>
                <w:sz w:val="20"/>
                <w:szCs w:val="20"/>
              </w:rPr>
            </w:pPr>
            <w:r>
              <w:rPr>
                <w:color w:val="000000"/>
                <w:sz w:val="20"/>
                <w:szCs w:val="20"/>
              </w:rPr>
            </w:r>
            <w:r>
              <w:rPr>
                <w:color w:val="000000"/>
                <w:sz w:val="20"/>
                <w:szCs w:val="20"/>
              </w:rPr>
            </w:r>
            <w:r>
              <w:rPr>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35"/>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35"/>
              <w:jc w:val="both"/>
              <w:spacing w:before="40" w:after="40"/>
              <w:rPr>
                <w:sz w:val="20"/>
                <w:szCs w:val="20"/>
              </w:rPr>
            </w:pPr>
            <w:r>
              <w:rPr>
                <w:bCs/>
                <w:sz w:val="20"/>
                <w:szCs w:val="20"/>
              </w:rPr>
              <w:t xml:space="preserve">- клиентам</w:t>
            </w:r>
            <w:r>
              <w:rPr>
                <w:sz w:val="20"/>
                <w:szCs w:val="20"/>
              </w:rPr>
              <w:t xml:space="preserve">, являющимся садоводческими или огородническими некоммерческими товариществами в соответствии с Федеральным законом от 29.07.2017 </w:t>
              <w:br w:type="textWrapping" w:clear="all"/>
              <w:t xml:space="preserve">№</w:t>
            </w:r>
            <w:r>
              <w:rPr>
                <w:sz w:val="20"/>
                <w:szCs w:val="20"/>
                <w:lang w:val="en-US"/>
              </w:rPr>
              <w:t xml:space="preserve"> </w:t>
            </w:r>
            <w:r>
              <w:rPr>
                <w:sz w:val="20"/>
                <w:szCs w:val="20"/>
              </w:rPr>
              <w:t xml:space="preserve">217-ФЗ «О ведении гражданами садоводства и огородничества для собственных нужд и о внесении изменений в отдельные законодательные акты Ро</w:t>
            </w:r>
            <w:r>
              <w:rPr>
                <w:sz w:val="20"/>
                <w:szCs w:val="20"/>
              </w:rPr>
              <w:t xml:space="preserve">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35"/>
              <w:jc w:val="center"/>
              <w:spacing w:before="40" w:after="40"/>
              <w:rPr>
                <w:bCs/>
                <w:sz w:val="20"/>
                <w:szCs w:val="20"/>
              </w:rPr>
            </w:pPr>
            <w:r>
              <w:rPr>
                <w:sz w:val="20"/>
                <w:szCs w:val="20"/>
              </w:rPr>
              <w:t xml:space="preserve">Не взимается</w:t>
            </w:r>
            <w:r>
              <w:rPr>
                <w:bCs/>
                <w:sz w:val="20"/>
                <w:szCs w:val="20"/>
              </w:rPr>
            </w:r>
            <w:r>
              <w:rPr>
                <w:bCs/>
                <w:sz w:val="20"/>
                <w:szCs w:val="20"/>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135"/>
              <w:jc w:val="both"/>
              <w:spacing w:before="120"/>
              <w:rPr>
                <w:color w:val="000000"/>
                <w:sz w:val="20"/>
                <w:szCs w:val="20"/>
              </w:rPr>
            </w:pPr>
            <w:r>
              <w:rPr>
                <w:color w:val="000000"/>
                <w:sz w:val="20"/>
                <w:szCs w:val="20"/>
              </w:rPr>
            </w:r>
            <w:r>
              <w:rPr>
                <w:color w:val="000000"/>
                <w:sz w:val="20"/>
                <w:szCs w:val="20"/>
              </w:rPr>
            </w:r>
            <w:r>
              <w:rPr>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none" w:color="000000" w:sz="4" w:space="0"/>
              <w:bottom w:val="none" w:color="000000" w:sz="4" w:space="0"/>
              <w:right w:val="single" w:color="000000" w:sz="4" w:space="0"/>
            </w:tcBorders>
            <w:tcW w:w="993" w:type="dxa"/>
            <w:vAlign w:val="top"/>
            <w:textDirection w:val="lrTb"/>
            <w:noWrap w:val="false"/>
          </w:tcPr>
          <w:p>
            <w:pPr>
              <w:pStyle w:val="1135"/>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35"/>
              <w:jc w:val="both"/>
              <w:tabs>
                <w:tab w:val="left" w:pos="708" w:leader="none"/>
                <w:tab w:val="center" w:pos="4677" w:leader="none"/>
                <w:tab w:val="right" w:pos="9355" w:leader="none"/>
              </w:tabs>
              <w:rPr>
                <w:sz w:val="20"/>
                <w:szCs w:val="20"/>
                <w:lang w:eastAsia="en-US"/>
              </w:rPr>
            </w:pPr>
            <w:r>
              <w:rPr>
                <w:sz w:val="20"/>
                <w:szCs w:val="20"/>
                <w:lang w:eastAsia="en-US"/>
              </w:rPr>
              <w:t xml:space="preserve">- </w:t>
            </w:r>
            <w:r>
              <w:rPr>
                <w:bCs/>
                <w:sz w:val="20"/>
                <w:szCs w:val="20"/>
              </w:rPr>
              <w:t xml:space="preserve">специального счета участника закупки для обеспечения заявок на участие в конкурсах и аукционах</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35"/>
              <w:jc w:val="center"/>
              <w:tabs>
                <w:tab w:val="left" w:pos="708" w:leader="none"/>
                <w:tab w:val="center" w:pos="4677" w:leader="none"/>
                <w:tab w:val="right" w:pos="9355" w:leader="none"/>
              </w:tabs>
              <w:rPr>
                <w:sz w:val="20"/>
                <w:szCs w:val="20"/>
                <w:lang w:eastAsia="en-US"/>
              </w:rPr>
            </w:pPr>
            <w:r>
              <w:rPr>
                <w:sz w:val="20"/>
                <w:szCs w:val="20"/>
                <w:lang w:eastAsia="en-US"/>
              </w:rPr>
              <w:t xml:space="preserve"> Не взимается</w:t>
            </w:r>
            <w:r>
              <w:rPr>
                <w:sz w:val="20"/>
                <w:szCs w:val="20"/>
                <w:lang w:eastAsia="en-US"/>
              </w:rPr>
            </w:r>
            <w:r>
              <w:rPr>
                <w:sz w:val="20"/>
                <w:szCs w:val="20"/>
                <w:lang w:eastAsia="en-US"/>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135"/>
              <w:jc w:val="both"/>
              <w:spacing w:before="120"/>
              <w:rPr>
                <w:color w:val="000000"/>
                <w:sz w:val="20"/>
                <w:szCs w:val="20"/>
              </w:rPr>
            </w:pPr>
            <w:r>
              <w:rPr>
                <w:color w:val="000000"/>
                <w:sz w:val="20"/>
                <w:szCs w:val="20"/>
              </w:rPr>
            </w:r>
            <w:r>
              <w:rPr>
                <w:color w:val="000000"/>
                <w:sz w:val="20"/>
                <w:szCs w:val="20"/>
              </w:rPr>
            </w:r>
            <w:r>
              <w:rPr>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none" w:color="000000" w:sz="4" w:space="0"/>
              <w:bottom w:val="single" w:color="000000" w:sz="4" w:space="0"/>
              <w:right w:val="single" w:color="000000" w:sz="4" w:space="0"/>
            </w:tcBorders>
            <w:tcW w:w="993" w:type="dxa"/>
            <w:vAlign w:val="top"/>
            <w:textDirection w:val="lrTb"/>
            <w:noWrap w:val="false"/>
          </w:tcPr>
          <w:p>
            <w:pPr>
              <w:pStyle w:val="1135"/>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135"/>
              <w:jc w:val="both"/>
              <w:tabs>
                <w:tab w:val="left" w:pos="708" w:leader="none"/>
                <w:tab w:val="center" w:pos="4677" w:leader="none"/>
                <w:tab w:val="right" w:pos="9355" w:leader="none"/>
              </w:tabs>
              <w:rPr>
                <w:sz w:val="20"/>
                <w:szCs w:val="20"/>
              </w:rPr>
            </w:pPr>
            <w:r>
              <w:rPr>
                <w:bCs/>
                <w:sz w:val="20"/>
                <w:szCs w:val="20"/>
              </w:rPr>
              <w:t xml:space="preserve">- для зачисления возмещения по операциям с использованием платежных карт в рамках договора эквайринга, заключенного</w:t>
            </w:r>
            <w:r>
              <w:rPr>
                <w:bCs/>
                <w:sz w:val="20"/>
                <w:szCs w:val="20"/>
              </w:rPr>
              <w:t xml:space="preserve"> </w:t>
            </w:r>
            <w:r>
              <w:rPr>
                <w:sz w:val="20"/>
                <w:szCs w:val="20"/>
              </w:rPr>
              <w:t xml:space="preserve">с АО «Россельхозбанк»</w:t>
            </w:r>
            <w:r>
              <w:rPr>
                <w:sz w:val="20"/>
                <w:szCs w:val="20"/>
              </w:rPr>
            </w:r>
            <w:r>
              <w:rPr>
                <w:sz w:val="20"/>
                <w:szCs w:val="20"/>
              </w:rPr>
            </w:r>
          </w:p>
          <w:p>
            <w:pPr>
              <w:pStyle w:val="1135"/>
              <w:jc w:val="both"/>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35"/>
              <w:jc w:val="both"/>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35"/>
              <w:jc w:val="both"/>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35"/>
              <w:jc w:val="both"/>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35"/>
              <w:jc w:val="both"/>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35"/>
              <w:jc w:val="both"/>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35"/>
              <w:jc w:val="both"/>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35"/>
              <w:jc w:val="both"/>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35"/>
              <w:jc w:val="both"/>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35"/>
              <w:jc w:val="both"/>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35"/>
              <w:jc w:val="both"/>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35"/>
              <w:jc w:val="both"/>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35"/>
              <w:jc w:val="both"/>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35"/>
              <w:jc w:val="both"/>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35"/>
              <w:jc w:val="both"/>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35"/>
              <w:jc w:val="both"/>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35"/>
              <w:jc w:val="both"/>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35"/>
              <w:jc w:val="both"/>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35"/>
              <w:jc w:val="both"/>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35"/>
              <w:jc w:val="both"/>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35"/>
              <w:jc w:val="both"/>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35"/>
              <w:jc w:val="both"/>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35"/>
              <w:jc w:val="both"/>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35"/>
              <w:jc w:val="both"/>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35"/>
              <w:jc w:val="both"/>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35"/>
              <w:jc w:val="both"/>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35"/>
              <w:jc w:val="both"/>
              <w:spacing w:after="240"/>
              <w:tabs>
                <w:tab w:val="left" w:pos="708" w:leader="none"/>
                <w:tab w:val="center" w:pos="4677" w:leader="none"/>
                <w:tab w:val="right" w:pos="9355" w:leader="none"/>
              </w:tabs>
              <w:rPr>
                <w:sz w:val="20"/>
                <w:szCs w:val="20"/>
                <w:lang w:eastAsia="en-US"/>
              </w:rPr>
            </w:pPr>
            <w:r>
              <w:rPr>
                <w:bCs/>
                <w:sz w:val="20"/>
                <w:szCs w:val="20"/>
              </w:rPr>
              <w:t xml:space="preserve">-</w:t>
            </w:r>
            <w:r>
              <w:rPr>
                <w:bCs/>
                <w:sz w:val="20"/>
                <w:szCs w:val="20"/>
              </w:rPr>
              <w:t xml:space="preserve"> </w:t>
            </w:r>
            <w:r>
              <w:rPr>
                <w:sz w:val="20"/>
                <w:szCs w:val="20"/>
              </w:rPr>
              <w:t xml:space="preserve">для клиентов, имеющих обязательства перед АО «Россельхозбанк» </w:t>
              <w:br w:type="textWrapping" w:clear="all"/>
              <w:t xml:space="preserve">по кредитным сделкам***, </w:t>
              <w:br w:type="textWrapping" w:clear="all"/>
              <w:t xml:space="preserve">в отношении которых введена любая из процедур, применяемых в деле </w:t>
              <w:br w:type="textWrapping" w:clear="all"/>
              <w:t xml:space="preserve">о банкротстве в соответствии с Федеральным законом </w:t>
              <w:br w:type="textWrapping" w:clear="all"/>
              <w:t xml:space="preserve">от 26.10.2002 № 127-ФЗ </w:t>
              <w:br w:type="textWrapping" w:clear="all"/>
            </w:r>
            <w:r>
              <w:rPr>
                <w:sz w:val="20"/>
                <w:szCs w:val="20"/>
              </w:rPr>
              <w:t xml:space="preserve">«О </w:t>
            </w:r>
            <w:r>
              <w:rPr>
                <w:sz w:val="20"/>
                <w:szCs w:val="20"/>
              </w:rPr>
              <w:t xml:space="preserve">несостоятельности (банкротстве)» или находящихся в процессе ликвидации</w:t>
            </w:r>
            <w:r>
              <w:rPr>
                <w:sz w:val="20"/>
                <w:szCs w:val="20"/>
                <w:lang w:eastAsia="en-US"/>
              </w:rPr>
            </w:r>
            <w:r>
              <w:rPr>
                <w:sz w:val="20"/>
                <w:szCs w:val="20"/>
                <w:lang w:eastAsia="en-US"/>
              </w:rPr>
            </w:r>
          </w:p>
          <w:p>
            <w:pPr>
              <w:pStyle w:val="1135"/>
              <w:jc w:val="both"/>
              <w:spacing w:after="2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single" w:color="000000" w:sz="4" w:space="0"/>
              <w:right w:val="single" w:color="000000" w:sz="4" w:space="0"/>
            </w:tcBorders>
            <w:tcW w:w="2420" w:type="dxa"/>
            <w:vAlign w:val="top"/>
            <w:textDirection w:val="lrTb"/>
            <w:noWrap w:val="false"/>
          </w:tcPr>
          <w:p>
            <w:pPr>
              <w:pStyle w:val="1135"/>
              <w:jc w:val="center"/>
              <w:rPr>
                <w:sz w:val="20"/>
                <w:szCs w:val="20"/>
              </w:rPr>
            </w:pPr>
            <w:r>
              <w:rPr>
                <w:sz w:val="20"/>
                <w:szCs w:val="20"/>
              </w:rPr>
              <w:t xml:space="preserve">Не взимается</w:t>
            </w:r>
            <w:r>
              <w:rPr>
                <w:sz w:val="20"/>
                <w:szCs w:val="20"/>
              </w:rPr>
            </w:r>
            <w:r>
              <w:rPr>
                <w:sz w:val="20"/>
                <w:szCs w:val="20"/>
              </w:rPr>
            </w:r>
          </w:p>
          <w:p>
            <w:pPr>
              <w:pStyle w:val="1135"/>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35"/>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35"/>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35"/>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35"/>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35"/>
              <w:jc w:val="center"/>
              <w:rPr>
                <w:sz w:val="20"/>
                <w:szCs w:val="20"/>
              </w:rPr>
            </w:pPr>
            <w:r>
              <w:rPr>
                <w:sz w:val="20"/>
                <w:szCs w:val="20"/>
              </w:rPr>
            </w:r>
            <w:r>
              <w:rPr>
                <w:sz w:val="20"/>
                <w:szCs w:val="20"/>
              </w:rPr>
            </w:r>
            <w:r>
              <w:rPr>
                <w:sz w:val="20"/>
                <w:szCs w:val="20"/>
              </w:rPr>
            </w:r>
          </w:p>
          <w:p>
            <w:pPr>
              <w:pStyle w:val="1135"/>
              <w:jc w:val="center"/>
              <w:rPr>
                <w:sz w:val="20"/>
                <w:szCs w:val="20"/>
              </w:rPr>
            </w:pPr>
            <w:r>
              <w:rPr>
                <w:sz w:val="20"/>
                <w:szCs w:val="20"/>
              </w:rPr>
            </w:r>
            <w:r>
              <w:rPr>
                <w:sz w:val="20"/>
                <w:szCs w:val="20"/>
              </w:rPr>
            </w:r>
            <w:r>
              <w:rPr>
                <w:sz w:val="20"/>
                <w:szCs w:val="20"/>
              </w:rPr>
            </w:r>
          </w:p>
          <w:p>
            <w:pPr>
              <w:pStyle w:val="1135"/>
              <w:jc w:val="center"/>
              <w:rPr>
                <w:sz w:val="20"/>
                <w:szCs w:val="20"/>
              </w:rPr>
            </w:pPr>
            <w:r>
              <w:rPr>
                <w:sz w:val="20"/>
                <w:szCs w:val="20"/>
              </w:rPr>
            </w:r>
            <w:r>
              <w:rPr>
                <w:sz w:val="20"/>
                <w:szCs w:val="20"/>
              </w:rPr>
            </w:r>
            <w:r>
              <w:rPr>
                <w:sz w:val="20"/>
                <w:szCs w:val="20"/>
              </w:rPr>
            </w:r>
          </w:p>
          <w:p>
            <w:pPr>
              <w:pStyle w:val="1135"/>
              <w:jc w:val="center"/>
              <w:rPr>
                <w:sz w:val="20"/>
                <w:szCs w:val="20"/>
              </w:rPr>
            </w:pPr>
            <w:r>
              <w:rPr>
                <w:sz w:val="20"/>
                <w:szCs w:val="20"/>
              </w:rPr>
            </w:r>
            <w:r>
              <w:rPr>
                <w:sz w:val="20"/>
                <w:szCs w:val="20"/>
              </w:rPr>
            </w:r>
            <w:r>
              <w:rPr>
                <w:sz w:val="20"/>
                <w:szCs w:val="20"/>
              </w:rPr>
            </w:r>
          </w:p>
          <w:p>
            <w:pPr>
              <w:pStyle w:val="1135"/>
              <w:jc w:val="center"/>
              <w:rPr>
                <w:sz w:val="20"/>
                <w:szCs w:val="20"/>
              </w:rPr>
            </w:pPr>
            <w:r>
              <w:rPr>
                <w:sz w:val="20"/>
                <w:szCs w:val="20"/>
              </w:rPr>
            </w:r>
            <w:r>
              <w:rPr>
                <w:sz w:val="20"/>
                <w:szCs w:val="20"/>
              </w:rPr>
            </w:r>
            <w:r>
              <w:rPr>
                <w:sz w:val="20"/>
                <w:szCs w:val="20"/>
              </w:rPr>
            </w:r>
          </w:p>
          <w:p>
            <w:pPr>
              <w:pStyle w:val="1135"/>
              <w:jc w:val="center"/>
              <w:rPr>
                <w:sz w:val="20"/>
                <w:szCs w:val="20"/>
              </w:rPr>
            </w:pPr>
            <w:r>
              <w:rPr>
                <w:sz w:val="20"/>
                <w:szCs w:val="20"/>
              </w:rPr>
            </w:r>
            <w:r>
              <w:rPr>
                <w:sz w:val="20"/>
                <w:szCs w:val="20"/>
              </w:rPr>
            </w:r>
            <w:r>
              <w:rPr>
                <w:sz w:val="20"/>
                <w:szCs w:val="20"/>
              </w:rPr>
            </w:r>
          </w:p>
          <w:p>
            <w:pPr>
              <w:pStyle w:val="1135"/>
              <w:jc w:val="center"/>
              <w:rPr>
                <w:sz w:val="20"/>
                <w:szCs w:val="20"/>
              </w:rPr>
            </w:pPr>
            <w:r>
              <w:rPr>
                <w:sz w:val="20"/>
                <w:szCs w:val="20"/>
              </w:rPr>
            </w:r>
            <w:r>
              <w:rPr>
                <w:sz w:val="20"/>
                <w:szCs w:val="20"/>
              </w:rPr>
            </w:r>
            <w:r>
              <w:rPr>
                <w:sz w:val="20"/>
                <w:szCs w:val="20"/>
              </w:rPr>
            </w:r>
          </w:p>
          <w:p>
            <w:pPr>
              <w:pStyle w:val="1135"/>
              <w:jc w:val="center"/>
              <w:rPr>
                <w:sz w:val="20"/>
                <w:szCs w:val="20"/>
              </w:rPr>
            </w:pPr>
            <w:r>
              <w:rPr>
                <w:sz w:val="20"/>
                <w:szCs w:val="20"/>
              </w:rPr>
            </w:r>
            <w:r>
              <w:rPr>
                <w:sz w:val="20"/>
                <w:szCs w:val="20"/>
              </w:rPr>
            </w:r>
            <w:r>
              <w:rPr>
                <w:sz w:val="20"/>
                <w:szCs w:val="20"/>
              </w:rPr>
            </w:r>
          </w:p>
          <w:p>
            <w:pPr>
              <w:pStyle w:val="1135"/>
              <w:jc w:val="center"/>
              <w:rPr>
                <w:sz w:val="20"/>
                <w:szCs w:val="20"/>
              </w:rPr>
            </w:pPr>
            <w:r>
              <w:rPr>
                <w:sz w:val="20"/>
                <w:szCs w:val="20"/>
              </w:rPr>
            </w:r>
            <w:r>
              <w:rPr>
                <w:sz w:val="20"/>
                <w:szCs w:val="20"/>
              </w:rPr>
            </w:r>
            <w:r>
              <w:rPr>
                <w:sz w:val="20"/>
                <w:szCs w:val="20"/>
              </w:rPr>
            </w:r>
          </w:p>
          <w:p>
            <w:pPr>
              <w:pStyle w:val="1135"/>
              <w:jc w:val="center"/>
              <w:rPr>
                <w:sz w:val="20"/>
                <w:szCs w:val="20"/>
              </w:rPr>
            </w:pPr>
            <w:r>
              <w:rPr>
                <w:sz w:val="20"/>
                <w:szCs w:val="20"/>
              </w:rPr>
            </w:r>
            <w:r>
              <w:rPr>
                <w:sz w:val="20"/>
                <w:szCs w:val="20"/>
              </w:rPr>
            </w:r>
            <w:r>
              <w:rPr>
                <w:sz w:val="20"/>
                <w:szCs w:val="20"/>
              </w:rPr>
            </w:r>
          </w:p>
          <w:p>
            <w:pPr>
              <w:pStyle w:val="1135"/>
              <w:jc w:val="center"/>
              <w:rPr>
                <w:sz w:val="20"/>
                <w:szCs w:val="20"/>
              </w:rPr>
            </w:pPr>
            <w:r>
              <w:rPr>
                <w:sz w:val="20"/>
                <w:szCs w:val="20"/>
              </w:rPr>
            </w:r>
            <w:r>
              <w:rPr>
                <w:sz w:val="20"/>
                <w:szCs w:val="20"/>
              </w:rPr>
            </w:r>
            <w:r>
              <w:rPr>
                <w:sz w:val="20"/>
                <w:szCs w:val="20"/>
              </w:rPr>
            </w:r>
          </w:p>
          <w:p>
            <w:pPr>
              <w:pStyle w:val="1135"/>
              <w:jc w:val="center"/>
              <w:rPr>
                <w:sz w:val="20"/>
                <w:szCs w:val="20"/>
              </w:rPr>
            </w:pPr>
            <w:r>
              <w:rPr>
                <w:sz w:val="20"/>
                <w:szCs w:val="20"/>
              </w:rPr>
            </w:r>
            <w:r>
              <w:rPr>
                <w:sz w:val="20"/>
                <w:szCs w:val="20"/>
              </w:rPr>
            </w:r>
            <w:r>
              <w:rPr>
                <w:sz w:val="20"/>
                <w:szCs w:val="20"/>
              </w:rPr>
            </w:r>
          </w:p>
          <w:p>
            <w:pPr>
              <w:pStyle w:val="1135"/>
              <w:jc w:val="center"/>
              <w:rPr>
                <w:sz w:val="20"/>
                <w:szCs w:val="20"/>
              </w:rPr>
            </w:pPr>
            <w:r>
              <w:rPr>
                <w:sz w:val="20"/>
                <w:szCs w:val="20"/>
              </w:rPr>
            </w:r>
            <w:r>
              <w:rPr>
                <w:sz w:val="20"/>
                <w:szCs w:val="20"/>
              </w:rPr>
            </w:r>
            <w:r>
              <w:rPr>
                <w:sz w:val="20"/>
                <w:szCs w:val="20"/>
              </w:rPr>
            </w:r>
          </w:p>
          <w:p>
            <w:pPr>
              <w:pStyle w:val="1135"/>
              <w:jc w:val="center"/>
              <w:rPr>
                <w:sz w:val="20"/>
                <w:szCs w:val="20"/>
              </w:rPr>
            </w:pPr>
            <w:r>
              <w:rPr>
                <w:sz w:val="20"/>
                <w:szCs w:val="20"/>
              </w:rPr>
            </w:r>
            <w:r>
              <w:rPr>
                <w:sz w:val="20"/>
                <w:szCs w:val="20"/>
              </w:rPr>
            </w:r>
            <w:r>
              <w:rPr>
                <w:sz w:val="20"/>
                <w:szCs w:val="20"/>
              </w:rPr>
            </w:r>
          </w:p>
          <w:p>
            <w:pPr>
              <w:pStyle w:val="1135"/>
              <w:jc w:val="center"/>
              <w:rPr>
                <w:sz w:val="20"/>
                <w:szCs w:val="20"/>
              </w:rPr>
            </w:pPr>
            <w:r>
              <w:rPr>
                <w:sz w:val="20"/>
                <w:szCs w:val="20"/>
              </w:rPr>
            </w:r>
            <w:r>
              <w:rPr>
                <w:sz w:val="20"/>
                <w:szCs w:val="20"/>
              </w:rPr>
            </w:r>
            <w:r>
              <w:rPr>
                <w:sz w:val="20"/>
                <w:szCs w:val="20"/>
              </w:rPr>
            </w:r>
          </w:p>
          <w:p>
            <w:pPr>
              <w:pStyle w:val="1135"/>
              <w:jc w:val="center"/>
              <w:rPr>
                <w:sz w:val="20"/>
                <w:szCs w:val="20"/>
              </w:rPr>
            </w:pPr>
            <w:r>
              <w:rPr>
                <w:sz w:val="20"/>
                <w:szCs w:val="20"/>
              </w:rPr>
            </w:r>
            <w:r>
              <w:rPr>
                <w:sz w:val="20"/>
                <w:szCs w:val="20"/>
              </w:rPr>
            </w:r>
            <w:r>
              <w:rPr>
                <w:sz w:val="20"/>
                <w:szCs w:val="20"/>
              </w:rPr>
            </w:r>
          </w:p>
          <w:p>
            <w:pPr>
              <w:pStyle w:val="1135"/>
              <w:jc w:val="center"/>
              <w:rPr>
                <w:sz w:val="20"/>
                <w:szCs w:val="20"/>
              </w:rPr>
            </w:pPr>
            <w:r>
              <w:rPr>
                <w:sz w:val="20"/>
                <w:szCs w:val="20"/>
              </w:rPr>
            </w:r>
            <w:r>
              <w:rPr>
                <w:sz w:val="20"/>
                <w:szCs w:val="20"/>
              </w:rPr>
            </w:r>
            <w:r>
              <w:rPr>
                <w:sz w:val="20"/>
                <w:szCs w:val="20"/>
              </w:rPr>
            </w:r>
          </w:p>
          <w:p>
            <w:pPr>
              <w:pStyle w:val="1135"/>
              <w:jc w:val="center"/>
              <w:rPr>
                <w:sz w:val="20"/>
                <w:szCs w:val="20"/>
              </w:rPr>
            </w:pPr>
            <w:r>
              <w:rPr>
                <w:sz w:val="20"/>
                <w:szCs w:val="20"/>
              </w:rPr>
            </w:r>
            <w:r>
              <w:rPr>
                <w:sz w:val="20"/>
                <w:szCs w:val="20"/>
              </w:rPr>
            </w:r>
            <w:r>
              <w:rPr>
                <w:sz w:val="20"/>
                <w:szCs w:val="20"/>
              </w:rPr>
            </w:r>
          </w:p>
          <w:p>
            <w:pPr>
              <w:pStyle w:val="1135"/>
              <w:jc w:val="center"/>
              <w:rPr>
                <w:sz w:val="20"/>
                <w:szCs w:val="20"/>
              </w:rPr>
            </w:pPr>
            <w:r>
              <w:rPr>
                <w:sz w:val="20"/>
                <w:szCs w:val="20"/>
              </w:rPr>
            </w:r>
            <w:r>
              <w:rPr>
                <w:sz w:val="20"/>
                <w:szCs w:val="20"/>
              </w:rPr>
            </w:r>
            <w:r>
              <w:rPr>
                <w:sz w:val="20"/>
                <w:szCs w:val="20"/>
              </w:rPr>
            </w:r>
          </w:p>
          <w:p>
            <w:pPr>
              <w:pStyle w:val="1135"/>
              <w:jc w:val="center"/>
              <w:rPr>
                <w:sz w:val="20"/>
                <w:szCs w:val="20"/>
              </w:rPr>
            </w:pPr>
            <w:r>
              <w:rPr>
                <w:sz w:val="20"/>
                <w:szCs w:val="20"/>
              </w:rPr>
            </w:r>
            <w:r>
              <w:rPr>
                <w:sz w:val="20"/>
                <w:szCs w:val="20"/>
              </w:rPr>
            </w:r>
            <w:r>
              <w:rPr>
                <w:sz w:val="20"/>
                <w:szCs w:val="20"/>
              </w:rPr>
            </w:r>
          </w:p>
          <w:p>
            <w:pPr>
              <w:pStyle w:val="1135"/>
              <w:jc w:val="center"/>
              <w:rPr>
                <w:sz w:val="20"/>
                <w:szCs w:val="20"/>
              </w:rPr>
            </w:pPr>
            <w:r>
              <w:rPr>
                <w:sz w:val="20"/>
                <w:szCs w:val="20"/>
              </w:rPr>
            </w:r>
            <w:r>
              <w:rPr>
                <w:sz w:val="20"/>
                <w:szCs w:val="20"/>
              </w:rPr>
            </w:r>
            <w:r>
              <w:rPr>
                <w:sz w:val="20"/>
                <w:szCs w:val="20"/>
              </w:rPr>
            </w:r>
          </w:p>
          <w:p>
            <w:pPr>
              <w:pStyle w:val="1135"/>
              <w:jc w:val="center"/>
              <w:spacing w:after="240"/>
              <w:rPr>
                <w:sz w:val="20"/>
                <w:szCs w:val="20"/>
              </w:rPr>
            </w:pPr>
            <w:r>
              <w:rPr>
                <w:sz w:val="20"/>
                <w:szCs w:val="20"/>
              </w:rPr>
            </w:r>
            <w:r>
              <w:rPr>
                <w:sz w:val="20"/>
                <w:szCs w:val="20"/>
              </w:rPr>
            </w:r>
            <w:r>
              <w:rPr>
                <w:sz w:val="20"/>
                <w:szCs w:val="20"/>
              </w:rPr>
            </w:r>
          </w:p>
          <w:p>
            <w:pPr>
              <w:pStyle w:val="1135"/>
              <w:spacing w:after="240"/>
              <w:rPr>
                <w:sz w:val="20"/>
                <w:szCs w:val="20"/>
              </w:rPr>
            </w:pPr>
            <w:r>
              <w:rPr>
                <w:sz w:val="20"/>
                <w:szCs w:val="20"/>
              </w:rPr>
            </w:r>
            <w:r>
              <w:rPr>
                <w:sz w:val="20"/>
                <w:szCs w:val="20"/>
              </w:rPr>
            </w:r>
            <w:r>
              <w:rPr>
                <w:sz w:val="20"/>
                <w:szCs w:val="20"/>
              </w:rPr>
            </w:r>
          </w:p>
          <w:p>
            <w:pPr>
              <w:pStyle w:val="1135"/>
              <w:rPr>
                <w:sz w:val="20"/>
                <w:szCs w:val="20"/>
              </w:rPr>
            </w:pPr>
            <w:r>
              <w:rPr>
                <w:sz w:val="20"/>
                <w:szCs w:val="20"/>
              </w:rPr>
            </w:r>
            <w:r>
              <w:rPr>
                <w:sz w:val="20"/>
                <w:szCs w:val="20"/>
              </w:rPr>
            </w:r>
            <w:r>
              <w:rPr>
                <w:sz w:val="20"/>
                <w:szCs w:val="20"/>
              </w:rPr>
            </w:r>
          </w:p>
          <w:p>
            <w:pPr>
              <w:pStyle w:val="1135"/>
              <w:jc w:val="center"/>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gridSpan w:val="2"/>
            <w:tcBorders>
              <w:top w:val="none" w:color="000000" w:sz="4" w:space="0"/>
              <w:left w:val="single" w:color="000000" w:sz="4" w:space="0"/>
              <w:bottom w:val="single" w:color="000000" w:sz="4" w:space="0"/>
              <w:right w:val="single" w:color="000000" w:sz="4" w:space="0"/>
            </w:tcBorders>
            <w:tcW w:w="3661" w:type="dxa"/>
            <w:vAlign w:val="top"/>
            <w:textDirection w:val="lrTb"/>
            <w:noWrap w:val="false"/>
          </w:tcPr>
          <w:p>
            <w:pPr>
              <w:pStyle w:val="1135"/>
              <w:jc w:val="both"/>
              <w:rPr>
                <w:color w:val="000000"/>
                <w:sz w:val="20"/>
                <w:szCs w:val="20"/>
              </w:rPr>
            </w:pPr>
            <w:r>
              <w:rPr>
                <w:color w:val="000000"/>
                <w:sz w:val="20"/>
                <w:szCs w:val="20"/>
              </w:rPr>
              <w:t xml:space="preserve">Комиссия не взимается при одновременном соблюдении следующих условий:</w:t>
            </w:r>
            <w:r>
              <w:rPr>
                <w:color w:val="000000"/>
                <w:sz w:val="20"/>
                <w:szCs w:val="20"/>
              </w:rPr>
            </w:r>
            <w:r>
              <w:rPr>
                <w:color w:val="000000"/>
                <w:sz w:val="20"/>
                <w:szCs w:val="20"/>
              </w:rPr>
            </w:r>
          </w:p>
          <w:p>
            <w:pPr>
              <w:pStyle w:val="1184"/>
              <w:numPr>
                <w:ilvl w:val="0"/>
                <w:numId w:val="34"/>
              </w:numPr>
              <w:ind w:left="0" w:firstLine="0"/>
              <w:jc w:val="both"/>
              <w:spacing w:after="0" w:line="240" w:lineRule="auto"/>
              <w:tabs>
                <w:tab w:val="left" w:pos="447" w:leader="none"/>
              </w:tabs>
              <w:rPr>
                <w:rFonts w:ascii="Times New Roman" w:hAnsi="Times New Roman"/>
                <w:bCs/>
                <w:sz w:val="20"/>
                <w:szCs w:val="20"/>
              </w:rPr>
            </w:pPr>
            <w:r>
              <w:rPr>
                <w:rFonts w:ascii="Times New Roman" w:hAnsi="Times New Roman"/>
                <w:bCs/>
                <w:sz w:val="20"/>
                <w:szCs w:val="20"/>
              </w:rPr>
              <w:t xml:space="preserve">Наличие у клиента действующего договора о выпуске и обслуживании бизнес-карты к расчетному счету (бизнес-карта </w:t>
            </w:r>
            <w:r>
              <w:rPr>
                <w:rFonts w:ascii="Times New Roman" w:hAnsi="Times New Roman" w:eastAsia="Times New Roman"/>
                <w:color w:val="000000"/>
                <w:sz w:val="20"/>
                <w:szCs w:val="20"/>
                <w:lang w:eastAsia="ru-RU"/>
              </w:rPr>
              <w:t xml:space="preserve">обслуживается в рамках тарифного плана «Корпоративный Плюс»)</w:t>
            </w:r>
            <w:r>
              <w:rPr>
                <w:rFonts w:ascii="Times New Roman" w:hAnsi="Times New Roman"/>
                <w:bCs/>
                <w:sz w:val="20"/>
                <w:szCs w:val="20"/>
              </w:rPr>
              <w:t xml:space="preserve">.</w:t>
            </w:r>
            <w:r>
              <w:rPr>
                <w:rFonts w:ascii="Times New Roman" w:hAnsi="Times New Roman"/>
                <w:bCs/>
                <w:sz w:val="20"/>
                <w:szCs w:val="20"/>
              </w:rPr>
            </w:r>
            <w:r>
              <w:rPr>
                <w:rFonts w:ascii="Times New Roman" w:hAnsi="Times New Roman"/>
                <w:bCs/>
                <w:sz w:val="20"/>
                <w:szCs w:val="20"/>
              </w:rPr>
            </w:r>
          </w:p>
          <w:p>
            <w:pPr>
              <w:pStyle w:val="1184"/>
              <w:numPr>
                <w:ilvl w:val="0"/>
                <w:numId w:val="34"/>
              </w:numPr>
              <w:ind w:left="0" w:firstLine="0"/>
              <w:jc w:val="both"/>
              <w:spacing w:after="0" w:line="240" w:lineRule="auto"/>
              <w:tabs>
                <w:tab w:val="left" w:pos="447" w:leader="none"/>
              </w:tabs>
              <w:rPr>
                <w:rFonts w:ascii="Times New Roman" w:hAnsi="Times New Roman" w:eastAsia="Times New Roman"/>
                <w:color w:val="000000"/>
                <w:sz w:val="20"/>
                <w:szCs w:val="20"/>
                <w:lang w:eastAsia="ru-RU"/>
              </w:rPr>
            </w:pPr>
            <w:r>
              <w:rPr>
                <w:rFonts w:ascii="Times New Roman" w:hAnsi="Times New Roman" w:eastAsia="Times New Roman"/>
                <w:color w:val="000000"/>
                <w:sz w:val="20"/>
                <w:szCs w:val="20"/>
                <w:lang w:eastAsia="ru-RU"/>
              </w:rPr>
              <w:t xml:space="preserve">Подписание с клиентом договора эквайринга и </w:t>
            </w:r>
            <w:r>
              <w:rPr>
                <w:rFonts w:ascii="Times New Roman" w:hAnsi="Times New Roman"/>
                <w:bCs/>
                <w:sz w:val="20"/>
                <w:szCs w:val="20"/>
              </w:rPr>
              <w:t xml:space="preserve">договора о выпуске и обслуживании бизнес-карты к расчетному счету в одном региональном филиале Банка.</w:t>
            </w:r>
            <w:r>
              <w:rPr>
                <w:rFonts w:ascii="Times New Roman" w:hAnsi="Times New Roman" w:eastAsia="Times New Roman"/>
                <w:color w:val="000000"/>
                <w:sz w:val="20"/>
                <w:szCs w:val="20"/>
                <w:lang w:eastAsia="ru-RU"/>
              </w:rPr>
            </w:r>
            <w:r>
              <w:rPr>
                <w:rFonts w:ascii="Times New Roman" w:hAnsi="Times New Roman" w:eastAsia="Times New Roman"/>
                <w:color w:val="000000"/>
                <w:sz w:val="20"/>
                <w:szCs w:val="20"/>
                <w:lang w:eastAsia="ru-RU"/>
              </w:rPr>
            </w:r>
          </w:p>
          <w:p>
            <w:pPr>
              <w:pStyle w:val="1135"/>
              <w:jc w:val="both"/>
              <w:tabs>
                <w:tab w:val="left" w:pos="447" w:leader="none"/>
              </w:tabs>
              <w:rPr>
                <w:color w:val="000000"/>
                <w:sz w:val="20"/>
                <w:szCs w:val="20"/>
              </w:rPr>
            </w:pPr>
            <w:r>
              <w:rPr>
                <w:color w:val="000000"/>
                <w:sz w:val="20"/>
                <w:szCs w:val="20"/>
              </w:rPr>
              <w:t xml:space="preserve">Выполнение условий подтверждается надписью на заявлении на открытие счета «Счет для зачисления возмещения по операциям с использованием платежных карт в рамках договора эквайринга, заключенного</w:t>
            </w:r>
            <w:r>
              <w:rPr>
                <w:color w:val="000000"/>
                <w:sz w:val="20"/>
                <w:szCs w:val="20"/>
              </w:rPr>
              <w:t xml:space="preserve"> </w:t>
            </w:r>
            <w:r>
              <w:rPr>
                <w:color w:val="000000"/>
                <w:sz w:val="20"/>
                <w:szCs w:val="20"/>
              </w:rPr>
              <w:t xml:space="preserve">с </w:t>
              <w:br w:type="textWrapping" w:clear="all"/>
              <w:t xml:space="preserve">АО «Россельхозбанк», сделанной сотрудником регионального филиала Банка.</w:t>
            </w:r>
            <w:r>
              <w:rPr>
                <w:color w:val="000000"/>
                <w:sz w:val="20"/>
                <w:szCs w:val="20"/>
              </w:rPr>
            </w:r>
            <w:r>
              <w:rPr>
                <w:color w:val="000000"/>
                <w:sz w:val="20"/>
                <w:szCs w:val="20"/>
              </w:rPr>
            </w:r>
          </w:p>
          <w:p>
            <w:pPr>
              <w:pStyle w:val="1135"/>
              <w:jc w:val="both"/>
              <w:tabs>
                <w:tab w:val="left" w:pos="447" w:leader="none"/>
              </w:tabs>
              <w:rPr>
                <w:color w:val="000000"/>
                <w:sz w:val="20"/>
                <w:szCs w:val="20"/>
              </w:rPr>
            </w:pPr>
            <w:r>
              <w:rPr>
                <w:color w:val="000000"/>
                <w:sz w:val="20"/>
                <w:szCs w:val="20"/>
              </w:rPr>
              <w:t xml:space="preserve">При несоблюдении любого из указанных условий комиссия взимается в стандартном размере.</w:t>
            </w:r>
            <w:r>
              <w:rPr>
                <w:color w:val="000000"/>
                <w:sz w:val="20"/>
                <w:szCs w:val="20"/>
              </w:rPr>
            </w:r>
            <w:r>
              <w:rPr>
                <w:color w:val="000000"/>
                <w:sz w:val="20"/>
                <w:szCs w:val="20"/>
              </w:rPr>
            </w:r>
          </w:p>
          <w:p>
            <w:pPr>
              <w:pStyle w:val="1135"/>
              <w:jc w:val="both"/>
              <w:spacing w:before="120"/>
              <w:rPr>
                <w:color w:val="000000"/>
                <w:sz w:val="20"/>
                <w:szCs w:val="20"/>
              </w:rPr>
            </w:pPr>
            <w:r>
              <w:rPr>
                <w:color w:val="000000"/>
                <w:sz w:val="20"/>
                <w:szCs w:val="20"/>
              </w:rPr>
              <w:t xml:space="preserve">Если бизнес-карты обслуживается в рамках тарифного плана «Корпоративный» комиссия взимается в стандартном размере.</w:t>
            </w:r>
            <w:r>
              <w:rPr>
                <w:color w:val="000000"/>
                <w:sz w:val="20"/>
                <w:szCs w:val="20"/>
              </w:rPr>
            </w:r>
            <w:r>
              <w:rPr>
                <w:color w:val="000000"/>
                <w:sz w:val="20"/>
                <w:szCs w:val="20"/>
              </w:rPr>
            </w:r>
          </w:p>
          <w:p>
            <w:pPr>
              <w:pStyle w:val="1135"/>
              <w:jc w:val="both"/>
              <w:spacing w:before="120"/>
              <w:rPr>
                <w:color w:val="000000"/>
                <w:sz w:val="20"/>
                <w:szCs w:val="20"/>
              </w:rPr>
            </w:pPr>
            <w:r>
              <w:rPr>
                <w:bCs/>
                <w:sz w:val="20"/>
                <w:szCs w:val="20"/>
              </w:rPr>
              <w:t xml:space="preserve">П</w:t>
            </w:r>
            <w:r>
              <w:rPr>
                <w:bCs/>
                <w:sz w:val="20"/>
                <w:szCs w:val="20"/>
              </w:rPr>
              <w:t xml:space="preserve">осле выполнения обязательств перед АО «Россельхозбанк» </w:t>
              <w:br w:type="textWrapping" w:clear="all"/>
              <w:t xml:space="preserve">по кредитным сделкам в полном объеме, комиссия взимается </w:t>
              <w:br w:type="textWrapping" w:clear="all"/>
              <w:t xml:space="preserve">в стандартном размере</w:t>
            </w:r>
            <w:r>
              <w:rPr>
                <w:color w:val="000000"/>
                <w:sz w:val="20"/>
                <w:szCs w:val="20"/>
              </w:rPr>
            </w:r>
            <w:r>
              <w:rPr>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35"/>
              <w:jc w:val="center"/>
              <w:spacing w:before="40" w:after="40"/>
              <w:rPr>
                <w:sz w:val="20"/>
                <w:szCs w:val="20"/>
              </w:rPr>
            </w:pPr>
            <w:r>
              <w:rPr>
                <w:sz w:val="20"/>
                <w:szCs w:val="20"/>
              </w:rPr>
              <w:t xml:space="preserve">1.1.2.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35"/>
              <w:jc w:val="both"/>
              <w:spacing w:before="40" w:after="40"/>
              <w:rPr>
                <w:sz w:val="20"/>
                <w:szCs w:val="20"/>
              </w:rPr>
            </w:pPr>
            <w:r>
              <w:rPr>
                <w:sz w:val="20"/>
                <w:szCs w:val="20"/>
              </w:rPr>
              <w:t xml:space="preserve">Закрытие счета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1135"/>
              <w:jc w:val="center"/>
              <w:keepNext/>
              <w:spacing w:before="40" w:after="40"/>
              <w:rPr>
                <w:iCs/>
                <w:sz w:val="20"/>
                <w:szCs w:val="20"/>
              </w:rPr>
              <w:outlineLvl w:val="4"/>
            </w:pPr>
            <w:r>
              <w:rPr>
                <w:sz w:val="20"/>
                <w:szCs w:val="20"/>
              </w:rPr>
              <w:t xml:space="preserve">Не взимается</w:t>
            </w:r>
            <w:r>
              <w:rPr>
                <w:iCs/>
                <w:sz w:val="20"/>
                <w:szCs w:val="20"/>
              </w:rPr>
            </w:r>
            <w:r>
              <w:rPr>
                <w:iCs/>
                <w:sz w:val="20"/>
                <w:szCs w:val="20"/>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1135"/>
              <w:jc w:val="both"/>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35"/>
              <w:jc w:val="center"/>
              <w:rPr>
                <w:sz w:val="20"/>
                <w:szCs w:val="20"/>
              </w:rPr>
            </w:pPr>
            <w:r>
              <w:rPr>
                <w:sz w:val="20"/>
                <w:szCs w:val="20"/>
              </w:rPr>
              <w:t xml:space="preserve">1.1.3.</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135"/>
              <w:rPr>
                <w:sz w:val="20"/>
                <w:szCs w:val="20"/>
              </w:rPr>
            </w:pPr>
            <w:r>
              <w:rPr>
                <w:sz w:val="20"/>
                <w:szCs w:val="20"/>
              </w:rPr>
              <w:t xml:space="preserve">Ведение счета</w:t>
            </w:r>
            <w:r>
              <w:rPr>
                <w:sz w:val="20"/>
                <w:szCs w:val="20"/>
              </w:rPr>
              <w:t xml:space="preserve"> </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420" w:type="dxa"/>
            <w:vAlign w:val="top"/>
            <w:textDirection w:val="lrTb"/>
            <w:noWrap w:val="false"/>
          </w:tcPr>
          <w:p>
            <w:pPr>
              <w:pStyle w:val="1135"/>
              <w:jc w:val="center"/>
              <w:rPr>
                <w:sz w:val="20"/>
                <w:szCs w:val="20"/>
              </w:rPr>
            </w:pPr>
            <w:r>
              <w:rPr>
                <w:sz w:val="20"/>
                <w:szCs w:val="20"/>
              </w:rPr>
              <w:t xml:space="preserve">30</w:t>
            </w:r>
            <w:r>
              <w:rPr>
                <w:sz w:val="20"/>
                <w:szCs w:val="20"/>
              </w:rPr>
              <w:t xml:space="preserve">00 руб. в месяц</w:t>
            </w:r>
            <w:r>
              <w:rPr>
                <w:sz w:val="20"/>
                <w:szCs w:val="20"/>
              </w:rPr>
            </w:r>
            <w:r>
              <w:rPr>
                <w:sz w:val="20"/>
                <w:szCs w:val="20"/>
              </w:rPr>
            </w:r>
          </w:p>
        </w:tc>
        <w:tc>
          <w:tcPr>
            <w:gridSpan w:val="2"/>
            <w:tcBorders>
              <w:top w:val="single" w:color="000000" w:sz="4" w:space="0"/>
              <w:left w:val="single" w:color="000000" w:sz="4" w:space="0"/>
              <w:bottom w:val="none" w:color="000000" w:sz="4" w:space="0"/>
              <w:right w:val="single" w:color="000000" w:sz="4" w:space="0"/>
            </w:tcBorders>
            <w:tcW w:w="3661" w:type="dxa"/>
            <w:vAlign w:val="top"/>
            <w:textDirection w:val="lrTb"/>
            <w:noWrap w:val="false"/>
          </w:tcPr>
          <w:p>
            <w:pPr>
              <w:pStyle w:val="1135"/>
              <w:jc w:val="both"/>
              <w:tabs>
                <w:tab w:val="left" w:pos="708" w:leader="none"/>
                <w:tab w:val="center" w:pos="4677" w:leader="none"/>
                <w:tab w:val="right" w:pos="9355" w:leader="none"/>
              </w:tabs>
              <w:rPr>
                <w:sz w:val="20"/>
                <w:szCs w:val="20"/>
                <w:lang w:eastAsia="en-US"/>
              </w:rPr>
            </w:pPr>
            <w:r>
              <w:rPr>
                <w:sz w:val="20"/>
                <w:szCs w:val="20"/>
              </w:rPr>
              <w:t xml:space="preserve">Комиссия взимается по ставке тарифа, действующей на дату начисления комиссии</w:t>
            </w:r>
            <w:r>
              <w:rPr>
                <w:sz w:val="20"/>
                <w:szCs w:val="20"/>
              </w:rPr>
              <w:t xml:space="preserve">.</w:t>
            </w:r>
            <w:r>
              <w:rPr>
                <w:sz w:val="20"/>
                <w:szCs w:val="20"/>
                <w:lang w:eastAsia="en-US"/>
              </w:rPr>
            </w:r>
            <w:r>
              <w:rPr>
                <w:sz w:val="20"/>
                <w:szCs w:val="20"/>
                <w:lang w:eastAsia="en-US"/>
              </w:rPr>
            </w:r>
          </w:p>
          <w:p>
            <w:pPr>
              <w:pStyle w:val="1135"/>
              <w:jc w:val="both"/>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ежемесячно в последний рабочий день месяца/в день закрытия счета, кроме месяца, в котором открыт счет.</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35"/>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35"/>
              <w:jc w:val="both"/>
              <w:tabs>
                <w:tab w:val="left" w:pos="708" w:leader="none"/>
                <w:tab w:val="center" w:pos="4677" w:leader="none"/>
                <w:tab w:val="right" w:pos="9355" w:leader="none"/>
              </w:tabs>
              <w:rPr>
                <w:sz w:val="20"/>
                <w:szCs w:val="20"/>
                <w:lang w:eastAsia="en-US"/>
              </w:rPr>
            </w:pPr>
            <w:r>
              <w:rPr>
                <w:sz w:val="20"/>
                <w:szCs w:val="20"/>
                <w:lang w:eastAsia="en-US"/>
              </w:rPr>
              <w:t xml:space="preserve">- для клиентов, включенных в региональную адресную программу по проведению капитального ремонта многокв</w:t>
            </w:r>
            <w:r>
              <w:rPr>
                <w:sz w:val="20"/>
                <w:szCs w:val="20"/>
                <w:lang w:eastAsia="en-US"/>
              </w:rPr>
              <w:t xml:space="preserve">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 </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35"/>
              <w:jc w:val="center"/>
              <w:tabs>
                <w:tab w:val="left" w:pos="708" w:leader="none"/>
                <w:tab w:val="center" w:pos="4677" w:leader="none"/>
                <w:tab w:val="right" w:pos="9355" w:leader="none"/>
              </w:tabs>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135"/>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35"/>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35"/>
              <w:rPr>
                <w:sz w:val="20"/>
                <w:szCs w:val="20"/>
              </w:rPr>
            </w:pPr>
            <w:r>
              <w:rPr>
                <w:sz w:val="20"/>
                <w:szCs w:val="20"/>
                <w:lang w:eastAsia="en-US"/>
              </w:rPr>
              <w:t xml:space="preserve">- при использовании клиентом системы дистанционного банковского обслуживания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35"/>
              <w:jc w:val="center"/>
              <w:rPr>
                <w:sz w:val="20"/>
                <w:szCs w:val="20"/>
              </w:rPr>
            </w:pPr>
            <w:r>
              <w:rPr>
                <w:sz w:val="20"/>
                <w:szCs w:val="20"/>
              </w:rPr>
              <w:t xml:space="preserve">20</w:t>
            </w:r>
            <w:r>
              <w:rPr>
                <w:sz w:val="20"/>
                <w:szCs w:val="20"/>
              </w:rPr>
              <w:t xml:space="preserve">00 руб.</w:t>
            </w:r>
            <w:r>
              <w:rPr>
                <w:sz w:val="20"/>
                <w:szCs w:val="20"/>
              </w:rPr>
            </w:r>
            <w:r>
              <w:rPr>
                <w:sz w:val="20"/>
                <w:szCs w:val="20"/>
              </w:rPr>
            </w:r>
          </w:p>
          <w:p>
            <w:pPr>
              <w:pStyle w:val="1135"/>
              <w:ind w:firstLine="708"/>
              <w:rPr>
                <w:sz w:val="20"/>
                <w:szCs w:val="20"/>
              </w:rPr>
            </w:pPr>
            <w:r>
              <w:rPr>
                <w:sz w:val="20"/>
                <w:szCs w:val="20"/>
              </w:rPr>
            </w:r>
            <w:r>
              <w:rPr>
                <w:sz w:val="20"/>
                <w:szCs w:val="20"/>
              </w:rPr>
            </w:r>
            <w:r>
              <w:rPr>
                <w:sz w:val="20"/>
                <w:szCs w:val="20"/>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135"/>
              <w:ind w:left="35"/>
              <w:jc w:val="both"/>
              <w:spacing w:before="40"/>
              <w:rPr>
                <w:sz w:val="20"/>
                <w:szCs w:val="20"/>
                <w:lang w:eastAsia="en-US"/>
              </w:rPr>
            </w:pPr>
            <w:r>
              <w:rPr>
                <w:sz w:val="20"/>
                <w:szCs w:val="20"/>
                <w:lang w:eastAsia="en-US"/>
              </w:rPr>
              <w:t xml:space="preserve">Кроме месяца, в котором установлена система дистанционного банковского обслуживания.</w:t>
            </w:r>
            <w:r>
              <w:rPr>
                <w:sz w:val="20"/>
                <w:szCs w:val="20"/>
                <w:lang w:eastAsia="en-US"/>
              </w:rPr>
            </w:r>
            <w:r>
              <w:rPr>
                <w:sz w:val="20"/>
                <w:szCs w:val="20"/>
                <w:lang w:eastAsia="en-US"/>
              </w:rPr>
            </w:r>
          </w:p>
          <w:p>
            <w:pPr>
              <w:pStyle w:val="1135"/>
              <w:ind w:left="35"/>
              <w:jc w:val="both"/>
              <w:spacing w:before="40"/>
              <w:rPr>
                <w:sz w:val="20"/>
                <w:szCs w:val="20"/>
                <w:lang w:eastAsia="en-US"/>
              </w:rPr>
            </w:pPr>
            <w:r>
              <w:rPr>
                <w:sz w:val="20"/>
                <w:szCs w:val="20"/>
                <w:lang w:eastAsia="en-US"/>
              </w:rPr>
              <w:t xml:space="preserve">В случ</w:t>
            </w:r>
            <w:r>
              <w:rPr>
                <w:sz w:val="20"/>
                <w:szCs w:val="20"/>
                <w:lang w:eastAsia="en-US"/>
              </w:rPr>
              <w:t xml:space="preserve">ае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1.1.3 Тарифов в размере, пред</w:t>
            </w:r>
            <w:r>
              <w:rPr>
                <w:sz w:val="20"/>
                <w:szCs w:val="20"/>
                <w:lang w:eastAsia="en-US"/>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sz w:val="20"/>
                <w:szCs w:val="20"/>
                <w:lang w:eastAsia="en-US"/>
              </w:rPr>
            </w:r>
            <w:r>
              <w:rPr>
                <w:sz w:val="20"/>
                <w:szCs w:val="20"/>
                <w:lang w:eastAsia="en-US"/>
              </w:rPr>
            </w:r>
          </w:p>
          <w:p>
            <w:pPr>
              <w:pStyle w:val="1135"/>
              <w:ind w:left="35"/>
              <w:jc w:val="both"/>
              <w:spacing w:before="40"/>
              <w:rPr>
                <w:sz w:val="20"/>
                <w:szCs w:val="20"/>
                <w:lang w:eastAsia="en-US"/>
              </w:rPr>
            </w:pPr>
            <w:r>
              <w:rPr>
                <w:sz w:val="20"/>
                <w:szCs w:val="20"/>
                <w:lang w:eastAsia="en-US"/>
              </w:rPr>
              <w:t xml:space="preserve">В случае возобновления Банком использования Клиентом системы дистанционного банковского обслуживания «Свой бизнес» на</w:t>
            </w:r>
            <w:r>
              <w:rPr>
                <w:sz w:val="20"/>
                <w:szCs w:val="20"/>
                <w:lang w:eastAsia="en-US"/>
              </w:rPr>
              <w:t xml:space="preserve"> дату взимания комиссионного вознаграждения по п. 1.1.3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35"/>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35"/>
              <w:jc w:val="both"/>
              <w:tabs>
                <w:tab w:val="left" w:pos="708" w:leader="none"/>
                <w:tab w:val="center" w:pos="4677" w:leader="none"/>
                <w:tab w:val="right" w:pos="9355" w:leader="none"/>
              </w:tabs>
              <w:rPr>
                <w:sz w:val="20"/>
                <w:szCs w:val="20"/>
                <w:lang w:eastAsia="en-US"/>
              </w:rPr>
            </w:pPr>
            <w:r>
              <w:rPr>
                <w:sz w:val="20"/>
                <w:szCs w:val="20"/>
                <w:lang w:eastAsia="en-US"/>
              </w:rPr>
              <w:t xml:space="preserve">- для</w:t>
            </w:r>
            <w:r>
              <w:rPr>
                <w:sz w:val="20"/>
                <w:szCs w:val="20"/>
              </w:rPr>
              <w:t xml:space="preserve"> клиентов, в отношении которых введена любая из процедур, применяемых в деле о банкротстве в соответствии с Федеральным законом от 26.10.2002 № 127-ФЗ «О несостоятельности (банкротстве)» или находящихся в процессе ликвидации</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35"/>
              <w:jc w:val="center"/>
              <w:tabs>
                <w:tab w:val="left" w:pos="708" w:leader="none"/>
                <w:tab w:val="center" w:pos="4677" w:leader="none"/>
                <w:tab w:val="right" w:pos="9355" w:leader="none"/>
              </w:tabs>
              <w:rPr>
                <w:sz w:val="20"/>
                <w:szCs w:val="20"/>
                <w:lang w:eastAsia="en-US"/>
              </w:rPr>
            </w:pPr>
            <w:r>
              <w:rPr>
                <w:sz w:val="20"/>
                <w:szCs w:val="20"/>
                <w:lang w:eastAsia="en-US"/>
              </w:rPr>
              <w:t xml:space="preserve">2200 руб. в месяц при использовании клиентом системы дистанционного банковского обслуживания;</w:t>
            </w:r>
            <w:r>
              <w:rPr>
                <w:sz w:val="20"/>
                <w:szCs w:val="20"/>
                <w:lang w:eastAsia="en-US"/>
              </w:rPr>
            </w:r>
            <w:r>
              <w:rPr>
                <w:sz w:val="20"/>
                <w:szCs w:val="20"/>
                <w:lang w:eastAsia="en-US"/>
              </w:rPr>
            </w:r>
          </w:p>
          <w:p>
            <w:pPr>
              <w:pStyle w:val="1135"/>
              <w:jc w:val="center"/>
              <w:tabs>
                <w:tab w:val="left" w:pos="708" w:leader="none"/>
                <w:tab w:val="center" w:pos="4677" w:leader="none"/>
                <w:tab w:val="right" w:pos="9355" w:leader="none"/>
              </w:tabs>
              <w:rPr>
                <w:sz w:val="20"/>
                <w:szCs w:val="20"/>
                <w:lang w:eastAsia="en-US"/>
              </w:rPr>
            </w:pPr>
            <w:r>
              <w:rPr>
                <w:sz w:val="20"/>
                <w:szCs w:val="20"/>
                <w:lang w:eastAsia="en-US"/>
              </w:rPr>
              <w:t xml:space="preserve">5000 руб. в месяц без использования клиентом системы дистанционного банковского обслуживания</w:t>
            </w:r>
            <w:r>
              <w:rPr>
                <w:sz w:val="20"/>
                <w:szCs w:val="20"/>
                <w:lang w:eastAsia="en-US"/>
              </w:rPr>
            </w:r>
            <w:r>
              <w:rPr>
                <w:sz w:val="20"/>
                <w:szCs w:val="20"/>
                <w:lang w:eastAsia="en-US"/>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135"/>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35"/>
              <w:jc w:val="center"/>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35"/>
              <w:jc w:val="both"/>
              <w:rPr>
                <w:sz w:val="20"/>
                <w:szCs w:val="20"/>
              </w:rPr>
            </w:pPr>
            <w:r>
              <w:rPr>
                <w:sz w:val="20"/>
                <w:szCs w:val="20"/>
              </w:rPr>
              <w:t xml:space="preserve">- </w:t>
            </w:r>
            <w:r>
              <w:rPr>
                <w:sz w:val="20"/>
                <w:szCs w:val="20"/>
              </w:rPr>
              <w:t xml:space="preserve">клиентам, заключившим договор специального банковского счета для формирования фонда капитального ремонта в рамках требований Жилищного кодекса РФ от 29.12.2004 № 188-ФЗ, в том числе при использовании клиентом системы дистанционного банковского обслуживания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35"/>
              <w:jc w:val="center"/>
              <w:rPr>
                <w:sz w:val="20"/>
                <w:szCs w:val="20"/>
              </w:rPr>
            </w:pPr>
            <w:r>
              <w:rPr>
                <w:sz w:val="20"/>
                <w:szCs w:val="20"/>
                <w:lang w:eastAsia="en-US"/>
              </w:rPr>
              <w:t xml:space="preserve">Не взимается</w:t>
            </w:r>
            <w:r>
              <w:rPr>
                <w:sz w:val="20"/>
                <w:szCs w:val="20"/>
              </w:rPr>
            </w:r>
            <w:r>
              <w:rPr>
                <w:sz w:val="20"/>
                <w:szCs w:val="20"/>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135"/>
              <w:jc w:val="both"/>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35"/>
              <w:jc w:val="center"/>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35"/>
              <w:jc w:val="both"/>
              <w:rPr>
                <w:sz w:val="20"/>
                <w:szCs w:val="20"/>
              </w:rPr>
            </w:pPr>
            <w:r>
              <w:rPr>
                <w:sz w:val="20"/>
                <w:szCs w:val="20"/>
              </w:rPr>
              <w:t xml:space="preserve">-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35"/>
              <w:jc w:val="center"/>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135"/>
              <w:jc w:val="both"/>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35"/>
              <w:jc w:val="center"/>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35"/>
              <w:ind w:left="74"/>
              <w:jc w:val="both"/>
              <w:spacing w:before="40" w:after="40"/>
              <w:rPr>
                <w:bCs/>
                <w:sz w:val="20"/>
                <w:szCs w:val="20"/>
              </w:rPr>
            </w:pPr>
            <w:r>
              <w:rPr>
                <w:bCs/>
                <w:sz w:val="20"/>
                <w:szCs w:val="20"/>
              </w:rPr>
              <w:t xml:space="preserve">- клиентам, являющимся садоводческими или огородническими некоммерческими товариществами в соответствии с Федера</w:t>
            </w:r>
            <w:r>
              <w:rPr>
                <w:bCs/>
                <w:sz w:val="20"/>
                <w:szCs w:val="20"/>
              </w:rPr>
              <w:t xml:space="preserve">льным законом от 29.07.2017 </w:t>
              <w:br/>
              <w:t xml:space="preserve">№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w:t>
            </w:r>
            <w:r>
              <w:rPr>
                <w:bCs/>
                <w:sz w:val="20"/>
                <w:szCs w:val="20"/>
              </w:rPr>
              <w:t xml:space="preserve">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 в том числе при использовании клиентом системы дистанционного банковского обслуживания</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35"/>
              <w:ind w:left="74"/>
              <w:jc w:val="center"/>
              <w:spacing w:before="40" w:after="40"/>
              <w:rPr>
                <w:sz w:val="20"/>
                <w:szCs w:val="20"/>
              </w:rPr>
            </w:pPr>
            <w:r>
              <w:rPr>
                <w:sz w:val="20"/>
                <w:szCs w:val="20"/>
              </w:rPr>
              <w:t xml:space="preserve">Не взимается</w:t>
            </w:r>
            <w:r>
              <w:rPr>
                <w:sz w:val="20"/>
                <w:szCs w:val="20"/>
              </w:rPr>
            </w:r>
            <w:r>
              <w:rPr>
                <w:sz w:val="20"/>
                <w:szCs w:val="20"/>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135"/>
              <w:jc w:val="both"/>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35"/>
              <w:jc w:val="center"/>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35"/>
              <w:ind w:left="74"/>
              <w:jc w:val="both"/>
              <w:spacing w:before="40" w:after="40"/>
              <w:rPr>
                <w:bCs/>
                <w:sz w:val="20"/>
                <w:szCs w:val="20"/>
              </w:rPr>
            </w:pPr>
            <w:r>
              <w:rPr>
                <w:sz w:val="20"/>
                <w:szCs w:val="20"/>
                <w:lang w:eastAsia="en-US"/>
              </w:rPr>
              <w:t xml:space="preserve">- </w:t>
            </w:r>
            <w:r>
              <w:rPr>
                <w:sz w:val="20"/>
                <w:szCs w:val="20"/>
                <w:lang w:eastAsia="en-US"/>
              </w:rPr>
              <w:t xml:space="preserve">при отсутствии операций по счету в течение календарного месяца, но не более 3 (трех) календарных месяцев подряд</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35"/>
              <w:ind w:left="74"/>
              <w:jc w:val="center"/>
              <w:spacing w:before="40" w:after="40"/>
              <w:rPr>
                <w:sz w:val="20"/>
                <w:szCs w:val="20"/>
              </w:rPr>
            </w:pPr>
            <w:r>
              <w:rPr>
                <w:sz w:val="20"/>
                <w:szCs w:val="20"/>
                <w:lang w:eastAsia="en-US"/>
              </w:rPr>
              <w:t xml:space="preserve">Не взимается</w:t>
            </w:r>
            <w:r>
              <w:rPr>
                <w:sz w:val="20"/>
                <w:szCs w:val="20"/>
              </w:rPr>
            </w:r>
            <w:r>
              <w:rPr>
                <w:sz w:val="20"/>
                <w:szCs w:val="20"/>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135"/>
              <w:jc w:val="both"/>
              <w:tabs>
                <w:tab w:val="left" w:pos="708" w:leader="none"/>
                <w:tab w:val="center" w:pos="4677" w:leader="none"/>
                <w:tab w:val="right" w:pos="9355" w:leader="none"/>
              </w:tabs>
              <w:rPr>
                <w:sz w:val="20"/>
                <w:szCs w:val="20"/>
                <w:lang w:eastAsia="en-US"/>
              </w:rPr>
            </w:pPr>
            <w:r>
              <w:rPr>
                <w:sz w:val="20"/>
                <w:szCs w:val="20"/>
                <w:lang w:eastAsia="en-US"/>
              </w:rPr>
              <w:t xml:space="preserve">Не признаются операциями по счету:</w:t>
            </w:r>
            <w:r>
              <w:rPr>
                <w:sz w:val="20"/>
                <w:szCs w:val="20"/>
                <w:lang w:eastAsia="en-US"/>
              </w:rPr>
            </w:r>
            <w:r>
              <w:rPr>
                <w:sz w:val="20"/>
                <w:szCs w:val="20"/>
                <w:lang w:eastAsia="en-US"/>
              </w:rPr>
            </w:r>
          </w:p>
          <w:p>
            <w:pPr>
              <w:pStyle w:val="1135"/>
              <w:jc w:val="both"/>
              <w:tabs>
                <w:tab w:val="left" w:pos="708" w:leader="none"/>
                <w:tab w:val="center" w:pos="4677" w:leader="none"/>
                <w:tab w:val="right" w:pos="9355" w:leader="none"/>
              </w:tabs>
              <w:rPr>
                <w:sz w:val="20"/>
                <w:szCs w:val="20"/>
                <w:lang w:eastAsia="en-US"/>
              </w:rPr>
            </w:pPr>
            <w:r>
              <w:rPr>
                <w:sz w:val="20"/>
                <w:szCs w:val="20"/>
                <w:lang w:eastAsia="en-US"/>
              </w:rPr>
              <w:t xml:space="preserve">- причисление процентов к счету;</w:t>
            </w:r>
            <w:r>
              <w:rPr>
                <w:sz w:val="20"/>
                <w:szCs w:val="20"/>
                <w:lang w:eastAsia="en-US"/>
              </w:rPr>
            </w:r>
            <w:r>
              <w:rPr>
                <w:sz w:val="20"/>
                <w:szCs w:val="20"/>
                <w:lang w:eastAsia="en-US"/>
              </w:rPr>
            </w:r>
          </w:p>
          <w:p>
            <w:pPr>
              <w:pStyle w:val="1135"/>
              <w:jc w:val="both"/>
              <w:tabs>
                <w:tab w:val="left" w:pos="708" w:leader="none"/>
                <w:tab w:val="center" w:pos="4677" w:leader="none"/>
                <w:tab w:val="right" w:pos="9355" w:leader="none"/>
              </w:tabs>
              <w:rPr>
                <w:sz w:val="20"/>
                <w:szCs w:val="20"/>
                <w:lang w:eastAsia="en-US"/>
              </w:rPr>
            </w:pPr>
            <w:r>
              <w:rPr>
                <w:sz w:val="20"/>
                <w:szCs w:val="20"/>
                <w:lang w:eastAsia="en-US"/>
              </w:rPr>
              <w:t xml:space="preserve">- взимание комиссий Банка; </w:t>
            </w:r>
            <w:r>
              <w:rPr>
                <w:sz w:val="20"/>
                <w:szCs w:val="20"/>
                <w:lang w:eastAsia="en-US"/>
              </w:rPr>
            </w:r>
            <w:r>
              <w:rPr>
                <w:sz w:val="20"/>
                <w:szCs w:val="20"/>
                <w:lang w:eastAsia="en-US"/>
              </w:rPr>
            </w:r>
          </w:p>
          <w:p>
            <w:pPr>
              <w:pStyle w:val="1135"/>
              <w:jc w:val="both"/>
              <w:tabs>
                <w:tab w:val="left" w:pos="708" w:leader="none"/>
                <w:tab w:val="center" w:pos="4677" w:leader="none"/>
                <w:tab w:val="right" w:pos="9355" w:leader="none"/>
              </w:tabs>
              <w:rPr>
                <w:sz w:val="20"/>
                <w:szCs w:val="20"/>
                <w:highlight w:val="none"/>
                <w:lang w:eastAsia="en-US"/>
              </w:rPr>
            </w:pPr>
            <w:r>
              <w:rPr>
                <w:sz w:val="20"/>
                <w:szCs w:val="20"/>
                <w:lang w:eastAsia="en-US"/>
              </w:rPr>
              <w:t xml:space="preserve">- зачисление/списание со счета ошибочно зачисленных Банком денежных средств;</w:t>
            </w:r>
            <w:r>
              <w:rPr>
                <w:sz w:val="20"/>
                <w:szCs w:val="20"/>
                <w:highlight w:val="none"/>
                <w:lang w:eastAsia="en-US"/>
              </w:rPr>
            </w:r>
            <w:r>
              <w:rPr>
                <w:sz w:val="20"/>
                <w:szCs w:val="20"/>
                <w:highlight w:val="none"/>
                <w:lang w:eastAsia="en-US"/>
              </w:rPr>
            </w:r>
          </w:p>
          <w:p>
            <w:pPr>
              <w:jc w:val="both"/>
              <w:tabs>
                <w:tab w:val="left" w:pos="708" w:leader="none"/>
                <w:tab w:val="center" w:pos="4677" w:leader="none"/>
                <w:tab w:val="right" w:pos="9355" w:leader="none"/>
              </w:tabs>
              <w:rPr>
                <w:sz w:val="20"/>
                <w:szCs w:val="20"/>
                <w:lang w:eastAsia="en-US"/>
              </w:rPr>
            </w:pPr>
            <w:r>
              <w:rPr>
                <w:sz w:val="20"/>
                <w:szCs w:val="20"/>
                <w:highlight w:val="none"/>
                <w:lang w:eastAsia="en-US"/>
              </w:rPr>
            </w:r>
            <w:r>
              <w:rPr>
                <w:rFonts w:ascii="Times New Roman" w:hAnsi="Times New Roman"/>
                <w:sz w:val="20"/>
                <w:szCs w:val="20"/>
              </w:rPr>
              <w:t xml:space="preserve">-</w:t>
            </w:r>
            <w:r>
              <w:rPr>
                <w:rFonts w:ascii="Times New Roman" w:hAnsi="Times New Roman"/>
                <w:sz w:val="20"/>
                <w:szCs w:val="20"/>
              </w:rPr>
              <w:t xml:space="preserve"> </w:t>
            </w:r>
            <w:r>
              <w:rPr>
                <w:rFonts w:ascii="Times New Roman" w:hAnsi="Times New Roman"/>
                <w:sz w:val="20"/>
                <w:szCs w:val="20"/>
              </w:rPr>
              <w:t xml:space="preserve">зачисление</w:t>
            </w:r>
            <w:r>
              <w:rPr>
                <w:rFonts w:ascii="Times New Roman" w:hAnsi="Times New Roman"/>
                <w:sz w:val="20"/>
                <w:szCs w:val="20"/>
              </w:rPr>
              <w:t xml:space="preserve"> денежных</w:t>
            </w:r>
            <w:r>
              <w:rPr>
                <w:rFonts w:ascii="Times New Roman" w:hAnsi="Times New Roman"/>
                <w:sz w:val="20"/>
                <w:szCs w:val="20"/>
              </w:rPr>
              <w:t xml:space="preserve"> средств </w:t>
            </w:r>
            <w:r>
              <w:rPr>
                <w:rFonts w:ascii="Times New Roman" w:hAnsi="Times New Roman"/>
                <w:sz w:val="20"/>
                <w:szCs w:val="20"/>
              </w:rPr>
              <w:t xml:space="preserve">с целью</w:t>
            </w:r>
            <w:r>
              <w:rPr>
                <w:rFonts w:ascii="Times New Roman" w:hAnsi="Times New Roman"/>
                <w:sz w:val="20"/>
                <w:szCs w:val="20"/>
              </w:rPr>
              <w:t xml:space="preserve"> погашения деб</w:t>
            </w:r>
            <w:r>
              <w:rPr>
                <w:rFonts w:ascii="Times New Roman" w:hAnsi="Times New Roman"/>
                <w:sz w:val="20"/>
                <w:szCs w:val="20"/>
              </w:rPr>
              <w:t xml:space="preserve">и</w:t>
            </w:r>
            <w:r>
              <w:rPr>
                <w:rFonts w:ascii="Times New Roman" w:hAnsi="Times New Roman"/>
                <w:sz w:val="20"/>
                <w:szCs w:val="20"/>
              </w:rPr>
              <w:t xml:space="preserve">торской задолженности по оплате комиссий перед Банком</w:t>
            </w:r>
            <w:r>
              <w:rPr>
                <w:rFonts w:ascii="Times New Roman" w:hAnsi="Times New Roman"/>
                <w:sz w:val="20"/>
                <w:szCs w:val="20"/>
                <w:highlight w:val="none"/>
                <w14:ligatures w14:val="none"/>
              </w:rPr>
              <w:t xml:space="preserve"> </w:t>
            </w:r>
            <w:r>
              <w:rPr>
                <w:rFonts w:ascii="Times New Roman" w:hAnsi="Times New Roman"/>
                <w:sz w:val="20"/>
                <w:szCs w:val="20"/>
              </w:rPr>
              <w:t xml:space="preserve">(применяется, если в поле «Назначение платежа» </w:t>
            </w:r>
            <w:r>
              <w:rPr>
                <w:rFonts w:ascii="Times New Roman" w:hAnsi="Times New Roman"/>
                <w:sz w:val="20"/>
                <w:szCs w:val="20"/>
              </w:rPr>
              <w:t xml:space="preserve">расчетного документа/в объявлении на взнос наличными </w:t>
            </w:r>
            <w:r>
              <w:rPr>
                <w:rFonts w:ascii="Times New Roman" w:hAnsi="Times New Roman"/>
                <w:sz w:val="20"/>
                <w:szCs w:val="20"/>
              </w:rPr>
              <w:t xml:space="preserve">указывается четкая информация о цели </w:t>
            </w:r>
            <w:r>
              <w:rPr>
                <w:rFonts w:ascii="Times New Roman" w:hAnsi="Times New Roman"/>
                <w:sz w:val="20"/>
                <w:szCs w:val="20"/>
              </w:rPr>
              <w:t xml:space="preserve">пополнения </w:t>
            </w:r>
            <w:r>
              <w:rPr>
                <w:rFonts w:ascii="Times New Roman" w:hAnsi="Times New Roman"/>
                <w:sz w:val="20"/>
                <w:szCs w:val="20"/>
              </w:rPr>
              <w:t xml:space="preserve">с</w:t>
            </w:r>
            <w:r>
              <w:rPr>
                <w:rFonts w:ascii="Times New Roman" w:hAnsi="Times New Roman"/>
                <w:sz w:val="20"/>
                <w:szCs w:val="20"/>
              </w:rPr>
              <w:t xml:space="preserve">чета </w:t>
            </w:r>
            <w:r>
              <w:rPr>
                <w:rFonts w:ascii="Times New Roman" w:hAnsi="Times New Roman"/>
                <w:sz w:val="20"/>
                <w:szCs w:val="20"/>
              </w:rPr>
              <w:t xml:space="preserve">(для погашения дебиторской задолженности по оплате комиссии перед Банком))</w:t>
            </w:r>
            <w:r>
              <w:rPr>
                <w:rFonts w:ascii="Times New Roman" w:hAnsi="Times New Roman"/>
                <w:sz w:val="20"/>
                <w:szCs w:val="20"/>
              </w:rPr>
              <w:t xml:space="preserve">.</w:t>
            </w:r>
            <w:r>
              <w:rPr>
                <w:sz w:val="20"/>
                <w:szCs w:val="20"/>
                <w:lang w:eastAsia="en-US"/>
              </w:rPr>
            </w:r>
            <w:r>
              <w:rPr>
                <w:sz w:val="20"/>
                <w:szCs w:val="20"/>
                <w:lang w:eastAsia="en-US"/>
              </w:rPr>
            </w:r>
          </w:p>
          <w:p>
            <w:pPr>
              <w:pStyle w:val="1135"/>
              <w:jc w:val="both"/>
              <w:tabs>
                <w:tab w:val="left" w:pos="708" w:leader="none"/>
                <w:tab w:val="center" w:pos="4677" w:leader="none"/>
                <w:tab w:val="right" w:pos="9355" w:leader="none"/>
              </w:tabs>
              <w:rPr>
                <w:sz w:val="20"/>
                <w:szCs w:val="20"/>
                <w:lang w:eastAsia="en-US"/>
              </w:rPr>
            </w:pPr>
            <w:r>
              <w:rPr>
                <w:sz w:val="20"/>
                <w:szCs w:val="20"/>
                <w:lang w:eastAsia="en-US"/>
              </w:rPr>
              <w:t xml:space="preserve">Перечисление/выдача остатка денежных средств при закрытии счета признается операцией по счету.</w:t>
            </w:r>
            <w:r>
              <w:rPr>
                <w:sz w:val="20"/>
                <w:szCs w:val="20"/>
                <w:lang w:eastAsia="en-US"/>
              </w:rPr>
            </w:r>
            <w:r>
              <w:rPr>
                <w:sz w:val="20"/>
                <w:szCs w:val="20"/>
                <w:lang w:eastAsia="en-US"/>
              </w:rPr>
            </w:r>
          </w:p>
          <w:p>
            <w:pPr>
              <w:pStyle w:val="1135"/>
              <w:jc w:val="both"/>
              <w:spacing w:before="40" w:after="40"/>
              <w:rPr>
                <w:bCs/>
                <w:sz w:val="20"/>
                <w:szCs w:val="20"/>
              </w:rPr>
            </w:pPr>
            <w:r>
              <w:rPr>
                <w:sz w:val="20"/>
                <w:szCs w:val="20"/>
                <w:lang w:eastAsia="en-US"/>
              </w:rPr>
              <w:t xml:space="preserve">Начиная с 4 (четвертого) календарного месяца при отсутствии операций по счету комиссия взимается в установленном размере согласно п. 1.1.3, но не </w:t>
            </w:r>
            <w:r>
              <w:rPr>
                <w:sz w:val="20"/>
                <w:szCs w:val="20"/>
                <w:lang w:eastAsia="en-US"/>
              </w:rPr>
              <w:t xml:space="preserve">более остатка на счете при условии отсутствия </w:t>
              <w:br/>
              <w:t xml:space="preserve">в Банке на дату взимания комиссии предусмотренных законодательством Российской Федерации действующих решений уполномоченных органов </w:t>
              <w:br/>
              <w:t xml:space="preserve">об ограничении прав клиента </w:t>
              <w:br/>
              <w:t xml:space="preserve">на распоряжение денежными средствами по счету».</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35"/>
              <w:jc w:val="center"/>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35"/>
              <w:jc w:val="both"/>
              <w:tabs>
                <w:tab w:val="left" w:pos="708" w:leader="none"/>
                <w:tab w:val="center" w:pos="4677" w:leader="none"/>
                <w:tab w:val="right" w:pos="9355" w:leader="none"/>
              </w:tabs>
              <w:rPr>
                <w:sz w:val="20"/>
                <w:szCs w:val="20"/>
                <w:lang w:eastAsia="en-US"/>
              </w:rPr>
            </w:pPr>
            <w:r>
              <w:rPr>
                <w:sz w:val="20"/>
                <w:szCs w:val="20"/>
                <w:lang w:eastAsia="en-US"/>
              </w:rPr>
              <w:t xml:space="preserve">- </w:t>
            </w:r>
            <w:r>
              <w:rPr>
                <w:bCs/>
                <w:sz w:val="20"/>
                <w:szCs w:val="20"/>
              </w:rPr>
              <w:t xml:space="preserve">специального счета участника закупки для обеспечения заявок на участие в конкурсах и аукционах</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35"/>
              <w:jc w:val="center"/>
              <w:tabs>
                <w:tab w:val="left" w:pos="708" w:leader="none"/>
                <w:tab w:val="center" w:pos="4677" w:leader="none"/>
                <w:tab w:val="right" w:pos="9355" w:leader="none"/>
              </w:tabs>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135"/>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none" w:color="000000" w:sz="4" w:space="0"/>
              <w:bottom w:val="single" w:color="000000" w:sz="4" w:space="0"/>
              <w:right w:val="single" w:color="000000" w:sz="4" w:space="0"/>
            </w:tcBorders>
            <w:tcW w:w="993" w:type="dxa"/>
            <w:vAlign w:val="top"/>
            <w:textDirection w:val="lrTb"/>
            <w:noWrap w:val="false"/>
          </w:tcPr>
          <w:p>
            <w:pPr>
              <w:pStyle w:val="1135"/>
              <w:jc w:val="center"/>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135"/>
              <w:jc w:val="both"/>
              <w:tabs>
                <w:tab w:val="left" w:pos="708" w:leader="none"/>
                <w:tab w:val="center" w:pos="4677" w:leader="none"/>
                <w:tab w:val="right" w:pos="9355" w:leader="none"/>
              </w:tabs>
              <w:rPr>
                <w:sz w:val="20"/>
                <w:szCs w:val="20"/>
              </w:rPr>
            </w:pPr>
            <w:r>
              <w:rPr>
                <w:bCs/>
                <w:sz w:val="20"/>
                <w:szCs w:val="20"/>
              </w:rPr>
              <w:t xml:space="preserve">- открытого для зачисления возмещения по операциям с использованием платежных карт в рамках договора эквайринга, заключенного </w:t>
            </w:r>
            <w:r>
              <w:rPr>
                <w:sz w:val="20"/>
                <w:szCs w:val="20"/>
              </w:rPr>
              <w:t xml:space="preserve">с АО «Россельхозбанк», при использовании клиентом системы дистанционного банковского обслуживания</w:t>
            </w:r>
            <w:r>
              <w:rPr>
                <w:sz w:val="20"/>
                <w:szCs w:val="20"/>
              </w:rPr>
            </w:r>
            <w:r>
              <w:rPr>
                <w:sz w:val="20"/>
                <w:szCs w:val="20"/>
              </w:rPr>
            </w:r>
          </w:p>
          <w:p>
            <w:pPr>
              <w:pStyle w:val="1135"/>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35"/>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35"/>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35"/>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35"/>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35"/>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35"/>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35"/>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35"/>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35"/>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35"/>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35"/>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35"/>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35"/>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35"/>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35"/>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35"/>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35"/>
              <w:jc w:val="both"/>
              <w:tabs>
                <w:tab w:val="left" w:pos="708" w:leader="none"/>
                <w:tab w:val="center" w:pos="4677" w:leader="none"/>
                <w:tab w:val="right" w:pos="9355" w:leader="none"/>
              </w:tabs>
              <w:rPr>
                <w:sz w:val="20"/>
                <w:szCs w:val="20"/>
                <w:lang w:eastAsia="en-US"/>
              </w:rPr>
            </w:pPr>
            <w:r>
              <w:rPr>
                <w:bCs/>
                <w:sz w:val="20"/>
                <w:szCs w:val="20"/>
              </w:rPr>
              <w:t xml:space="preserve">- </w:t>
            </w:r>
            <w:r>
              <w:rPr>
                <w:sz w:val="20"/>
                <w:szCs w:val="20"/>
              </w:rPr>
              <w:t xml:space="preserve">для клиентов, имеющих обязательства перед АО «Рос</w:t>
            </w:r>
            <w:r>
              <w:rPr>
                <w:sz w:val="20"/>
                <w:szCs w:val="20"/>
              </w:rPr>
              <w:t xml:space="preserve">сельхозбанк» </w:t>
              <w:br/>
              <w:t xml:space="preserve">по кредитным сделкам***, </w:t>
              <w:br/>
              <w:t xml:space="preserve">в отношении которых введена любая из процедур, применяемых в деле </w:t>
              <w:br/>
              <w:t xml:space="preserve">о банкротстве в соответствии с Федеральным законом </w:t>
              <w:br/>
              <w:t xml:space="preserve">от 26.10.2002 № 127-ФЗ </w:t>
              <w:br/>
              <w:t xml:space="preserve">«О несостоятельности (банкротстве)» или находящихся в процессе ликвидации</w:t>
            </w:r>
            <w:r>
              <w:rPr>
                <w:sz w:val="20"/>
                <w:szCs w:val="20"/>
                <w:lang w:eastAsia="en-US"/>
              </w:rPr>
            </w:r>
            <w:r>
              <w:rPr>
                <w:sz w:val="20"/>
                <w:szCs w:val="20"/>
                <w:lang w:eastAsia="en-US"/>
              </w:rPr>
            </w:r>
          </w:p>
        </w:tc>
        <w:tc>
          <w:tcPr>
            <w:tcBorders>
              <w:top w:val="none" w:color="000000" w:sz="4" w:space="0"/>
              <w:left w:val="single" w:color="000000" w:sz="4" w:space="0"/>
              <w:bottom w:val="single" w:color="000000" w:sz="4" w:space="0"/>
              <w:right w:val="single" w:color="000000" w:sz="4" w:space="0"/>
            </w:tcBorders>
            <w:tcW w:w="2420" w:type="dxa"/>
            <w:vAlign w:val="top"/>
            <w:textDirection w:val="lrTb"/>
            <w:noWrap w:val="false"/>
          </w:tcPr>
          <w:p>
            <w:pPr>
              <w:pStyle w:val="1135"/>
              <w:ind w:left="74"/>
              <w:jc w:val="center"/>
              <w:rPr>
                <w:sz w:val="20"/>
                <w:szCs w:val="20"/>
              </w:rPr>
            </w:pPr>
            <w:r>
              <w:rPr>
                <w:sz w:val="20"/>
                <w:szCs w:val="20"/>
              </w:rPr>
              <w:t xml:space="preserve">Не взимается</w:t>
            </w:r>
            <w:r>
              <w:rPr>
                <w:sz w:val="20"/>
                <w:szCs w:val="20"/>
              </w:rPr>
            </w:r>
            <w:r>
              <w:rPr>
                <w:sz w:val="20"/>
                <w:szCs w:val="20"/>
              </w:rPr>
            </w:r>
          </w:p>
          <w:p>
            <w:pPr>
              <w:pStyle w:val="1135"/>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35"/>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35"/>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35"/>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35"/>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35"/>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35"/>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35"/>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35"/>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35"/>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35"/>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35"/>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35"/>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35"/>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35"/>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35"/>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35"/>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35"/>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35"/>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35"/>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35"/>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35"/>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35"/>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35"/>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35"/>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35"/>
              <w:ind w:left="74"/>
              <w:jc w:val="center"/>
              <w:rPr>
                <w:sz w:val="20"/>
                <w:szCs w:val="20"/>
              </w:rPr>
            </w:pPr>
            <w:r>
              <w:rPr>
                <w:sz w:val="20"/>
                <w:szCs w:val="20"/>
              </w:rPr>
              <w:t xml:space="preserve">Не взимается</w:t>
            </w:r>
            <w:r>
              <w:rPr>
                <w:sz w:val="20"/>
                <w:szCs w:val="20"/>
              </w:rPr>
            </w:r>
            <w:r>
              <w:rPr>
                <w:sz w:val="20"/>
                <w:szCs w:val="20"/>
              </w:rPr>
            </w:r>
          </w:p>
          <w:p>
            <w:pPr>
              <w:pStyle w:val="1135"/>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gridSpan w:val="2"/>
            <w:tcBorders>
              <w:top w:val="none" w:color="000000" w:sz="4" w:space="0"/>
              <w:left w:val="single" w:color="000000" w:sz="4" w:space="0"/>
              <w:bottom w:val="single" w:color="000000" w:sz="4" w:space="0"/>
              <w:right w:val="single" w:color="000000" w:sz="4" w:space="0"/>
            </w:tcBorders>
            <w:tcW w:w="3661" w:type="dxa"/>
            <w:vAlign w:val="top"/>
            <w:textDirection w:val="lrTb"/>
            <w:noWrap w:val="false"/>
          </w:tcPr>
          <w:p>
            <w:pPr>
              <w:pStyle w:val="1135"/>
              <w:jc w:val="both"/>
              <w:rPr>
                <w:bCs/>
                <w:sz w:val="20"/>
                <w:szCs w:val="20"/>
              </w:rPr>
            </w:pPr>
            <w:r>
              <w:rPr>
                <w:bCs/>
                <w:sz w:val="20"/>
                <w:szCs w:val="20"/>
              </w:rPr>
              <w:t xml:space="preserve">Комиссия за ведение счета не взимается при одновременном выполнении следующих условий:</w:t>
            </w:r>
            <w:r>
              <w:rPr>
                <w:bCs/>
                <w:sz w:val="20"/>
                <w:szCs w:val="20"/>
              </w:rPr>
            </w:r>
            <w:r>
              <w:rPr>
                <w:bCs/>
                <w:sz w:val="20"/>
                <w:szCs w:val="20"/>
              </w:rPr>
            </w:r>
          </w:p>
          <w:p>
            <w:pPr>
              <w:pStyle w:val="1184"/>
              <w:numPr>
                <w:ilvl w:val="0"/>
                <w:numId w:val="35"/>
              </w:numPr>
              <w:ind w:left="0" w:firstLine="0"/>
              <w:jc w:val="both"/>
              <w:spacing w:after="0" w:line="240" w:lineRule="auto"/>
              <w:tabs>
                <w:tab w:val="left" w:pos="434" w:leader="none"/>
              </w:tabs>
              <w:rPr>
                <w:rFonts w:ascii="Times New Roman" w:hAnsi="Times New Roman" w:eastAsia="Times New Roman"/>
                <w:bCs/>
                <w:sz w:val="20"/>
                <w:szCs w:val="20"/>
                <w:lang w:eastAsia="ru-RU"/>
              </w:rPr>
            </w:pPr>
            <w:r>
              <w:rPr>
                <w:rFonts w:ascii="Times New Roman" w:hAnsi="Times New Roman"/>
                <w:bCs/>
                <w:sz w:val="20"/>
                <w:szCs w:val="20"/>
              </w:rPr>
              <w:t xml:space="preserve">Наличие у клиента в </w:t>
            </w:r>
            <w:r>
              <w:rPr>
                <w:rFonts w:ascii="Times New Roman" w:hAnsi="Times New Roman"/>
                <w:sz w:val="20"/>
                <w:szCs w:val="20"/>
              </w:rPr>
              <w:t xml:space="preserve">Банке </w:t>
            </w:r>
            <w:r>
              <w:rPr>
                <w:rFonts w:ascii="Times New Roman" w:hAnsi="Times New Roman"/>
                <w:bCs/>
                <w:sz w:val="20"/>
                <w:szCs w:val="20"/>
              </w:rPr>
              <w:t xml:space="preserve">действующего договора о выпуске и обслуживании бизнес-карты к расчетному счету, заключенного ранее чем открыт счет для зачисления денежных средств по договору эквайринга (бизнес-карта </w:t>
            </w:r>
            <w:r>
              <w:rPr>
                <w:rFonts w:ascii="Times New Roman" w:hAnsi="Times New Roman" w:eastAsia="Times New Roman"/>
                <w:color w:val="000000"/>
                <w:sz w:val="20"/>
                <w:szCs w:val="20"/>
                <w:lang w:eastAsia="ru-RU"/>
              </w:rPr>
              <w:t xml:space="preserve">обслуживается в рамках тарифного плана «Корпоративный Плюс»)</w:t>
            </w:r>
            <w:r>
              <w:rPr>
                <w:rFonts w:ascii="Times New Roman" w:hAnsi="Times New Roman"/>
                <w:bCs/>
                <w:sz w:val="20"/>
                <w:szCs w:val="20"/>
              </w:rPr>
              <w:t xml:space="preserve">.</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184"/>
              <w:numPr>
                <w:ilvl w:val="0"/>
                <w:numId w:val="35"/>
              </w:numPr>
              <w:ind w:left="0" w:firstLine="0"/>
              <w:jc w:val="both"/>
              <w:spacing w:after="0" w:line="240" w:lineRule="auto"/>
              <w:tabs>
                <w:tab w:val="left" w:pos="434" w:leader="none"/>
              </w:tabs>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Наличие у клиента действующего договора эквайринга, заключенного с </w:t>
            </w:r>
            <w:r>
              <w:rPr>
                <w:rFonts w:ascii="Times New Roman" w:hAnsi="Times New Roman"/>
                <w:sz w:val="20"/>
                <w:szCs w:val="20"/>
              </w:rPr>
              <w:t xml:space="preserve">Банком.</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184"/>
              <w:numPr>
                <w:ilvl w:val="0"/>
                <w:numId w:val="35"/>
              </w:numPr>
              <w:ind w:left="0" w:firstLine="0"/>
              <w:jc w:val="both"/>
              <w:spacing w:after="0" w:line="240" w:lineRule="auto"/>
              <w:tabs>
                <w:tab w:val="left" w:pos="434" w:leader="none"/>
              </w:tabs>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Использование клиентом системы дистанционного банковского обслуживания.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135"/>
              <w:jc w:val="both"/>
              <w:tabs>
                <w:tab w:val="left" w:pos="434" w:leader="none"/>
              </w:tabs>
              <w:rPr>
                <w:bCs/>
                <w:sz w:val="20"/>
                <w:szCs w:val="20"/>
              </w:rPr>
            </w:pPr>
            <w:r>
              <w:rPr>
                <w:bCs/>
                <w:sz w:val="20"/>
                <w:szCs w:val="20"/>
              </w:rPr>
              <w:t xml:space="preserve">В случае несоблюдения любого из указанных условий комиссия взимается в стандартном размере.</w:t>
            </w:r>
            <w:r>
              <w:rPr>
                <w:bCs/>
                <w:sz w:val="20"/>
                <w:szCs w:val="20"/>
              </w:rPr>
            </w:r>
            <w:r>
              <w:rPr>
                <w:bCs/>
                <w:sz w:val="20"/>
                <w:szCs w:val="20"/>
              </w:rPr>
            </w:r>
          </w:p>
          <w:p>
            <w:pPr>
              <w:pStyle w:val="1135"/>
              <w:jc w:val="both"/>
              <w:tabs>
                <w:tab w:val="left" w:pos="708" w:leader="none"/>
                <w:tab w:val="center" w:pos="4677" w:leader="none"/>
                <w:tab w:val="right" w:pos="9355" w:leader="none"/>
              </w:tabs>
              <w:rPr>
                <w:bCs/>
                <w:sz w:val="20"/>
                <w:szCs w:val="20"/>
              </w:rPr>
            </w:pPr>
            <w:r>
              <w:rPr>
                <w:bCs/>
                <w:sz w:val="20"/>
                <w:szCs w:val="20"/>
              </w:rPr>
              <w:t xml:space="preserve">Если бизнес-карта обслуживается в рамках тарифного плана «Корпоративный», комиссия взимается в стандартном размере.</w:t>
            </w:r>
            <w:r>
              <w:rPr>
                <w:bCs/>
                <w:sz w:val="20"/>
                <w:szCs w:val="20"/>
              </w:rPr>
            </w:r>
            <w:r>
              <w:rPr>
                <w:bCs/>
                <w:sz w:val="20"/>
                <w:szCs w:val="20"/>
              </w:rPr>
            </w:r>
          </w:p>
          <w:p>
            <w:pPr>
              <w:pStyle w:val="1135"/>
              <w:jc w:val="both"/>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35"/>
              <w:jc w:val="both"/>
              <w:tabs>
                <w:tab w:val="left" w:pos="708" w:leader="none"/>
                <w:tab w:val="center" w:pos="4677" w:leader="none"/>
                <w:tab w:val="right" w:pos="9355" w:leader="none"/>
              </w:tabs>
              <w:rPr>
                <w:sz w:val="20"/>
                <w:szCs w:val="20"/>
                <w:lang w:eastAsia="en-US"/>
              </w:rPr>
            </w:pPr>
            <w:r>
              <w:rPr>
                <w:bCs/>
                <w:sz w:val="20"/>
                <w:szCs w:val="20"/>
              </w:rPr>
              <w:t xml:space="preserve">После выполнения обязательств перед АО «Россельхозбанк» </w:t>
              <w:br w:type="textWrapping" w:clear="all"/>
              <w:t xml:space="preserve">по кредитным сделкам в полном объеме, комиссия взимается </w:t>
              <w:br w:type="textWrapping" w:clear="all"/>
              <w:t xml:space="preserve">в стандартном размере.</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35"/>
              <w:jc w:val="center"/>
              <w:spacing w:before="40" w:after="40"/>
              <w:rPr>
                <w:bCs/>
                <w:sz w:val="20"/>
                <w:szCs w:val="20"/>
              </w:rPr>
            </w:pPr>
            <w:r>
              <w:rPr>
                <w:bCs/>
                <w:sz w:val="20"/>
                <w:szCs w:val="20"/>
              </w:rPr>
              <w:t xml:space="preserve">1.1.4.</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35"/>
              <w:keepNext/>
              <w:spacing w:before="40" w:after="40"/>
              <w:rPr>
                <w:bCs/>
                <w:sz w:val="20"/>
                <w:szCs w:val="20"/>
              </w:rPr>
              <w:outlineLvl w:val="1"/>
            </w:pPr>
            <w:r>
              <w:rPr>
                <w:bCs/>
                <w:sz w:val="20"/>
                <w:szCs w:val="20"/>
              </w:rPr>
              <w:t xml:space="preserve">Начисление процентов на остатки средств </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1135"/>
              <w:jc w:val="center"/>
              <w:spacing w:before="40" w:after="40"/>
              <w:rPr>
                <w:bCs/>
                <w:sz w:val="20"/>
                <w:szCs w:val="20"/>
              </w:rPr>
            </w:pPr>
            <w:r>
              <w:rPr>
                <w:bCs/>
                <w:sz w:val="20"/>
                <w:szCs w:val="20"/>
              </w:rPr>
              <w:t xml:space="preserve">По согласованию сторон </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1135"/>
              <w:jc w:val="both"/>
              <w:spacing w:before="40" w:after="40"/>
              <w:rPr>
                <w:bCs/>
                <w:sz w:val="20"/>
                <w:szCs w:val="20"/>
              </w:rPr>
            </w:pPr>
            <w:r>
              <w:rPr>
                <w:bCs/>
                <w:sz w:val="20"/>
                <w:szCs w:val="20"/>
              </w:rPr>
              <w:t xml:space="preserve">Оформляется дополнительным соглашением к договору банковского счета</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35"/>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1.1.5.</w:t>
            </w:r>
            <w:r>
              <w:rPr>
                <w:sz w:val="20"/>
                <w:szCs w:val="20"/>
                <w:lang w:eastAsia="en-US"/>
              </w:rPr>
            </w:r>
            <w:r>
              <w:rPr>
                <w:sz w:val="20"/>
                <w:szCs w:val="20"/>
                <w:lang w:eastAsia="en-US"/>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135"/>
              <w:jc w:val="both"/>
              <w:spacing w:before="40"/>
              <w:tabs>
                <w:tab w:val="left" w:pos="708" w:leader="none"/>
                <w:tab w:val="center" w:pos="4677" w:leader="none"/>
                <w:tab w:val="right" w:pos="9355" w:leader="none"/>
              </w:tabs>
              <w:rPr>
                <w:sz w:val="20"/>
                <w:szCs w:val="20"/>
                <w:lang w:eastAsia="en-US"/>
              </w:rPr>
            </w:pPr>
            <w:r>
              <w:rPr>
                <w:sz w:val="20"/>
                <w:szCs w:val="20"/>
              </w:rPr>
              <w:t xml:space="preserve">Перевод денежных средств со счета клиента (в том числе при закрытии счета</w:t>
            </w:r>
            <w:r>
              <w:rPr>
                <w:sz w:val="20"/>
                <w:szCs w:val="20"/>
              </w:rPr>
              <w:t xml:space="preserve"> </w:t>
            </w:r>
            <w:r>
              <w:rPr>
                <w:sz w:val="20"/>
                <w:szCs w:val="20"/>
              </w:rPr>
              <w:t xml:space="preserve">клиента</w:t>
            </w:r>
            <w:r>
              <w:rPr>
                <w:sz w:val="20"/>
                <w:szCs w:val="20"/>
              </w:rPr>
              <w:t xml:space="preserve">) </w:t>
              <w:br w:type="textWrapping" w:clear="all"/>
              <w:t xml:space="preserve">на счета юридических лиц, субъектов Российской Федерации, муниципальных образований, индивидуальных предпринимателей и физических лиц,</w:t>
            </w:r>
            <w:r>
              <w:rPr>
                <w:sz w:val="20"/>
                <w:szCs w:val="20"/>
              </w:rPr>
              <w:t xml:space="preserve"> занимающихся в установленном законодательством Российской Федерации порядке частной практикой, а также на счета физических лиц исключительно в случаях и/или по основаниям (назначению платежа), указанным в пункте 2 графы «Примечание» пункта 1.1.8 Тарифов):</w:t>
            </w:r>
            <w:r>
              <w:rPr>
                <w:sz w:val="20"/>
                <w:szCs w:val="20"/>
                <w:lang w:eastAsia="en-US"/>
              </w:rPr>
            </w:r>
            <w:r>
              <w:rPr>
                <w:sz w:val="20"/>
                <w:szCs w:val="20"/>
                <w:lang w:eastAsia="en-US"/>
              </w:rPr>
            </w:r>
          </w:p>
        </w:tc>
        <w:tc>
          <w:tcPr>
            <w:tcBorders>
              <w:top w:val="single" w:color="000000" w:sz="4" w:space="0"/>
              <w:left w:val="single" w:color="000000" w:sz="4" w:space="0"/>
              <w:bottom w:val="none" w:color="000000" w:sz="4" w:space="0"/>
              <w:right w:val="single" w:color="000000" w:sz="4" w:space="0"/>
            </w:tcBorders>
            <w:tcW w:w="2420" w:type="dxa"/>
            <w:vAlign w:val="top"/>
            <w:textDirection w:val="lrTb"/>
            <w:noWrap w:val="false"/>
          </w:tcPr>
          <w:p>
            <w:pPr>
              <w:pStyle w:val="1135"/>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gridSpan w:val="2"/>
            <w:tcBorders>
              <w:top w:val="single" w:color="000000" w:sz="4" w:space="0"/>
              <w:left w:val="single" w:color="000000" w:sz="4" w:space="0"/>
              <w:right w:val="single" w:color="000000" w:sz="4" w:space="0"/>
            </w:tcBorders>
            <w:tcW w:w="3661" w:type="dxa"/>
            <w:vAlign w:val="top"/>
            <w:vMerge w:val="restart"/>
            <w:textDirection w:val="lrTb"/>
            <w:noWrap w:val="false"/>
          </w:tcPr>
          <w:p>
            <w:pPr>
              <w:pStyle w:val="1135"/>
              <w:jc w:val="both"/>
              <w:spacing w:before="120"/>
              <w:tabs>
                <w:tab w:val="left" w:pos="0" w:leader="none"/>
                <w:tab w:val="left" w:pos="1134" w:leader="none"/>
              </w:tabs>
              <w:rPr>
                <w:sz w:val="20"/>
                <w:szCs w:val="20"/>
              </w:rPr>
            </w:pPr>
            <w:r>
              <w:rPr>
                <w:sz w:val="20"/>
                <w:szCs w:val="20"/>
              </w:rPr>
              <w:t xml:space="preserve">Комиссия за перевод денежных средств в оплату вознаграждения Банку не взимается.</w:t>
            </w:r>
            <w:r>
              <w:rPr>
                <w:sz w:val="20"/>
                <w:szCs w:val="20"/>
              </w:rPr>
            </w:r>
            <w:r>
              <w:rPr>
                <w:sz w:val="20"/>
                <w:szCs w:val="20"/>
              </w:rPr>
            </w:r>
          </w:p>
          <w:p>
            <w:pPr>
              <w:pStyle w:val="1135"/>
              <w:ind w:firstLine="35"/>
              <w:jc w:val="both"/>
              <w:tabs>
                <w:tab w:val="left" w:pos="1134" w:leader="none"/>
                <w:tab w:val="center" w:pos="4677" w:leader="none"/>
                <w:tab w:val="right" w:pos="9355" w:leader="none"/>
              </w:tabs>
              <w:rPr>
                <w:sz w:val="20"/>
                <w:szCs w:val="20"/>
              </w:rPr>
            </w:pPr>
            <w:r>
              <w:rPr>
                <w:sz w:val="20"/>
                <w:szCs w:val="20"/>
              </w:rPr>
            </w:r>
            <w:r>
              <w:rPr>
                <w:sz w:val="20"/>
                <w:szCs w:val="20"/>
              </w:rPr>
            </w:r>
            <w:r>
              <w:rPr>
                <w:sz w:val="20"/>
                <w:szCs w:val="20"/>
              </w:rPr>
            </w:r>
          </w:p>
          <w:p>
            <w:pPr>
              <w:pStyle w:val="1135"/>
              <w:ind w:firstLine="35"/>
              <w:jc w:val="both"/>
              <w:tabs>
                <w:tab w:val="left" w:pos="1134" w:leader="none"/>
                <w:tab w:val="center" w:pos="4677" w:leader="none"/>
                <w:tab w:val="right" w:pos="9355" w:leader="none"/>
              </w:tabs>
              <w:rPr>
                <w:sz w:val="20"/>
                <w:szCs w:val="20"/>
              </w:rPr>
            </w:pPr>
            <w:r>
              <w:rPr>
                <w:sz w:val="20"/>
                <w:szCs w:val="20"/>
              </w:rPr>
            </w:r>
            <w:r>
              <w:rPr>
                <w:sz w:val="20"/>
                <w:szCs w:val="20"/>
              </w:rPr>
            </w:r>
            <w:r>
              <w:rPr>
                <w:sz w:val="20"/>
                <w:szCs w:val="20"/>
              </w:rPr>
            </w:r>
          </w:p>
          <w:p>
            <w:pPr>
              <w:pStyle w:val="1135"/>
              <w:ind w:firstLine="35"/>
              <w:jc w:val="both"/>
              <w:tabs>
                <w:tab w:val="left" w:pos="1134" w:leader="none"/>
                <w:tab w:val="center" w:pos="4677" w:leader="none"/>
                <w:tab w:val="right" w:pos="9355" w:leader="none"/>
              </w:tabs>
              <w:rPr>
                <w:sz w:val="20"/>
                <w:szCs w:val="20"/>
              </w:rPr>
            </w:pPr>
            <w:r>
              <w:rPr>
                <w:sz w:val="20"/>
                <w:szCs w:val="20"/>
              </w:rPr>
            </w:r>
            <w:r>
              <w:rPr>
                <w:sz w:val="20"/>
                <w:szCs w:val="20"/>
              </w:rPr>
            </w:r>
            <w:r>
              <w:rPr>
                <w:sz w:val="20"/>
                <w:szCs w:val="20"/>
              </w:rPr>
            </w:r>
          </w:p>
          <w:p>
            <w:pPr>
              <w:pStyle w:val="1135"/>
              <w:ind w:firstLine="35"/>
              <w:jc w:val="both"/>
              <w:tabs>
                <w:tab w:val="left" w:pos="1134" w:leader="none"/>
                <w:tab w:val="center" w:pos="4677" w:leader="none"/>
                <w:tab w:val="right" w:pos="9355" w:leader="none"/>
              </w:tabs>
              <w:rPr>
                <w:sz w:val="20"/>
                <w:szCs w:val="20"/>
              </w:rPr>
            </w:pPr>
            <w:r>
              <w:rPr>
                <w:sz w:val="20"/>
                <w:szCs w:val="20"/>
              </w:rPr>
            </w:r>
            <w:r>
              <w:rPr>
                <w:sz w:val="20"/>
                <w:szCs w:val="20"/>
              </w:rPr>
            </w:r>
            <w:r>
              <w:rPr>
                <w:sz w:val="20"/>
                <w:szCs w:val="20"/>
              </w:rPr>
            </w:r>
          </w:p>
          <w:p>
            <w:pPr>
              <w:pStyle w:val="1135"/>
              <w:ind w:firstLine="35"/>
              <w:jc w:val="both"/>
              <w:tabs>
                <w:tab w:val="left" w:pos="1134" w:leader="none"/>
                <w:tab w:val="center" w:pos="4677" w:leader="none"/>
                <w:tab w:val="right" w:pos="9355" w:leader="none"/>
              </w:tabs>
              <w:rPr>
                <w:sz w:val="20"/>
                <w:szCs w:val="20"/>
              </w:rPr>
            </w:pPr>
            <w:r>
              <w:rPr>
                <w:sz w:val="20"/>
                <w:szCs w:val="20"/>
              </w:rPr>
            </w:r>
            <w:r>
              <w:rPr>
                <w:sz w:val="20"/>
                <w:szCs w:val="20"/>
              </w:rPr>
            </w:r>
            <w:r>
              <w:rPr>
                <w:sz w:val="20"/>
                <w:szCs w:val="20"/>
              </w:rPr>
            </w:r>
          </w:p>
          <w:p>
            <w:pPr>
              <w:pStyle w:val="1135"/>
              <w:ind w:firstLine="35"/>
              <w:jc w:val="both"/>
              <w:tabs>
                <w:tab w:val="left" w:pos="1134" w:leader="none"/>
                <w:tab w:val="center" w:pos="4677" w:leader="none"/>
                <w:tab w:val="right" w:pos="9355" w:leader="none"/>
              </w:tabs>
              <w:rPr>
                <w:sz w:val="20"/>
                <w:szCs w:val="20"/>
              </w:rPr>
            </w:pPr>
            <w:r>
              <w:rPr>
                <w:sz w:val="20"/>
                <w:szCs w:val="20"/>
              </w:rPr>
            </w:r>
            <w:r>
              <w:rPr>
                <w:sz w:val="20"/>
                <w:szCs w:val="20"/>
              </w:rPr>
            </w:r>
            <w:r>
              <w:rPr>
                <w:sz w:val="20"/>
                <w:szCs w:val="20"/>
              </w:rPr>
            </w:r>
          </w:p>
          <w:p>
            <w:pPr>
              <w:pStyle w:val="1135"/>
              <w:ind w:firstLine="35"/>
              <w:jc w:val="both"/>
              <w:tabs>
                <w:tab w:val="left" w:pos="1134" w:leader="none"/>
                <w:tab w:val="center" w:pos="4677" w:leader="none"/>
                <w:tab w:val="right" w:pos="9355" w:leader="none"/>
              </w:tabs>
              <w:rPr>
                <w:sz w:val="20"/>
                <w:szCs w:val="20"/>
              </w:rPr>
            </w:pPr>
            <w:r>
              <w:rPr>
                <w:sz w:val="20"/>
                <w:szCs w:val="20"/>
              </w:rPr>
            </w:r>
            <w:r>
              <w:rPr>
                <w:sz w:val="20"/>
                <w:szCs w:val="20"/>
              </w:rPr>
            </w:r>
            <w:r>
              <w:rPr>
                <w:sz w:val="20"/>
                <w:szCs w:val="20"/>
              </w:rPr>
            </w:r>
          </w:p>
          <w:p>
            <w:pPr>
              <w:pStyle w:val="1135"/>
              <w:ind w:firstLine="35"/>
              <w:jc w:val="both"/>
              <w:tabs>
                <w:tab w:val="left" w:pos="1134" w:leader="none"/>
                <w:tab w:val="center" w:pos="4677" w:leader="none"/>
                <w:tab w:val="right" w:pos="9355" w:leader="none"/>
              </w:tabs>
              <w:rPr>
                <w:sz w:val="20"/>
                <w:szCs w:val="20"/>
              </w:rPr>
            </w:pPr>
            <w:r>
              <w:rPr>
                <w:sz w:val="20"/>
                <w:szCs w:val="20"/>
              </w:rPr>
            </w:r>
            <w:r>
              <w:rPr>
                <w:sz w:val="20"/>
                <w:szCs w:val="20"/>
              </w:rPr>
            </w:r>
            <w:r>
              <w:rPr>
                <w:sz w:val="20"/>
                <w:szCs w:val="20"/>
              </w:rPr>
            </w:r>
          </w:p>
          <w:p>
            <w:pPr>
              <w:pStyle w:val="1135"/>
              <w:ind w:firstLine="35"/>
              <w:jc w:val="both"/>
              <w:tabs>
                <w:tab w:val="left" w:pos="1134" w:leader="none"/>
                <w:tab w:val="center" w:pos="4677" w:leader="none"/>
                <w:tab w:val="right" w:pos="9355" w:leader="none"/>
              </w:tabs>
              <w:rPr>
                <w:sz w:val="20"/>
                <w:szCs w:val="20"/>
              </w:rPr>
            </w:pPr>
            <w:r>
              <w:rPr>
                <w:sz w:val="20"/>
                <w:szCs w:val="20"/>
              </w:rPr>
            </w:r>
            <w:r>
              <w:rPr>
                <w:sz w:val="20"/>
                <w:szCs w:val="20"/>
              </w:rPr>
            </w:r>
            <w:r>
              <w:rPr>
                <w:sz w:val="20"/>
                <w:szCs w:val="20"/>
              </w:rPr>
            </w:r>
          </w:p>
          <w:p>
            <w:pPr>
              <w:pStyle w:val="1135"/>
              <w:ind w:firstLine="35"/>
              <w:jc w:val="both"/>
              <w:tabs>
                <w:tab w:val="left" w:pos="1134" w:leader="none"/>
                <w:tab w:val="center" w:pos="4677" w:leader="none"/>
                <w:tab w:val="right" w:pos="9355" w:leader="none"/>
              </w:tabs>
              <w:rPr>
                <w:sz w:val="20"/>
                <w:szCs w:val="20"/>
              </w:rPr>
            </w:pPr>
            <w:r>
              <w:rPr>
                <w:sz w:val="20"/>
                <w:szCs w:val="20"/>
              </w:rPr>
            </w:r>
            <w:r>
              <w:rPr>
                <w:sz w:val="20"/>
                <w:szCs w:val="20"/>
              </w:rPr>
            </w:r>
            <w:r>
              <w:rPr>
                <w:sz w:val="20"/>
                <w:szCs w:val="20"/>
              </w:rPr>
            </w:r>
          </w:p>
          <w:p>
            <w:pPr>
              <w:pStyle w:val="1135"/>
              <w:ind w:firstLine="35"/>
              <w:jc w:val="both"/>
              <w:tabs>
                <w:tab w:val="left" w:pos="1134" w:leader="none"/>
                <w:tab w:val="center" w:pos="4677" w:leader="none"/>
                <w:tab w:val="right" w:pos="9355" w:leader="none"/>
              </w:tabs>
              <w:rPr>
                <w:sz w:val="20"/>
                <w:szCs w:val="20"/>
              </w:rPr>
            </w:pPr>
            <w:r>
              <w:rPr>
                <w:sz w:val="20"/>
                <w:szCs w:val="20"/>
              </w:rPr>
            </w:r>
            <w:r>
              <w:rPr>
                <w:sz w:val="20"/>
                <w:szCs w:val="20"/>
              </w:rPr>
            </w:r>
            <w:r>
              <w:rPr>
                <w:sz w:val="20"/>
                <w:szCs w:val="20"/>
              </w:rPr>
            </w:r>
          </w:p>
          <w:p>
            <w:pPr>
              <w:pStyle w:val="1135"/>
              <w:ind w:firstLine="35"/>
              <w:jc w:val="both"/>
              <w:tabs>
                <w:tab w:val="left" w:pos="1134" w:leader="none"/>
                <w:tab w:val="center" w:pos="4677" w:leader="none"/>
                <w:tab w:val="right" w:pos="9355" w:leader="none"/>
              </w:tabs>
              <w:rPr>
                <w:sz w:val="20"/>
                <w:szCs w:val="20"/>
              </w:rPr>
            </w:pPr>
            <w:r>
              <w:rPr>
                <w:sz w:val="20"/>
                <w:szCs w:val="20"/>
              </w:rPr>
            </w:r>
            <w:r>
              <w:rPr>
                <w:sz w:val="20"/>
                <w:szCs w:val="20"/>
              </w:rPr>
            </w:r>
            <w:r>
              <w:rPr>
                <w:sz w:val="20"/>
                <w:szCs w:val="20"/>
              </w:rPr>
            </w:r>
          </w:p>
          <w:p>
            <w:pPr>
              <w:pStyle w:val="1135"/>
              <w:ind w:firstLine="35"/>
              <w:jc w:val="both"/>
              <w:tabs>
                <w:tab w:val="left" w:pos="1134" w:leader="none"/>
                <w:tab w:val="center" w:pos="4677" w:leader="none"/>
                <w:tab w:val="right" w:pos="9355" w:leader="none"/>
              </w:tabs>
              <w:rPr>
                <w:sz w:val="20"/>
                <w:szCs w:val="20"/>
              </w:rPr>
            </w:pPr>
            <w:r>
              <w:rPr>
                <w:sz w:val="20"/>
                <w:szCs w:val="20"/>
              </w:rPr>
            </w:r>
            <w:r>
              <w:rPr>
                <w:sz w:val="20"/>
                <w:szCs w:val="20"/>
              </w:rPr>
            </w:r>
            <w:r>
              <w:rPr>
                <w:sz w:val="20"/>
                <w:szCs w:val="20"/>
              </w:rPr>
            </w:r>
          </w:p>
          <w:p>
            <w:pPr>
              <w:pStyle w:val="1135"/>
              <w:ind w:firstLine="35"/>
              <w:jc w:val="both"/>
              <w:tabs>
                <w:tab w:val="left" w:pos="1134" w:leader="none"/>
                <w:tab w:val="center" w:pos="4677" w:leader="none"/>
                <w:tab w:val="right" w:pos="9355" w:leader="none"/>
              </w:tabs>
              <w:rPr>
                <w:sz w:val="20"/>
                <w:szCs w:val="20"/>
              </w:rPr>
            </w:pPr>
            <w:r>
              <w:rPr>
                <w:sz w:val="20"/>
                <w:szCs w:val="20"/>
              </w:rPr>
            </w:r>
            <w:r>
              <w:rPr>
                <w:sz w:val="20"/>
                <w:szCs w:val="20"/>
              </w:rPr>
            </w:r>
            <w:r>
              <w:rPr>
                <w:sz w:val="20"/>
                <w:szCs w:val="20"/>
              </w:rPr>
            </w:r>
          </w:p>
          <w:p>
            <w:pPr>
              <w:pStyle w:val="1135"/>
              <w:ind w:firstLine="35"/>
              <w:jc w:val="both"/>
              <w:tabs>
                <w:tab w:val="left" w:pos="1134" w:leader="none"/>
                <w:tab w:val="center" w:pos="4677" w:leader="none"/>
                <w:tab w:val="right" w:pos="9355" w:leader="none"/>
              </w:tabs>
              <w:rPr>
                <w:sz w:val="20"/>
                <w:szCs w:val="20"/>
              </w:rPr>
            </w:pPr>
            <w:r>
              <w:rPr>
                <w:sz w:val="20"/>
                <w:szCs w:val="20"/>
              </w:rPr>
            </w:r>
            <w:r>
              <w:rPr>
                <w:sz w:val="20"/>
                <w:szCs w:val="20"/>
              </w:rPr>
            </w:r>
            <w:r>
              <w:rPr>
                <w:sz w:val="20"/>
                <w:szCs w:val="20"/>
              </w:rPr>
            </w:r>
          </w:p>
          <w:p>
            <w:pPr>
              <w:pStyle w:val="1135"/>
              <w:ind w:firstLine="35"/>
              <w:jc w:val="both"/>
              <w:tabs>
                <w:tab w:val="left" w:pos="1134" w:leader="none"/>
                <w:tab w:val="center" w:pos="4677" w:leader="none"/>
                <w:tab w:val="right" w:pos="9355" w:leader="none"/>
              </w:tabs>
              <w:rPr>
                <w:sz w:val="20"/>
                <w:szCs w:val="20"/>
              </w:rPr>
            </w:pPr>
            <w:r>
              <w:rPr>
                <w:sz w:val="20"/>
                <w:szCs w:val="20"/>
              </w:rPr>
            </w:r>
            <w:r>
              <w:rPr>
                <w:sz w:val="20"/>
                <w:szCs w:val="20"/>
              </w:rPr>
            </w:r>
            <w:r>
              <w:rPr>
                <w:sz w:val="20"/>
                <w:szCs w:val="20"/>
              </w:rPr>
            </w:r>
          </w:p>
          <w:p>
            <w:pPr>
              <w:pStyle w:val="1135"/>
              <w:ind w:firstLine="35"/>
              <w:jc w:val="both"/>
              <w:tabs>
                <w:tab w:val="left" w:pos="1134" w:leader="none"/>
                <w:tab w:val="center" w:pos="4677" w:leader="none"/>
                <w:tab w:val="right" w:pos="9355" w:leader="none"/>
              </w:tabs>
              <w:rPr>
                <w:sz w:val="20"/>
                <w:szCs w:val="20"/>
              </w:rPr>
            </w:pPr>
            <w:r>
              <w:rPr>
                <w:sz w:val="20"/>
                <w:szCs w:val="20"/>
              </w:rPr>
            </w:r>
            <w:r>
              <w:rPr>
                <w:sz w:val="20"/>
                <w:szCs w:val="20"/>
              </w:rPr>
            </w:r>
            <w:r>
              <w:rPr>
                <w:sz w:val="20"/>
                <w:szCs w:val="20"/>
              </w:rPr>
            </w:r>
          </w:p>
          <w:p>
            <w:pPr>
              <w:pStyle w:val="1135"/>
              <w:ind w:firstLine="35"/>
              <w:jc w:val="both"/>
              <w:tabs>
                <w:tab w:val="left" w:pos="1134" w:leader="none"/>
                <w:tab w:val="center" w:pos="4677" w:leader="none"/>
                <w:tab w:val="right" w:pos="9355" w:leader="none"/>
              </w:tabs>
              <w:rPr>
                <w:sz w:val="20"/>
                <w:szCs w:val="20"/>
              </w:rPr>
            </w:pPr>
            <w:r>
              <w:rPr>
                <w:sz w:val="20"/>
                <w:szCs w:val="20"/>
              </w:rPr>
              <w:t xml:space="preserve">Комиссия за перевод денежных средств на счета физических лиц взимается в соответствии с п. 1.1.8 Тарифов, кроме перевода денежных средств при закрытии счета клиента.</w:t>
            </w:r>
            <w:r>
              <w:rPr>
                <w:sz w:val="20"/>
                <w:szCs w:val="20"/>
              </w:rPr>
            </w:r>
            <w:r>
              <w:rPr>
                <w:sz w:val="20"/>
                <w:szCs w:val="20"/>
              </w:rPr>
            </w:r>
          </w:p>
          <w:p>
            <w:pPr>
              <w:pStyle w:val="1135"/>
              <w:ind w:firstLine="35"/>
              <w:jc w:val="both"/>
              <w:tabs>
                <w:tab w:val="left" w:pos="1134" w:leader="none"/>
                <w:tab w:val="center" w:pos="4677" w:leader="none"/>
                <w:tab w:val="right" w:pos="9355" w:leader="none"/>
              </w:tabs>
              <w:rPr>
                <w:sz w:val="20"/>
                <w:szCs w:val="20"/>
                <w:lang w:eastAsia="en-US"/>
              </w:rPr>
            </w:pPr>
            <w:r>
              <w:rPr>
                <w:sz w:val="20"/>
                <w:szCs w:val="20"/>
                <w:lang w:eastAsia="en-US"/>
              </w:rPr>
              <w:t xml:space="preserve">Комиссия не взимается при исполнении: </w:t>
            </w:r>
            <w:r>
              <w:rPr>
                <w:sz w:val="20"/>
                <w:szCs w:val="20"/>
                <w:lang w:eastAsia="en-US"/>
              </w:rPr>
            </w:r>
            <w:r>
              <w:rPr>
                <w:sz w:val="20"/>
                <w:szCs w:val="20"/>
                <w:lang w:eastAsia="en-US"/>
              </w:rPr>
            </w:r>
          </w:p>
          <w:p>
            <w:pPr>
              <w:pStyle w:val="1135"/>
              <w:ind w:firstLine="35"/>
              <w:jc w:val="both"/>
              <w:tabs>
                <w:tab w:val="left" w:pos="1134" w:leader="none"/>
                <w:tab w:val="center" w:pos="4677" w:leader="none"/>
                <w:tab w:val="right" w:pos="9355" w:leader="none"/>
              </w:tabs>
              <w:rPr>
                <w:sz w:val="20"/>
                <w:szCs w:val="20"/>
                <w:lang w:eastAsia="en-US"/>
              </w:rPr>
            </w:pPr>
            <w:r>
              <w:rPr>
                <w:sz w:val="20"/>
                <w:szCs w:val="20"/>
                <w:lang w:eastAsia="en-US"/>
              </w:rPr>
              <w:t xml:space="preserve">- расчетных документов по осуществлению обязательных платежей в бюджетную систему Российской Федерации (налоги, сборы, страховые взносы, пени, штрафы); </w:t>
            </w:r>
            <w:r>
              <w:rPr>
                <w:sz w:val="20"/>
                <w:szCs w:val="20"/>
                <w:lang w:eastAsia="en-US"/>
              </w:rPr>
            </w:r>
            <w:r>
              <w:rPr>
                <w:sz w:val="20"/>
                <w:szCs w:val="20"/>
                <w:lang w:eastAsia="en-US"/>
              </w:rPr>
            </w:r>
          </w:p>
          <w:p>
            <w:pPr>
              <w:pStyle w:val="1135"/>
              <w:ind w:firstLine="35"/>
              <w:jc w:val="both"/>
              <w:tabs>
                <w:tab w:val="left" w:pos="1134" w:leader="none"/>
                <w:tab w:val="center" w:pos="4677" w:leader="none"/>
                <w:tab w:val="right" w:pos="9355" w:leader="none"/>
              </w:tabs>
              <w:rPr>
                <w:sz w:val="20"/>
                <w:szCs w:val="20"/>
                <w:lang w:eastAsia="en-US"/>
              </w:rPr>
            </w:pPr>
            <w:r>
              <w:rPr>
                <w:sz w:val="20"/>
                <w:szCs w:val="20"/>
                <w:lang w:eastAsia="en-US"/>
              </w:rPr>
              <w:t xml:space="preserve">- </w:t>
            </w:r>
            <w:r>
              <w:rPr>
                <w:sz w:val="20"/>
                <w:szCs w:val="20"/>
              </w:rPr>
              <w:t xml:space="preserve">расчетных документов по оплате страховых взносов на счета Фонда пенсионного и социального страхования Рос</w:t>
            </w:r>
            <w:r>
              <w:rPr>
                <w:sz w:val="20"/>
                <w:szCs w:val="20"/>
              </w:rPr>
              <w:t xml:space="preserve">сийской Федерации, Федерального Фонда и территориальных </w:t>
            </w:r>
            <w:r>
              <w:rPr>
                <w:sz w:val="20"/>
                <w:szCs w:val="20"/>
              </w:rPr>
              <w:t xml:space="preserve">фондов обязательного медицинского страхования</w:t>
            </w:r>
            <w:r>
              <w:rPr>
                <w:sz w:val="20"/>
                <w:szCs w:val="20"/>
                <w:lang w:eastAsia="en-US"/>
              </w:rPr>
              <w:t xml:space="preserve">;</w:t>
            </w:r>
            <w:r>
              <w:rPr>
                <w:sz w:val="20"/>
                <w:szCs w:val="20"/>
                <w:lang w:eastAsia="en-US"/>
              </w:rPr>
            </w:r>
            <w:r>
              <w:rPr>
                <w:sz w:val="20"/>
                <w:szCs w:val="20"/>
                <w:lang w:eastAsia="en-US"/>
              </w:rPr>
            </w:r>
          </w:p>
          <w:p>
            <w:pPr>
              <w:pStyle w:val="1135"/>
              <w:ind w:firstLine="35"/>
              <w:jc w:val="both"/>
              <w:tabs>
                <w:tab w:val="left" w:pos="1134" w:leader="none"/>
                <w:tab w:val="center" w:pos="4677" w:leader="none"/>
                <w:tab w:val="right" w:pos="9355" w:leader="none"/>
              </w:tabs>
              <w:rPr>
                <w:sz w:val="20"/>
                <w:szCs w:val="20"/>
                <w:lang w:eastAsia="en-US"/>
              </w:rPr>
            </w:pPr>
            <w:r>
              <w:rPr>
                <w:sz w:val="20"/>
                <w:szCs w:val="20"/>
                <w:lang w:eastAsia="en-US"/>
              </w:rPr>
              <w:t xml:space="preserve">- расчетных документов по счетам клиентов, </w:t>
            </w:r>
            <w:r>
              <w:rPr>
                <w:sz w:val="20"/>
                <w:szCs w:val="20"/>
              </w:rPr>
              <w:t xml:space="preserve">имеющих обязательства перед АО «Р</w:t>
            </w:r>
            <w:r>
              <w:rPr>
                <w:sz w:val="20"/>
                <w:szCs w:val="20"/>
              </w:rPr>
              <w:t xml:space="preserve">оссельхозбанк» по кредитным сделкам***, в отношении которых введена любая </w:t>
              <w:br/>
              <w:t xml:space="preserve">из процедур, применяемых в деле о банкротстве в соответствии с Федеральным законом </w:t>
              <w:br/>
              <w:t xml:space="preserve">от 26.10.2002 № 127-ФЗ «О несостоятельности (банкротстве)» или находящихся в процессе ликвидации;</w:t>
            </w:r>
            <w:r>
              <w:rPr>
                <w:sz w:val="20"/>
                <w:szCs w:val="20"/>
                <w:lang w:eastAsia="en-US"/>
              </w:rPr>
            </w:r>
            <w:r>
              <w:rPr>
                <w:sz w:val="20"/>
                <w:szCs w:val="20"/>
                <w:lang w:eastAsia="en-US"/>
              </w:rPr>
            </w:r>
          </w:p>
          <w:p>
            <w:pPr>
              <w:pStyle w:val="1135"/>
              <w:ind w:firstLine="35"/>
              <w:jc w:val="both"/>
              <w:tabs>
                <w:tab w:val="left" w:pos="708" w:leader="none"/>
                <w:tab w:val="center" w:pos="4677" w:leader="none"/>
                <w:tab w:val="right" w:pos="9355" w:leader="none"/>
              </w:tabs>
              <w:rPr>
                <w:sz w:val="20"/>
                <w:szCs w:val="20"/>
                <w:lang w:eastAsia="en-US"/>
              </w:rPr>
            </w:pPr>
            <w:r>
              <w:rPr>
                <w:sz w:val="20"/>
                <w:szCs w:val="20"/>
                <w:lang w:eastAsia="en-US"/>
              </w:rPr>
              <w:t xml:space="preserve">- </w:t>
            </w:r>
            <w:r>
              <w:rPr>
                <w:sz w:val="20"/>
                <w:szCs w:val="20"/>
              </w:rPr>
              <w:t xml:space="preserve">инкассовых поручений, составленных Банком на основании исполнительных документов, должником по которым является клиент.</w:t>
            </w:r>
            <w:r>
              <w:rPr>
                <w:sz w:val="20"/>
                <w:szCs w:val="20"/>
                <w:lang w:eastAsia="en-US"/>
              </w:rPr>
            </w:r>
            <w:r>
              <w:rPr>
                <w:sz w:val="20"/>
                <w:szCs w:val="20"/>
                <w:lang w:eastAsia="en-US"/>
              </w:rPr>
            </w:r>
          </w:p>
          <w:p>
            <w:pPr>
              <w:pStyle w:val="1135"/>
              <w:jc w:val="both"/>
              <w:rPr>
                <w:sz w:val="20"/>
                <w:szCs w:val="20"/>
                <w:lang w:eastAsia="en-US"/>
              </w:rPr>
            </w:pPr>
            <w:r>
              <w:rPr>
                <w:sz w:val="20"/>
                <w:szCs w:val="20"/>
                <w:lang w:eastAsia="en-US"/>
              </w:rPr>
              <w:t xml:space="preserve">За осуществление платежа, ранее отправленного по системе дистанционного банковского обслуживания и помещенного в картотеку из-за отсутствия дене</w:t>
            </w:r>
            <w:r>
              <w:rPr>
                <w:sz w:val="20"/>
                <w:szCs w:val="20"/>
                <w:lang w:eastAsia="en-US"/>
              </w:rPr>
              <w:t xml:space="preserve">жных средств на счете или приостановления операций по счету налоговым органом/таможенным органом, частично платежным ордером или полностью платежным поручением взимается комиссионное вознаграждение, как если бы документ был представлен на бумажном носителе</w:t>
            </w:r>
            <w:r>
              <w:rPr>
                <w:sz w:val="20"/>
                <w:szCs w:val="20"/>
                <w:lang w:eastAsia="en-US"/>
              </w:rPr>
            </w:r>
            <w:r>
              <w:rPr>
                <w:sz w:val="20"/>
                <w:szCs w:val="20"/>
                <w:lang w:eastAsia="en-US"/>
              </w:rPr>
            </w:r>
          </w:p>
          <w:p>
            <w:pPr>
              <w:pStyle w:val="1135"/>
              <w:jc w:val="both"/>
              <w:rPr>
                <w:sz w:val="20"/>
                <w:szCs w:val="20"/>
                <w:lang w:eastAsia="en-US"/>
              </w:rPr>
            </w:pPr>
            <w:r>
              <w:rPr>
                <w:bCs/>
                <w:sz w:val="20"/>
                <w:szCs w:val="20"/>
              </w:rPr>
              <w:t xml:space="preserve">Комиссия за совершение платежа на основании платежного требования, поступившего в Бан</w:t>
            </w:r>
            <w:r>
              <w:rPr>
                <w:bCs/>
                <w:sz w:val="20"/>
                <w:szCs w:val="20"/>
              </w:rPr>
              <w:t xml:space="preserve">к в электронном виде, взимается, как если бы документ был отправлен по системе дистанционного банковского обслуживания (при наличии акцепта плательщика). При исполнении платежного требования, поступившего в Банк в электронном виде, помещенного в картотеку </w:t>
            </w:r>
            <w:r>
              <w:rPr>
                <w:sz w:val="20"/>
                <w:szCs w:val="20"/>
                <w:lang w:eastAsia="en-US"/>
              </w:rPr>
              <w:t xml:space="preserve">из-за отсутствия денеж</w:t>
            </w:r>
            <w:r>
              <w:rPr>
                <w:sz w:val="20"/>
                <w:szCs w:val="20"/>
                <w:lang w:eastAsia="en-US"/>
              </w:rPr>
              <w:t xml:space="preserve">ных средств на счете или приостановления операций по счету налоговым органом/таможенным органом, частично платежным ордером или полностью платежным требованием взимается комиссионное вознаграждение, как если бы документ был представлен на бумажном носителе</w:t>
            </w:r>
            <w:r>
              <w:rPr>
                <w:bCs/>
                <w:sz w:val="20"/>
                <w:szCs w:val="20"/>
              </w:rPr>
              <w:t xml:space="preserve">.</w:t>
            </w:r>
            <w:r>
              <w:rPr>
                <w:sz w:val="20"/>
                <w:szCs w:val="20"/>
                <w:lang w:eastAsia="en-US"/>
              </w:rPr>
            </w:r>
            <w:r>
              <w:rPr>
                <w:sz w:val="20"/>
                <w:szCs w:val="20"/>
                <w:lang w:eastAsia="en-US"/>
              </w:rPr>
            </w:r>
          </w:p>
          <w:p>
            <w:pPr>
              <w:pStyle w:val="1135"/>
              <w:jc w:val="both"/>
              <w:rPr>
                <w:bCs/>
                <w:sz w:val="20"/>
                <w:szCs w:val="20"/>
              </w:rPr>
            </w:pPr>
            <w:r>
              <w:rPr>
                <w:sz w:val="20"/>
                <w:szCs w:val="20"/>
              </w:rPr>
              <w:t xml:space="preserve">Банк вправе отказать в приеме к исполнению расчетного документа</w:t>
            </w:r>
            <w:r>
              <w:rPr>
                <w:color w:val="000000"/>
                <w:sz w:val="20"/>
                <w:szCs w:val="20"/>
              </w:rPr>
              <w:t xml:space="preserve"> в случае недостаточности денежных средств для оплаты комиссионного вознаграждения Банка на счете, с которого в соо</w:t>
            </w:r>
            <w:r>
              <w:rPr>
                <w:color w:val="000000"/>
                <w:sz w:val="20"/>
                <w:szCs w:val="20"/>
              </w:rPr>
              <w:t xml:space="preserve">тветствии с условиями договора банковского счета списывается комиссионное вознаграждение за проведение операций (за исключением переводов, отнесенных к 1-4 очередности платежа в соответствии со статьей 855 ГК РФ, платежных поручений 5 группы очередности на</w:t>
            </w:r>
            <w:r>
              <w:rPr>
                <w:color w:val="000000"/>
                <w:sz w:val="20"/>
                <w:szCs w:val="20"/>
              </w:rPr>
              <w:t xml:space="preserve"> перечисление денежных средств по уплате налогов и сборов в бюджеты бюджетной системы Российской Федерации, а также сумм страховых взносов в бюджеты государственных внебюджетных фондов и сумм налоговых платежей, платежных требований и инкассовых поручений)</w:t>
            </w:r>
            <w:r>
              <w:rPr>
                <w:sz w:val="20"/>
                <w:szCs w:val="20"/>
              </w:rPr>
              <w:t xml:space="preserve">.</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35"/>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1.1.5.1.</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35"/>
              <w:jc w:val="both"/>
              <w:spacing w:before="40"/>
              <w:tabs>
                <w:tab w:val="left" w:pos="708" w:leader="none"/>
                <w:tab w:val="center" w:pos="4677" w:leader="none"/>
                <w:tab w:val="right" w:pos="9355" w:leader="none"/>
              </w:tabs>
              <w:rPr>
                <w:sz w:val="20"/>
                <w:szCs w:val="20"/>
                <w:lang w:eastAsia="en-US"/>
              </w:rPr>
            </w:pPr>
            <w:r>
              <w:rPr>
                <w:sz w:val="20"/>
                <w:szCs w:val="20"/>
              </w:rPr>
              <w:t xml:space="preserve">Открытые </w:t>
            </w:r>
            <w:r>
              <w:rPr>
                <w:sz w:val="20"/>
                <w:szCs w:val="20"/>
              </w:rPr>
              <w:t xml:space="preserve">в АО «Россельхозбанк»</w:t>
            </w:r>
            <w:r>
              <w:rPr>
                <w:sz w:val="20"/>
                <w:szCs w:val="20"/>
              </w:rPr>
              <w:t xml:space="preserve">:</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35"/>
              <w:jc w:val="center"/>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gridSpan w:val="2"/>
            <w:tcBorders>
              <w:left w:val="single" w:color="000000" w:sz="4" w:space="0"/>
              <w:right w:val="single" w:color="000000" w:sz="4" w:space="0"/>
            </w:tcBorders>
            <w:tcW w:w="3661" w:type="dxa"/>
            <w:vAlign w:val="top"/>
            <w:vMerge w:val="continue"/>
            <w:textDirection w:val="lrTb"/>
            <w:noWrap w:val="false"/>
          </w:tcPr>
          <w:p>
            <w:pPr>
              <w:pStyle w:val="113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35"/>
              <w:jc w:val="center"/>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35"/>
              <w:jc w:val="both"/>
              <w:tabs>
                <w:tab w:val="left" w:pos="708" w:leader="none"/>
                <w:tab w:val="center" w:pos="4677" w:leader="none"/>
                <w:tab w:val="right" w:pos="9355" w:leader="none"/>
              </w:tabs>
              <w:rPr>
                <w:sz w:val="20"/>
                <w:szCs w:val="20"/>
                <w:lang w:eastAsia="en-US"/>
              </w:rPr>
            </w:pPr>
            <w:r>
              <w:rPr>
                <w:sz w:val="20"/>
                <w:szCs w:val="20"/>
                <w:lang w:eastAsia="en-US"/>
              </w:rPr>
              <w:t xml:space="preserve">- на основании расчетного документа на бумажном носителе</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35"/>
              <w:jc w:val="center"/>
              <w:tabs>
                <w:tab w:val="left" w:pos="708" w:leader="none"/>
                <w:tab w:val="center" w:pos="4677" w:leader="none"/>
                <w:tab w:val="right" w:pos="9355" w:leader="none"/>
              </w:tabs>
              <w:rPr>
                <w:sz w:val="20"/>
                <w:szCs w:val="20"/>
                <w:lang w:eastAsia="en-US"/>
              </w:rPr>
            </w:pPr>
            <w:r>
              <w:rPr>
                <w:sz w:val="20"/>
                <w:szCs w:val="20"/>
                <w:lang w:eastAsia="en-US"/>
              </w:rPr>
              <w:t xml:space="preserve">550 руб.</w:t>
            </w:r>
            <w:r>
              <w:rPr>
                <w:sz w:val="20"/>
                <w:szCs w:val="20"/>
                <w:lang w:eastAsia="en-US"/>
              </w:rPr>
            </w:r>
            <w:r>
              <w:rPr>
                <w:sz w:val="20"/>
                <w:szCs w:val="20"/>
                <w:lang w:eastAsia="en-US"/>
              </w:rPr>
            </w:r>
          </w:p>
        </w:tc>
        <w:tc>
          <w:tcPr>
            <w:gridSpan w:val="2"/>
            <w:tcBorders>
              <w:left w:val="single" w:color="000000" w:sz="4" w:space="0"/>
              <w:right w:val="single" w:color="000000" w:sz="4" w:space="0"/>
            </w:tcBorders>
            <w:tcW w:w="3661" w:type="dxa"/>
            <w:vAlign w:val="top"/>
            <w:vMerge w:val="continue"/>
            <w:textDirection w:val="lrTb"/>
            <w:noWrap w:val="false"/>
          </w:tcPr>
          <w:p>
            <w:pPr>
              <w:pStyle w:val="113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35"/>
              <w:jc w:val="center"/>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35"/>
              <w:jc w:val="both"/>
              <w:tabs>
                <w:tab w:val="left" w:pos="708" w:leader="none"/>
                <w:tab w:val="center" w:pos="4677" w:leader="none"/>
                <w:tab w:val="right" w:pos="9355" w:leader="none"/>
              </w:tabs>
              <w:rPr>
                <w:sz w:val="20"/>
                <w:szCs w:val="20"/>
                <w:lang w:eastAsia="en-US"/>
              </w:rPr>
            </w:pPr>
            <w:r>
              <w:rPr>
                <w:sz w:val="20"/>
                <w:szCs w:val="20"/>
                <w:lang w:eastAsia="en-US"/>
              </w:rPr>
              <w:t xml:space="preserve">- отправленный клиентом по системе дистанционного банковского обслуживания</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35"/>
              <w:jc w:val="center"/>
              <w:tabs>
                <w:tab w:val="left" w:pos="708" w:leader="none"/>
                <w:tab w:val="center" w:pos="4677" w:leader="none"/>
                <w:tab w:val="right" w:pos="9355" w:leader="none"/>
              </w:tabs>
              <w:rPr>
                <w:sz w:val="20"/>
                <w:szCs w:val="20"/>
                <w:lang w:eastAsia="en-US"/>
              </w:rPr>
            </w:pPr>
            <w:r>
              <w:rPr>
                <w:sz w:val="20"/>
                <w:szCs w:val="20"/>
                <w:lang w:eastAsia="en-US"/>
              </w:rPr>
              <w:t xml:space="preserve">8 руб.</w:t>
            </w:r>
            <w:r>
              <w:rPr>
                <w:sz w:val="20"/>
                <w:szCs w:val="20"/>
                <w:lang w:eastAsia="en-US"/>
              </w:rPr>
            </w:r>
            <w:r>
              <w:rPr>
                <w:sz w:val="20"/>
                <w:szCs w:val="20"/>
                <w:lang w:eastAsia="en-US"/>
              </w:rPr>
            </w:r>
          </w:p>
        </w:tc>
        <w:tc>
          <w:tcPr>
            <w:gridSpan w:val="2"/>
            <w:tcBorders>
              <w:left w:val="single" w:color="000000" w:sz="4" w:space="0"/>
              <w:right w:val="single" w:color="000000" w:sz="4" w:space="0"/>
            </w:tcBorders>
            <w:tcW w:w="3661" w:type="dxa"/>
            <w:vAlign w:val="top"/>
            <w:vMerge w:val="continue"/>
            <w:textDirection w:val="lrTb"/>
            <w:noWrap w:val="false"/>
          </w:tcPr>
          <w:p>
            <w:pPr>
              <w:pStyle w:val="113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35"/>
              <w:jc w:val="center"/>
              <w:spacing w:before="40"/>
              <w:rPr>
                <w:sz w:val="20"/>
                <w:szCs w:val="20"/>
              </w:rPr>
            </w:pPr>
            <w:r>
              <w:rPr>
                <w:sz w:val="20"/>
                <w:szCs w:val="20"/>
              </w:rPr>
              <w:t xml:space="preserve">1.1.5.2.</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35"/>
              <w:jc w:val="both"/>
              <w:spacing w:before="40"/>
              <w:rPr>
                <w:sz w:val="20"/>
                <w:szCs w:val="20"/>
              </w:rPr>
            </w:pPr>
            <w:r>
              <w:rPr>
                <w:sz w:val="20"/>
                <w:szCs w:val="20"/>
              </w:rPr>
              <w:t xml:space="preserve">Открытые в других кредитных организациях на территории Российской Федерации:</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35"/>
              <w:jc w:val="center"/>
              <w:spacing w:before="40"/>
              <w:rPr>
                <w:sz w:val="20"/>
                <w:szCs w:val="20"/>
              </w:rPr>
            </w:pPr>
            <w:r>
              <w:rPr>
                <w:sz w:val="20"/>
                <w:szCs w:val="20"/>
              </w:rPr>
            </w:r>
            <w:r>
              <w:rPr>
                <w:sz w:val="20"/>
                <w:szCs w:val="20"/>
              </w:rPr>
            </w:r>
            <w:r>
              <w:rPr>
                <w:sz w:val="20"/>
                <w:szCs w:val="20"/>
              </w:rPr>
            </w:r>
          </w:p>
        </w:tc>
        <w:tc>
          <w:tcPr>
            <w:gridSpan w:val="2"/>
            <w:tcBorders>
              <w:left w:val="single" w:color="000000" w:sz="4" w:space="0"/>
              <w:right w:val="single" w:color="000000" w:sz="4" w:space="0"/>
            </w:tcBorders>
            <w:tcW w:w="3661" w:type="dxa"/>
            <w:vAlign w:val="top"/>
            <w:vMerge w:val="continue"/>
            <w:textDirection w:val="lrTb"/>
            <w:noWrap w:val="false"/>
          </w:tcPr>
          <w:p>
            <w:pPr>
              <w:pStyle w:val="113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35"/>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35"/>
              <w:jc w:val="both"/>
              <w:rPr>
                <w:sz w:val="20"/>
                <w:szCs w:val="20"/>
              </w:rPr>
            </w:pPr>
            <w:r>
              <w:rPr>
                <w:sz w:val="20"/>
                <w:szCs w:val="20"/>
                <w:lang w:eastAsia="en-US"/>
              </w:rPr>
              <w:t xml:space="preserve">- на основании расчетного документа на бумажном носителе</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35"/>
              <w:jc w:val="center"/>
              <w:rPr>
                <w:sz w:val="20"/>
                <w:szCs w:val="20"/>
              </w:rPr>
            </w:pPr>
            <w:r>
              <w:rPr>
                <w:sz w:val="20"/>
                <w:szCs w:val="20"/>
              </w:rPr>
              <w:t xml:space="preserve">550 руб.</w:t>
            </w:r>
            <w:r>
              <w:rPr>
                <w:sz w:val="20"/>
                <w:szCs w:val="20"/>
              </w:rPr>
            </w:r>
            <w:r>
              <w:rPr>
                <w:sz w:val="20"/>
                <w:szCs w:val="20"/>
              </w:rPr>
            </w:r>
          </w:p>
        </w:tc>
        <w:tc>
          <w:tcPr>
            <w:gridSpan w:val="2"/>
            <w:tcBorders>
              <w:left w:val="single" w:color="000000" w:sz="4" w:space="0"/>
              <w:right w:val="single" w:color="000000" w:sz="4" w:space="0"/>
            </w:tcBorders>
            <w:tcW w:w="3661" w:type="dxa"/>
            <w:vAlign w:val="top"/>
            <w:vMerge w:val="continue"/>
            <w:textDirection w:val="lrTb"/>
            <w:noWrap w:val="false"/>
          </w:tcPr>
          <w:p>
            <w:pPr>
              <w:pStyle w:val="113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35"/>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35"/>
              <w:jc w:val="both"/>
              <w:tabs>
                <w:tab w:val="left" w:pos="708" w:leader="none"/>
                <w:tab w:val="center" w:pos="4677" w:leader="none"/>
                <w:tab w:val="right" w:pos="9355" w:leader="none"/>
              </w:tabs>
              <w:rPr>
                <w:sz w:val="20"/>
                <w:szCs w:val="20"/>
                <w:lang w:eastAsia="en-US"/>
              </w:rPr>
            </w:pPr>
            <w:r>
              <w:rPr>
                <w:sz w:val="20"/>
                <w:szCs w:val="20"/>
                <w:lang w:eastAsia="en-US"/>
              </w:rPr>
              <w:t xml:space="preserve">- отправленный клиентом по системе дистанционного банковского обслуживания</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35"/>
              <w:jc w:val="center"/>
              <w:tabs>
                <w:tab w:val="left" w:pos="708" w:leader="none"/>
                <w:tab w:val="center" w:pos="4677" w:leader="none"/>
                <w:tab w:val="right" w:pos="9355" w:leader="none"/>
              </w:tabs>
              <w:rPr>
                <w:sz w:val="20"/>
                <w:szCs w:val="20"/>
                <w:lang w:eastAsia="en-US"/>
              </w:rPr>
            </w:pPr>
            <w:r>
              <w:rPr>
                <w:sz w:val="20"/>
                <w:szCs w:val="20"/>
                <w:lang w:eastAsia="en-US"/>
              </w:rPr>
              <w:t xml:space="preserve">3</w:t>
            </w:r>
            <w:r>
              <w:rPr>
                <w:sz w:val="20"/>
                <w:szCs w:val="20"/>
                <w:lang w:eastAsia="en-US"/>
              </w:rPr>
              <w:t xml:space="preserve">7</w:t>
            </w:r>
            <w:r>
              <w:rPr>
                <w:sz w:val="20"/>
                <w:szCs w:val="20"/>
                <w:lang w:eastAsia="en-US"/>
              </w:rPr>
              <w:t xml:space="preserve"> руб. </w:t>
            </w:r>
            <w:r>
              <w:rPr>
                <w:sz w:val="20"/>
                <w:szCs w:val="20"/>
                <w:lang w:eastAsia="en-US"/>
              </w:rPr>
            </w:r>
            <w:r>
              <w:rPr>
                <w:sz w:val="20"/>
                <w:szCs w:val="20"/>
                <w:lang w:eastAsia="en-US"/>
              </w:rPr>
            </w:r>
          </w:p>
          <w:p>
            <w:pPr>
              <w:pStyle w:val="1135"/>
              <w:jc w:val="center"/>
              <w:tabs>
                <w:tab w:val="left" w:pos="708" w:leader="none"/>
                <w:tab w:val="center" w:pos="4677" w:leader="none"/>
                <w:tab w:val="right" w:pos="9355" w:leader="none"/>
              </w:tabs>
              <w:rPr>
                <w:sz w:val="20"/>
                <w:szCs w:val="20"/>
                <w:lang w:eastAsia="en-US"/>
              </w:rPr>
            </w:pPr>
            <w:r>
              <w:rPr>
                <w:sz w:val="20"/>
                <w:szCs w:val="20"/>
                <w:lang w:eastAsia="en-US"/>
              </w:rPr>
              <w:t xml:space="preserve">если сумма платежа до 100 млн.руб. (включительно)</w:t>
            </w:r>
            <w:r>
              <w:rPr>
                <w:sz w:val="20"/>
                <w:szCs w:val="20"/>
                <w:lang w:eastAsia="en-US"/>
              </w:rPr>
            </w:r>
            <w:r>
              <w:rPr>
                <w:sz w:val="20"/>
                <w:szCs w:val="20"/>
                <w:lang w:eastAsia="en-US"/>
              </w:rPr>
            </w:r>
          </w:p>
          <w:p>
            <w:pPr>
              <w:pStyle w:val="1135"/>
              <w:jc w:val="center"/>
              <w:tabs>
                <w:tab w:val="left" w:pos="708" w:leader="none"/>
                <w:tab w:val="center" w:pos="4677" w:leader="none"/>
                <w:tab w:val="right" w:pos="9355" w:leader="none"/>
              </w:tabs>
              <w:rPr>
                <w:sz w:val="20"/>
                <w:szCs w:val="20"/>
                <w:lang w:eastAsia="en-US"/>
              </w:rPr>
            </w:pPr>
            <w:r>
              <w:rPr>
                <w:sz w:val="20"/>
                <w:szCs w:val="20"/>
                <w:lang w:eastAsia="en-US"/>
              </w:rPr>
              <w:t xml:space="preserve">200 руб.</w:t>
            </w:r>
            <w:r>
              <w:rPr>
                <w:sz w:val="20"/>
                <w:szCs w:val="20"/>
                <w:lang w:eastAsia="en-US"/>
              </w:rPr>
            </w:r>
            <w:r>
              <w:rPr>
                <w:sz w:val="20"/>
                <w:szCs w:val="20"/>
                <w:lang w:eastAsia="en-US"/>
              </w:rPr>
            </w:r>
          </w:p>
          <w:p>
            <w:pPr>
              <w:pStyle w:val="1135"/>
              <w:jc w:val="center"/>
              <w:tabs>
                <w:tab w:val="left" w:pos="708" w:leader="none"/>
                <w:tab w:val="center" w:pos="4677" w:leader="none"/>
                <w:tab w:val="right" w:pos="9355" w:leader="none"/>
              </w:tabs>
              <w:rPr>
                <w:sz w:val="20"/>
                <w:szCs w:val="20"/>
                <w:lang w:eastAsia="en-US"/>
              </w:rPr>
            </w:pPr>
            <w:r>
              <w:rPr>
                <w:sz w:val="20"/>
                <w:szCs w:val="20"/>
                <w:lang w:eastAsia="en-US"/>
              </w:rPr>
              <w:t xml:space="preserve">если сумма платежа свыше 100 млн. руб.</w:t>
            </w:r>
            <w:r>
              <w:rPr>
                <w:sz w:val="20"/>
                <w:szCs w:val="20"/>
                <w:lang w:eastAsia="en-US"/>
              </w:rPr>
            </w:r>
            <w:r>
              <w:rPr>
                <w:sz w:val="20"/>
                <w:szCs w:val="20"/>
                <w:lang w:eastAsia="en-US"/>
              </w:rPr>
            </w:r>
          </w:p>
        </w:tc>
        <w:tc>
          <w:tcPr>
            <w:gridSpan w:val="2"/>
            <w:tcBorders>
              <w:left w:val="single" w:color="000000" w:sz="4" w:space="0"/>
              <w:right w:val="single" w:color="000000" w:sz="4" w:space="0"/>
            </w:tcBorders>
            <w:tcW w:w="3661" w:type="dxa"/>
            <w:vAlign w:val="top"/>
            <w:vMerge w:val="continue"/>
            <w:textDirection w:val="lrTb"/>
            <w:noWrap w:val="false"/>
          </w:tcPr>
          <w:p>
            <w:pPr>
              <w:pStyle w:val="113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35"/>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35"/>
              <w:jc w:val="both"/>
              <w:tabs>
                <w:tab w:val="left" w:pos="708" w:leader="none"/>
                <w:tab w:val="center" w:pos="4677" w:leader="none"/>
                <w:tab w:val="right" w:pos="9355" w:leader="none"/>
              </w:tabs>
              <w:rPr>
                <w:sz w:val="20"/>
                <w:szCs w:val="20"/>
                <w:lang w:eastAsia="en-US"/>
              </w:rPr>
            </w:pPr>
            <w:r>
              <w:rPr>
                <w:sz w:val="20"/>
                <w:szCs w:val="20"/>
                <w:lang w:eastAsia="en-US"/>
              </w:rPr>
              <w:t xml:space="preserve">- отправленный клиентом, включенным в региональную адресную программу по проведению капитального ремонта многок</w:t>
            </w:r>
            <w:r>
              <w:rPr>
                <w:sz w:val="20"/>
                <w:szCs w:val="20"/>
                <w:lang w:eastAsia="en-US"/>
              </w:rPr>
              <w:t xml:space="preserve">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35"/>
              <w:jc w:val="center"/>
              <w:tabs>
                <w:tab w:val="left" w:pos="708" w:leader="none"/>
                <w:tab w:val="center" w:pos="4677" w:leader="none"/>
                <w:tab w:val="right" w:pos="9355" w:leader="none"/>
              </w:tabs>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gridSpan w:val="2"/>
            <w:tcBorders>
              <w:left w:val="single" w:color="000000" w:sz="4" w:space="0"/>
              <w:right w:val="single" w:color="000000" w:sz="4" w:space="0"/>
            </w:tcBorders>
            <w:tcW w:w="3661" w:type="dxa"/>
            <w:vAlign w:val="top"/>
            <w:vMerge w:val="continue"/>
            <w:textDirection w:val="lrTb"/>
            <w:noWrap w:val="false"/>
          </w:tcPr>
          <w:p>
            <w:pPr>
              <w:pStyle w:val="113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35"/>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35"/>
              <w:jc w:val="both"/>
              <w:tabs>
                <w:tab w:val="left" w:pos="708" w:leader="none"/>
                <w:tab w:val="center" w:pos="4677" w:leader="none"/>
                <w:tab w:val="right" w:pos="9355" w:leader="none"/>
              </w:tabs>
              <w:rPr>
                <w:sz w:val="20"/>
                <w:szCs w:val="20"/>
                <w:lang w:eastAsia="en-US"/>
              </w:rPr>
            </w:pPr>
            <w:r>
              <w:rPr>
                <w:sz w:val="20"/>
                <w:szCs w:val="20"/>
                <w:lang w:eastAsia="en-US"/>
              </w:rPr>
              <w:t xml:space="preserve">- отпра</w:t>
            </w:r>
            <w:r>
              <w:rPr>
                <w:sz w:val="20"/>
                <w:szCs w:val="20"/>
                <w:lang w:eastAsia="en-US"/>
              </w:rPr>
              <w:t xml:space="preserve">вленный клиентом, заключившим договор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35"/>
              <w:jc w:val="center"/>
              <w:tabs>
                <w:tab w:val="left" w:pos="708" w:leader="none"/>
                <w:tab w:val="center" w:pos="4677" w:leader="none"/>
                <w:tab w:val="right" w:pos="9355" w:leader="none"/>
              </w:tabs>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gridSpan w:val="2"/>
            <w:tcBorders>
              <w:left w:val="single" w:color="000000" w:sz="4" w:space="0"/>
              <w:right w:val="single" w:color="000000" w:sz="4" w:space="0"/>
            </w:tcBorders>
            <w:tcW w:w="3661" w:type="dxa"/>
            <w:vAlign w:val="top"/>
            <w:vMerge w:val="continue"/>
            <w:textDirection w:val="lrTb"/>
            <w:noWrap w:val="false"/>
          </w:tcPr>
          <w:p>
            <w:pPr>
              <w:pStyle w:val="113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8"/>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135"/>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35"/>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35"/>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35"/>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35"/>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35"/>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35"/>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35"/>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35"/>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35"/>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35"/>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35"/>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35"/>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35"/>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135"/>
              <w:ind w:left="34"/>
              <w:spacing w:after="40"/>
              <w:rPr>
                <w:sz w:val="20"/>
                <w:szCs w:val="20"/>
              </w:rPr>
            </w:pPr>
            <w:r>
              <w:rPr>
                <w:sz w:val="20"/>
                <w:szCs w:val="20"/>
              </w:rPr>
            </w:r>
            <w:r>
              <w:rPr>
                <w:sz w:val="20"/>
                <w:szCs w:val="20"/>
              </w:rPr>
            </w:r>
            <w:r>
              <w:rPr>
                <w:sz w:val="20"/>
                <w:szCs w:val="20"/>
              </w:rPr>
            </w:r>
          </w:p>
          <w:p>
            <w:pPr>
              <w:pStyle w:val="1135"/>
              <w:ind w:left="34"/>
              <w:spacing w:after="40"/>
              <w:rPr>
                <w:sz w:val="20"/>
                <w:szCs w:val="20"/>
              </w:rPr>
            </w:pPr>
            <w:r>
              <w:rPr>
                <w:sz w:val="20"/>
                <w:szCs w:val="20"/>
              </w:rPr>
            </w:r>
            <w:r>
              <w:rPr>
                <w:sz w:val="20"/>
                <w:szCs w:val="20"/>
              </w:rPr>
            </w:r>
            <w:r>
              <w:rPr>
                <w:sz w:val="20"/>
                <w:szCs w:val="20"/>
              </w:rPr>
            </w:r>
          </w:p>
          <w:p>
            <w:pPr>
              <w:pStyle w:val="1135"/>
              <w:ind w:left="34"/>
              <w:spacing w:after="40"/>
              <w:rPr>
                <w:sz w:val="20"/>
                <w:szCs w:val="20"/>
              </w:rPr>
            </w:pPr>
            <w:r>
              <w:rPr>
                <w:sz w:val="20"/>
                <w:szCs w:val="20"/>
              </w:rPr>
            </w:r>
            <w:r>
              <w:rPr>
                <w:sz w:val="20"/>
                <w:szCs w:val="20"/>
              </w:rPr>
            </w:r>
            <w:r>
              <w:rPr>
                <w:sz w:val="20"/>
                <w:szCs w:val="20"/>
              </w:rPr>
            </w:r>
          </w:p>
          <w:p>
            <w:pPr>
              <w:pStyle w:val="1135"/>
              <w:ind w:left="34"/>
              <w:spacing w:after="40"/>
              <w:rPr>
                <w:sz w:val="20"/>
                <w:szCs w:val="20"/>
              </w:rPr>
            </w:pPr>
            <w:r>
              <w:rPr>
                <w:sz w:val="20"/>
                <w:szCs w:val="20"/>
              </w:rPr>
            </w:r>
            <w:r>
              <w:rPr>
                <w:sz w:val="20"/>
                <w:szCs w:val="20"/>
              </w:rPr>
            </w:r>
            <w:r>
              <w:rPr>
                <w:sz w:val="20"/>
                <w:szCs w:val="20"/>
              </w:rPr>
            </w:r>
          </w:p>
          <w:p>
            <w:pPr>
              <w:pStyle w:val="1135"/>
              <w:ind w:left="34"/>
              <w:spacing w:after="40"/>
              <w:rPr>
                <w:sz w:val="20"/>
                <w:szCs w:val="20"/>
              </w:rPr>
            </w:pPr>
            <w:r>
              <w:rPr>
                <w:sz w:val="20"/>
                <w:szCs w:val="20"/>
              </w:rPr>
            </w:r>
            <w:r>
              <w:rPr>
                <w:sz w:val="20"/>
                <w:szCs w:val="20"/>
              </w:rPr>
            </w:r>
            <w:r>
              <w:rPr>
                <w:sz w:val="20"/>
                <w:szCs w:val="20"/>
              </w:rPr>
            </w:r>
          </w:p>
          <w:p>
            <w:pPr>
              <w:pStyle w:val="1135"/>
              <w:ind w:left="34"/>
              <w:spacing w:after="40"/>
              <w:rPr>
                <w:sz w:val="20"/>
                <w:szCs w:val="20"/>
              </w:rPr>
            </w:pPr>
            <w:r>
              <w:rPr>
                <w:sz w:val="20"/>
                <w:szCs w:val="20"/>
              </w:rPr>
            </w:r>
            <w:r>
              <w:rPr>
                <w:sz w:val="20"/>
                <w:szCs w:val="20"/>
              </w:rPr>
            </w:r>
            <w:r>
              <w:rPr>
                <w:sz w:val="20"/>
                <w:szCs w:val="20"/>
              </w:rPr>
            </w:r>
          </w:p>
          <w:p>
            <w:pPr>
              <w:pStyle w:val="1135"/>
              <w:ind w:left="34"/>
              <w:spacing w:after="40"/>
              <w:rPr>
                <w:sz w:val="20"/>
                <w:szCs w:val="20"/>
              </w:rPr>
            </w:pPr>
            <w:r>
              <w:rPr>
                <w:sz w:val="20"/>
                <w:szCs w:val="20"/>
              </w:rPr>
            </w:r>
            <w:r>
              <w:rPr>
                <w:sz w:val="20"/>
                <w:szCs w:val="20"/>
              </w:rPr>
            </w:r>
            <w:r>
              <w:rPr>
                <w:sz w:val="20"/>
                <w:szCs w:val="20"/>
              </w:rPr>
            </w:r>
          </w:p>
          <w:p>
            <w:pPr>
              <w:pStyle w:val="1135"/>
              <w:ind w:left="34"/>
              <w:spacing w:after="40"/>
              <w:rPr>
                <w:sz w:val="20"/>
                <w:szCs w:val="20"/>
              </w:rPr>
            </w:pPr>
            <w:r>
              <w:rPr>
                <w:sz w:val="20"/>
                <w:szCs w:val="20"/>
              </w:rPr>
            </w:r>
            <w:r>
              <w:rPr>
                <w:sz w:val="20"/>
                <w:szCs w:val="20"/>
              </w:rPr>
            </w:r>
            <w:r>
              <w:rPr>
                <w:sz w:val="20"/>
                <w:szCs w:val="20"/>
              </w:rPr>
            </w:r>
          </w:p>
          <w:p>
            <w:pPr>
              <w:pStyle w:val="1135"/>
              <w:ind w:left="34"/>
              <w:spacing w:after="40"/>
              <w:rPr>
                <w:sz w:val="20"/>
                <w:szCs w:val="20"/>
              </w:rPr>
            </w:pPr>
            <w:r>
              <w:rPr>
                <w:sz w:val="20"/>
                <w:szCs w:val="20"/>
              </w:rPr>
            </w:r>
            <w:r>
              <w:rPr>
                <w:sz w:val="20"/>
                <w:szCs w:val="20"/>
              </w:rPr>
            </w:r>
            <w:r>
              <w:rPr>
                <w:sz w:val="20"/>
                <w:szCs w:val="20"/>
              </w:rPr>
            </w:r>
          </w:p>
          <w:p>
            <w:pPr>
              <w:pStyle w:val="1135"/>
              <w:ind w:left="34"/>
              <w:spacing w:after="40"/>
              <w:rPr>
                <w:sz w:val="20"/>
                <w:szCs w:val="20"/>
              </w:rPr>
            </w:pPr>
            <w:r>
              <w:rPr>
                <w:sz w:val="20"/>
                <w:szCs w:val="20"/>
              </w:rPr>
            </w:r>
            <w:r>
              <w:rPr>
                <w:sz w:val="20"/>
                <w:szCs w:val="20"/>
              </w:rPr>
            </w:r>
            <w:r>
              <w:rPr>
                <w:sz w:val="20"/>
                <w:szCs w:val="20"/>
              </w:rPr>
            </w:r>
          </w:p>
          <w:p>
            <w:pPr>
              <w:pStyle w:val="1135"/>
              <w:ind w:left="34"/>
              <w:spacing w:after="40"/>
              <w:rPr>
                <w:sz w:val="20"/>
                <w:szCs w:val="20"/>
              </w:rPr>
            </w:pPr>
            <w:r>
              <w:rPr>
                <w:sz w:val="20"/>
                <w:szCs w:val="20"/>
              </w:rPr>
            </w:r>
            <w:r>
              <w:rPr>
                <w:sz w:val="20"/>
                <w:szCs w:val="20"/>
              </w:rPr>
            </w:r>
            <w:r>
              <w:rPr>
                <w:sz w:val="20"/>
                <w:szCs w:val="20"/>
              </w:rPr>
            </w:r>
          </w:p>
          <w:p>
            <w:pPr>
              <w:pStyle w:val="1135"/>
              <w:ind w:left="34"/>
              <w:spacing w:after="40"/>
              <w:rPr>
                <w:sz w:val="20"/>
                <w:szCs w:val="20"/>
              </w:rPr>
            </w:pPr>
            <w:r>
              <w:rPr>
                <w:sz w:val="20"/>
                <w:szCs w:val="20"/>
              </w:rPr>
            </w:r>
            <w:r>
              <w:rPr>
                <w:sz w:val="20"/>
                <w:szCs w:val="20"/>
              </w:rPr>
            </w:r>
            <w:r>
              <w:rPr>
                <w:sz w:val="20"/>
                <w:szCs w:val="20"/>
              </w:rPr>
            </w:r>
          </w:p>
          <w:p>
            <w:pPr>
              <w:pStyle w:val="1135"/>
              <w:ind w:left="34"/>
              <w:spacing w:after="40"/>
              <w:rPr>
                <w:sz w:val="20"/>
                <w:szCs w:val="20"/>
              </w:rPr>
            </w:pPr>
            <w:r>
              <w:rPr>
                <w:sz w:val="20"/>
                <w:szCs w:val="20"/>
              </w:rPr>
            </w:r>
            <w:r>
              <w:rPr>
                <w:sz w:val="20"/>
                <w:szCs w:val="20"/>
              </w:rPr>
            </w:r>
            <w:r>
              <w:rPr>
                <w:sz w:val="20"/>
                <w:szCs w:val="20"/>
              </w:rPr>
            </w:r>
          </w:p>
          <w:p>
            <w:pPr>
              <w:pStyle w:val="1135"/>
              <w:jc w:val="both"/>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2420" w:type="dxa"/>
            <w:vAlign w:val="top"/>
            <w:textDirection w:val="lrTb"/>
            <w:noWrap w:val="false"/>
          </w:tcPr>
          <w:p>
            <w:pPr>
              <w:pStyle w:val="1135"/>
              <w:jc w:val="center"/>
              <w:spacing w:after="40"/>
              <w:rPr>
                <w:sz w:val="20"/>
                <w:szCs w:val="20"/>
              </w:rPr>
            </w:pPr>
            <w:r>
              <w:rPr>
                <w:sz w:val="20"/>
                <w:szCs w:val="20"/>
              </w:rPr>
            </w:r>
            <w:r>
              <w:rPr>
                <w:sz w:val="20"/>
                <w:szCs w:val="20"/>
              </w:rPr>
            </w:r>
            <w:r>
              <w:rPr>
                <w:sz w:val="20"/>
                <w:szCs w:val="20"/>
              </w:rPr>
            </w:r>
          </w:p>
          <w:p>
            <w:pPr>
              <w:pStyle w:val="1135"/>
              <w:jc w:val="center"/>
              <w:spacing w:after="40"/>
              <w:rPr>
                <w:sz w:val="20"/>
                <w:szCs w:val="20"/>
              </w:rPr>
            </w:pPr>
            <w:r>
              <w:rPr>
                <w:sz w:val="20"/>
                <w:szCs w:val="20"/>
              </w:rPr>
            </w:r>
            <w:r>
              <w:rPr>
                <w:sz w:val="20"/>
                <w:szCs w:val="20"/>
              </w:rPr>
            </w:r>
            <w:r>
              <w:rPr>
                <w:sz w:val="20"/>
                <w:szCs w:val="20"/>
              </w:rPr>
            </w:r>
          </w:p>
          <w:p>
            <w:pPr>
              <w:pStyle w:val="1135"/>
              <w:jc w:val="center"/>
              <w:spacing w:after="40"/>
              <w:rPr>
                <w:sz w:val="20"/>
                <w:szCs w:val="20"/>
              </w:rPr>
            </w:pPr>
            <w:r>
              <w:rPr>
                <w:sz w:val="20"/>
                <w:szCs w:val="20"/>
              </w:rPr>
            </w:r>
            <w:r>
              <w:rPr>
                <w:sz w:val="20"/>
                <w:szCs w:val="20"/>
              </w:rPr>
            </w:r>
            <w:r>
              <w:rPr>
                <w:sz w:val="20"/>
                <w:szCs w:val="20"/>
              </w:rPr>
            </w:r>
          </w:p>
          <w:p>
            <w:pPr>
              <w:pStyle w:val="1135"/>
              <w:jc w:val="center"/>
              <w:spacing w:after="40"/>
              <w:rPr>
                <w:sz w:val="20"/>
                <w:szCs w:val="20"/>
              </w:rPr>
            </w:pPr>
            <w:r>
              <w:rPr>
                <w:sz w:val="20"/>
                <w:szCs w:val="20"/>
              </w:rPr>
            </w:r>
            <w:r>
              <w:rPr>
                <w:sz w:val="20"/>
                <w:szCs w:val="20"/>
              </w:rPr>
            </w:r>
            <w:r>
              <w:rPr>
                <w:sz w:val="20"/>
                <w:szCs w:val="20"/>
              </w:rPr>
            </w:r>
          </w:p>
          <w:p>
            <w:pPr>
              <w:pStyle w:val="1135"/>
              <w:jc w:val="center"/>
              <w:spacing w:after="40"/>
              <w:rPr>
                <w:sz w:val="20"/>
                <w:szCs w:val="20"/>
              </w:rPr>
            </w:pPr>
            <w:r>
              <w:rPr>
                <w:sz w:val="20"/>
                <w:szCs w:val="20"/>
              </w:rPr>
            </w:r>
            <w:r>
              <w:rPr>
                <w:sz w:val="20"/>
                <w:szCs w:val="20"/>
              </w:rPr>
            </w:r>
            <w:r>
              <w:rPr>
                <w:sz w:val="20"/>
                <w:szCs w:val="20"/>
              </w:rPr>
            </w:r>
          </w:p>
          <w:p>
            <w:pPr>
              <w:pStyle w:val="1135"/>
              <w:jc w:val="center"/>
              <w:spacing w:after="40"/>
              <w:rPr>
                <w:sz w:val="20"/>
                <w:szCs w:val="20"/>
              </w:rPr>
            </w:pPr>
            <w:r>
              <w:rPr>
                <w:sz w:val="20"/>
                <w:szCs w:val="20"/>
              </w:rPr>
            </w:r>
            <w:r>
              <w:rPr>
                <w:sz w:val="20"/>
                <w:szCs w:val="20"/>
              </w:rPr>
            </w:r>
            <w:r>
              <w:rPr>
                <w:sz w:val="20"/>
                <w:szCs w:val="20"/>
              </w:rPr>
            </w:r>
          </w:p>
          <w:p>
            <w:pPr>
              <w:pStyle w:val="1135"/>
              <w:jc w:val="center"/>
              <w:spacing w:after="40"/>
              <w:rPr>
                <w:sz w:val="20"/>
                <w:szCs w:val="20"/>
              </w:rPr>
            </w:pPr>
            <w:r>
              <w:rPr>
                <w:sz w:val="20"/>
                <w:szCs w:val="20"/>
              </w:rPr>
            </w:r>
            <w:r>
              <w:rPr>
                <w:sz w:val="20"/>
                <w:szCs w:val="20"/>
              </w:rPr>
            </w:r>
            <w:r>
              <w:rPr>
                <w:sz w:val="20"/>
                <w:szCs w:val="20"/>
              </w:rPr>
            </w:r>
          </w:p>
          <w:p>
            <w:pPr>
              <w:pStyle w:val="1135"/>
              <w:jc w:val="center"/>
              <w:spacing w:after="40"/>
              <w:rPr>
                <w:sz w:val="20"/>
                <w:szCs w:val="20"/>
              </w:rPr>
            </w:pPr>
            <w:r>
              <w:rPr>
                <w:sz w:val="20"/>
                <w:szCs w:val="20"/>
              </w:rPr>
            </w:r>
            <w:r>
              <w:rPr>
                <w:sz w:val="20"/>
                <w:szCs w:val="20"/>
              </w:rPr>
            </w:r>
            <w:r>
              <w:rPr>
                <w:sz w:val="20"/>
                <w:szCs w:val="20"/>
              </w:rPr>
            </w:r>
          </w:p>
          <w:p>
            <w:pPr>
              <w:pStyle w:val="1135"/>
              <w:jc w:val="center"/>
              <w:spacing w:after="40"/>
              <w:rPr>
                <w:sz w:val="20"/>
                <w:szCs w:val="20"/>
              </w:rPr>
            </w:pPr>
            <w:r>
              <w:rPr>
                <w:sz w:val="20"/>
                <w:szCs w:val="20"/>
              </w:rPr>
            </w:r>
            <w:r>
              <w:rPr>
                <w:sz w:val="20"/>
                <w:szCs w:val="20"/>
              </w:rPr>
            </w:r>
            <w:r>
              <w:rPr>
                <w:sz w:val="20"/>
                <w:szCs w:val="20"/>
              </w:rPr>
            </w:r>
          </w:p>
          <w:p>
            <w:pPr>
              <w:pStyle w:val="1135"/>
              <w:jc w:val="center"/>
              <w:spacing w:after="40"/>
              <w:rPr>
                <w:sz w:val="20"/>
                <w:szCs w:val="20"/>
              </w:rPr>
            </w:pPr>
            <w:r>
              <w:rPr>
                <w:sz w:val="20"/>
                <w:szCs w:val="20"/>
              </w:rPr>
            </w:r>
            <w:r>
              <w:rPr>
                <w:sz w:val="20"/>
                <w:szCs w:val="20"/>
              </w:rPr>
            </w:r>
            <w:r>
              <w:rPr>
                <w:sz w:val="20"/>
                <w:szCs w:val="20"/>
              </w:rPr>
            </w:r>
          </w:p>
          <w:p>
            <w:pPr>
              <w:pStyle w:val="1135"/>
              <w:jc w:val="center"/>
              <w:spacing w:after="40"/>
              <w:rPr>
                <w:sz w:val="20"/>
                <w:szCs w:val="20"/>
              </w:rPr>
            </w:pPr>
            <w:r>
              <w:rPr>
                <w:sz w:val="20"/>
                <w:szCs w:val="20"/>
              </w:rPr>
            </w:r>
            <w:r>
              <w:rPr>
                <w:sz w:val="20"/>
                <w:szCs w:val="20"/>
              </w:rPr>
            </w:r>
            <w:r>
              <w:rPr>
                <w:sz w:val="20"/>
                <w:szCs w:val="20"/>
              </w:rPr>
            </w:r>
          </w:p>
          <w:p>
            <w:pPr>
              <w:pStyle w:val="1135"/>
              <w:jc w:val="center"/>
              <w:spacing w:after="40"/>
              <w:rPr>
                <w:sz w:val="20"/>
                <w:szCs w:val="20"/>
              </w:rPr>
            </w:pPr>
            <w:r>
              <w:rPr>
                <w:sz w:val="20"/>
                <w:szCs w:val="20"/>
              </w:rPr>
            </w:r>
            <w:r>
              <w:rPr>
                <w:sz w:val="20"/>
                <w:szCs w:val="20"/>
              </w:rPr>
            </w:r>
            <w:r>
              <w:rPr>
                <w:sz w:val="20"/>
                <w:szCs w:val="20"/>
              </w:rPr>
            </w:r>
          </w:p>
          <w:p>
            <w:pPr>
              <w:pStyle w:val="1135"/>
              <w:jc w:val="center"/>
              <w:spacing w:after="40"/>
              <w:rPr>
                <w:sz w:val="20"/>
                <w:szCs w:val="20"/>
              </w:rPr>
            </w:pPr>
            <w:r>
              <w:rPr>
                <w:sz w:val="20"/>
                <w:szCs w:val="20"/>
              </w:rPr>
            </w:r>
            <w:r>
              <w:rPr>
                <w:sz w:val="20"/>
                <w:szCs w:val="20"/>
              </w:rPr>
            </w:r>
            <w:r>
              <w:rPr>
                <w:sz w:val="20"/>
                <w:szCs w:val="20"/>
              </w:rPr>
            </w:r>
          </w:p>
          <w:p>
            <w:pPr>
              <w:pStyle w:val="1135"/>
              <w:jc w:val="center"/>
              <w:spacing w:after="40"/>
              <w:rPr>
                <w:sz w:val="20"/>
                <w:szCs w:val="20"/>
              </w:rPr>
            </w:pPr>
            <w:r>
              <w:rPr>
                <w:sz w:val="20"/>
                <w:szCs w:val="20"/>
              </w:rPr>
            </w:r>
            <w:r>
              <w:rPr>
                <w:sz w:val="20"/>
                <w:szCs w:val="20"/>
              </w:rPr>
            </w:r>
            <w:r>
              <w:rPr>
                <w:sz w:val="20"/>
                <w:szCs w:val="20"/>
              </w:rPr>
            </w:r>
          </w:p>
          <w:p>
            <w:pPr>
              <w:pStyle w:val="1135"/>
              <w:jc w:val="center"/>
              <w:spacing w:after="40"/>
              <w:rPr>
                <w:sz w:val="20"/>
                <w:szCs w:val="20"/>
              </w:rPr>
            </w:pPr>
            <w:r>
              <w:rPr>
                <w:sz w:val="20"/>
                <w:szCs w:val="20"/>
              </w:rPr>
            </w:r>
            <w:r>
              <w:rPr>
                <w:sz w:val="20"/>
                <w:szCs w:val="20"/>
              </w:rPr>
            </w:r>
            <w:r>
              <w:rPr>
                <w:sz w:val="20"/>
                <w:szCs w:val="20"/>
              </w:rPr>
            </w:r>
          </w:p>
          <w:p>
            <w:pPr>
              <w:pStyle w:val="1135"/>
              <w:jc w:val="center"/>
              <w:rPr>
                <w:sz w:val="20"/>
                <w:szCs w:val="20"/>
              </w:rPr>
            </w:pPr>
            <w:r>
              <w:rPr>
                <w:sz w:val="20"/>
                <w:szCs w:val="20"/>
              </w:rPr>
            </w:r>
            <w:r>
              <w:rPr>
                <w:sz w:val="20"/>
                <w:szCs w:val="20"/>
              </w:rPr>
            </w:r>
            <w:r>
              <w:rPr>
                <w:sz w:val="20"/>
                <w:szCs w:val="20"/>
              </w:rPr>
            </w:r>
          </w:p>
        </w:tc>
        <w:tc>
          <w:tcPr>
            <w:gridSpan w:val="2"/>
            <w:tcBorders>
              <w:left w:val="single" w:color="000000" w:sz="4" w:space="0"/>
              <w:bottom w:val="single" w:color="000000" w:sz="4" w:space="0"/>
              <w:right w:val="single" w:color="000000" w:sz="4" w:space="0"/>
            </w:tcBorders>
            <w:tcW w:w="3661" w:type="dxa"/>
            <w:vAlign w:val="top"/>
            <w:vMerge w:val="continue"/>
            <w:textDirection w:val="lrTb"/>
            <w:noWrap w:val="false"/>
          </w:tcPr>
          <w:p>
            <w:pPr>
              <w:pStyle w:val="113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35"/>
              <w:spacing w:before="40" w:after="40"/>
              <w:rPr>
                <w:sz w:val="20"/>
                <w:szCs w:val="20"/>
              </w:rPr>
            </w:pPr>
            <w:r>
              <w:rPr>
                <w:sz w:val="20"/>
                <w:szCs w:val="20"/>
              </w:rPr>
              <w:t xml:space="preserve">1.1.6.</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35"/>
              <w:spacing w:before="40"/>
              <w:rPr>
                <w:sz w:val="20"/>
                <w:szCs w:val="20"/>
              </w:rPr>
            </w:pPr>
            <w:r>
              <w:rPr>
                <w:sz w:val="20"/>
                <w:szCs w:val="20"/>
              </w:rPr>
              <w:t xml:space="preserve">Перевод денежных средств со счета клиента на основании расчетного документа клиента, представленного в Банк на бумажном носителе или в электронном виде с использованием системы дистанционно-банковского обслуживания и имеющего признак «Срочно»</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1135"/>
              <w:jc w:val="center"/>
              <w:spacing w:before="40"/>
              <w:rPr>
                <w:sz w:val="20"/>
                <w:szCs w:val="20"/>
              </w:rPr>
            </w:pPr>
            <w:r>
              <w:rPr>
                <w:sz w:val="20"/>
                <w:szCs w:val="20"/>
              </w:rPr>
              <w:t xml:space="preserve">250 руб. за каждый расчетный документ</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3661" w:type="dxa"/>
            <w:vAlign w:val="center"/>
            <w:textDirection w:val="lrTb"/>
            <w:noWrap w:val="false"/>
          </w:tcPr>
          <w:p>
            <w:pPr>
              <w:pStyle w:val="1135"/>
              <w:jc w:val="both"/>
              <w:spacing w:before="40"/>
              <w:tabs>
                <w:tab w:val="left" w:pos="0" w:leader="none"/>
                <w:tab w:val="left" w:pos="318" w:leader="none"/>
                <w:tab w:val="center" w:pos="4677" w:leader="none"/>
                <w:tab w:val="right" w:pos="9355" w:leader="none"/>
              </w:tabs>
              <w:rPr>
                <w:sz w:val="20"/>
                <w:szCs w:val="20"/>
              </w:rPr>
            </w:pPr>
            <w:r>
              <w:rPr>
                <w:sz w:val="20"/>
                <w:szCs w:val="20"/>
              </w:rPr>
              <w:t xml:space="preserve">Осуществляется при условии заключения дополнительного соглашения к договору банковского счета, состоящего из Условий проведения в АО «Россельхозбанк» операций по срочному </w:t>
            </w:r>
            <w:r>
              <w:rPr>
                <w:sz w:val="20"/>
                <w:szCs w:val="20"/>
              </w:rPr>
              <w:t xml:space="preserve">переводу платежей клиентов Банка, являющихся юридическими лицами, индивидуальными предпринимателями и физическими лицами, занимающимися в установленном законодательством Российской Федерации порядке частной практикой и Заявления о присоединении к Условиям.</w:t>
            </w:r>
            <w:r>
              <w:rPr>
                <w:sz w:val="20"/>
                <w:szCs w:val="20"/>
              </w:rPr>
            </w:r>
            <w:r>
              <w:rPr>
                <w:sz w:val="20"/>
                <w:szCs w:val="20"/>
              </w:rPr>
            </w:r>
          </w:p>
          <w:p>
            <w:pPr>
              <w:pStyle w:val="1135"/>
              <w:jc w:val="both"/>
              <w:spacing w:after="40"/>
              <w:tabs>
                <w:tab w:val="left" w:pos="0" w:leader="none"/>
                <w:tab w:val="left" w:pos="318" w:leader="none"/>
                <w:tab w:val="center" w:pos="4677" w:leader="none"/>
                <w:tab w:val="right" w:pos="9355" w:leader="none"/>
              </w:tabs>
              <w:rPr>
                <w:b/>
                <w:sz w:val="20"/>
                <w:szCs w:val="20"/>
              </w:rPr>
            </w:pPr>
            <w:r>
              <w:rPr>
                <w:sz w:val="20"/>
                <w:szCs w:val="20"/>
              </w:rPr>
              <w:t xml:space="preserve">Указанная услуга не применяется в отношении налоговых и иных обязательных переводов денежных средств в бю</w:t>
            </w:r>
            <w:r>
              <w:rPr>
                <w:sz w:val="20"/>
                <w:szCs w:val="20"/>
              </w:rPr>
              <w:t xml:space="preserve">джеты различных уровней и государственные внебюджетные фонды (в т.ч. переводов, возникающих в результате отношений, подпадающих под действие Федерального закона «Об организации предоставления государственных и муниципальных услуг» от 27.07.2010 № 210-ФЗ). </w:t>
            </w:r>
            <w:r>
              <w:rPr>
                <w:sz w:val="20"/>
                <w:szCs w:val="20"/>
                <w:lang w:eastAsia="en-US"/>
              </w:rPr>
              <w:t xml:space="preserve">Комиссионное вознаграждение взимается Банком дополнительно к комиссии, указанной в п. 1.1.5 Тарифов</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35"/>
              <w:jc w:val="center"/>
              <w:spacing w:before="40" w:after="40"/>
              <w:rPr>
                <w:bCs/>
                <w:sz w:val="20"/>
                <w:szCs w:val="20"/>
              </w:rPr>
            </w:pPr>
            <w:r>
              <w:rPr>
                <w:bCs/>
                <w:sz w:val="20"/>
                <w:szCs w:val="20"/>
              </w:rPr>
              <w:t xml:space="preserve">1.1.7.</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35"/>
              <w:jc w:val="both"/>
              <w:spacing w:before="40" w:after="40"/>
              <w:rPr>
                <w:sz w:val="20"/>
                <w:szCs w:val="20"/>
              </w:rPr>
            </w:pPr>
            <w:r>
              <w:rPr>
                <w:iCs/>
                <w:sz w:val="20"/>
                <w:szCs w:val="20"/>
              </w:rPr>
              <w:t xml:space="preserve">Зачисление денежных средств на счета физических лиц – клиентов Банка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1135"/>
              <w:jc w:val="center"/>
              <w:spacing w:before="40" w:after="40"/>
              <w:rPr>
                <w:b/>
                <w:bCs/>
                <w:sz w:val="20"/>
                <w:szCs w:val="20"/>
              </w:rPr>
            </w:pPr>
            <w:r>
              <w:rPr>
                <w:bCs/>
                <w:sz w:val="20"/>
                <w:szCs w:val="20"/>
              </w:rPr>
              <w:t xml:space="preserve">По согласованию сторон</w:t>
            </w:r>
            <w:r>
              <w:rPr>
                <w:b/>
                <w:bCs/>
                <w:sz w:val="20"/>
                <w:szCs w:val="20"/>
              </w:rPr>
            </w:r>
            <w:r>
              <w:rPr>
                <w:b/>
                <w:bCs/>
                <w:sz w:val="20"/>
                <w:szCs w:val="20"/>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1135"/>
              <w:jc w:val="both"/>
              <w:spacing w:before="40" w:after="40"/>
              <w:rPr>
                <w:bCs/>
                <w:i/>
                <w:sz w:val="20"/>
                <w:szCs w:val="20"/>
              </w:rPr>
            </w:pPr>
            <w:r>
              <w:rPr>
                <w:bCs/>
                <w:sz w:val="20"/>
                <w:szCs w:val="20"/>
              </w:rPr>
              <w:t xml:space="preserve">Оформляется отдельным договором либо дополнительным соглашением к договору банковского счета </w:t>
            </w:r>
            <w:r>
              <w:rPr>
                <w:bCs/>
                <w:i/>
                <w:sz w:val="20"/>
                <w:szCs w:val="20"/>
              </w:rPr>
            </w:r>
            <w:r>
              <w:rPr>
                <w:bCs/>
                <w:i/>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35"/>
              <w:jc w:val="center"/>
              <w:spacing w:before="40" w:after="40"/>
              <w:rPr>
                <w:bCs/>
                <w:sz w:val="20"/>
                <w:szCs w:val="20"/>
              </w:rPr>
            </w:pPr>
            <w:r>
              <w:rPr>
                <w:bCs/>
                <w:sz w:val="20"/>
                <w:szCs w:val="20"/>
              </w:rPr>
              <w:t xml:space="preserve">1.1.7.1.</w:t>
            </w:r>
            <w:r>
              <w:rPr>
                <w:bCs/>
                <w:sz w:val="20"/>
                <w:szCs w:val="20"/>
              </w:rPr>
            </w:r>
            <w:r>
              <w:rPr>
                <w:bCs/>
                <w:sz w:val="20"/>
                <w:szCs w:val="20"/>
              </w:rPr>
            </w:r>
          </w:p>
          <w:p>
            <w:pPr>
              <w:pStyle w:val="1135"/>
              <w:jc w:val="center"/>
              <w:spacing w:before="40" w:after="40"/>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35"/>
              <w:jc w:val="both"/>
              <w:spacing w:before="40" w:after="40"/>
              <w:rPr>
                <w:iCs/>
                <w:sz w:val="20"/>
                <w:szCs w:val="20"/>
              </w:rPr>
            </w:pPr>
            <w:r>
              <w:rPr>
                <w:iCs/>
                <w:sz w:val="20"/>
                <w:szCs w:val="20"/>
              </w:rPr>
              <w:t xml:space="preserve">Зачисление кредитных денежных средств на счета заемщиков Банка- юридических лиц, </w:t>
            </w:r>
            <w:r>
              <w:rPr>
                <w:sz w:val="20"/>
                <w:szCs w:val="20"/>
              </w:rPr>
              <w:t xml:space="preserve">субъектов Российской Федерации, муниципальных образований</w:t>
            </w:r>
            <w:r>
              <w:rPr>
                <w:b/>
                <w:sz w:val="20"/>
                <w:szCs w:val="20"/>
              </w:rPr>
              <w:t xml:space="preserve">, </w:t>
            </w:r>
            <w:r>
              <w:rPr>
                <w:sz w:val="20"/>
                <w:szCs w:val="20"/>
              </w:rPr>
              <w:t xml:space="preserve">индивидуальных предпринимателей и физических лиц, занимающихся в установленном законодательством Российской Федерации порядке частной практикой</w:t>
            </w:r>
            <w:r>
              <w:rPr>
                <w:iCs/>
                <w:sz w:val="20"/>
                <w:szCs w:val="20"/>
              </w:rPr>
              <w:t xml:space="preserve"> </w:t>
            </w:r>
            <w:r>
              <w:rPr>
                <w:iCs/>
                <w:sz w:val="20"/>
                <w:szCs w:val="20"/>
              </w:rPr>
            </w:r>
            <w:r>
              <w:rPr>
                <w:iCs/>
                <w:sz w:val="20"/>
                <w:szCs w:val="20"/>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1135"/>
              <w:jc w:val="center"/>
              <w:spacing w:before="40" w:after="40"/>
              <w:rPr>
                <w:bCs/>
                <w:sz w:val="20"/>
                <w:szCs w:val="20"/>
              </w:rPr>
            </w:pPr>
            <w:r>
              <w:rPr>
                <w:bCs/>
                <w:sz w:val="20"/>
                <w:szCs w:val="20"/>
              </w:rPr>
              <w:t xml:space="preserve">По согласованию сторон</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1135"/>
              <w:jc w:val="both"/>
              <w:spacing w:before="40" w:after="40"/>
              <w:rPr>
                <w:bCs/>
                <w:sz w:val="20"/>
                <w:szCs w:val="20"/>
              </w:rPr>
            </w:pPr>
            <w:r>
              <w:rPr>
                <w:bCs/>
                <w:sz w:val="20"/>
                <w:szCs w:val="20"/>
              </w:rPr>
              <w:t xml:space="preserve">Оформляется отдельным договором либо дополнительным соглашением к договору банковского счета.</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center"/>
            <w:textDirection w:val="lrTb"/>
            <w:noWrap w:val="false"/>
          </w:tcPr>
          <w:p>
            <w:pPr>
              <w:pStyle w:val="1135"/>
              <w:jc w:val="center"/>
              <w:rPr>
                <w:sz w:val="20"/>
                <w:szCs w:val="20"/>
              </w:rPr>
            </w:pPr>
            <w:r>
              <w:rPr>
                <w:sz w:val="20"/>
                <w:szCs w:val="20"/>
              </w:rPr>
              <w:t xml:space="preserve">1.1.8.</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108" w:type="dxa"/>
            <w:vAlign w:val="center"/>
            <w:textDirection w:val="lrTb"/>
            <w:noWrap w:val="false"/>
          </w:tcPr>
          <w:p>
            <w:pPr>
              <w:pStyle w:val="1135"/>
              <w:rPr>
                <w:sz w:val="20"/>
                <w:szCs w:val="20"/>
              </w:rPr>
            </w:pPr>
            <w:r>
              <w:rPr>
                <w:sz w:val="20"/>
                <w:szCs w:val="20"/>
              </w:rPr>
              <w:t xml:space="preserve">Перевод денежных средств со счета клиента</w:t>
            </w:r>
            <w:r>
              <w:rPr>
                <w:sz w:val="20"/>
                <w:szCs w:val="20"/>
              </w:rPr>
              <w:t xml:space="preserve"> (в том числе при закрытии счета клиента) </w:t>
            </w:r>
            <w:r>
              <w:rPr>
                <w:sz w:val="20"/>
                <w:szCs w:val="20"/>
              </w:rPr>
              <w:t xml:space="preserve"> на счета физических лиц, открытые </w:t>
              <w:br w:type="textWrapping" w:clear="all"/>
              <w:t xml:space="preserve">в АО «Россельхозбанк» и/или в других кредитных организациях</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420" w:type="dxa"/>
            <w:vAlign w:val="center"/>
            <w:textDirection w:val="lrTb"/>
            <w:noWrap w:val="false"/>
          </w:tcPr>
          <w:p>
            <w:pPr>
              <w:pStyle w:val="1135"/>
              <w:jc w:val="center"/>
              <w:spacing w:after="120"/>
              <w:rPr>
                <w:sz w:val="20"/>
                <w:szCs w:val="20"/>
              </w:rPr>
            </w:pPr>
            <w:r>
              <w:rPr>
                <w:sz w:val="20"/>
                <w:szCs w:val="20"/>
              </w:rPr>
              <w:t xml:space="preserve">3</w:t>
            </w:r>
            <w:r>
              <w:rPr>
                <w:sz w:val="20"/>
                <w:szCs w:val="20"/>
              </w:rPr>
              <w:t xml:space="preserve">00</w:t>
            </w:r>
            <w:r>
              <w:rPr>
                <w:sz w:val="20"/>
                <w:szCs w:val="20"/>
              </w:rPr>
              <w:t xml:space="preserve"> руб. </w:t>
              <w:br w:type="textWrapping" w:clear="all"/>
              <w:t xml:space="preserve">при ОБЩЕЙ СУММЕ </w:t>
            </w:r>
            <w:r>
              <w:rPr>
                <w:sz w:val="20"/>
                <w:szCs w:val="20"/>
              </w:rPr>
            </w:r>
            <w:r>
              <w:rPr>
                <w:sz w:val="20"/>
                <w:szCs w:val="20"/>
              </w:rPr>
            </w:r>
          </w:p>
          <w:p>
            <w:pPr>
              <w:pStyle w:val="1135"/>
              <w:jc w:val="center"/>
              <w:spacing w:after="120"/>
              <w:rPr>
                <w:sz w:val="20"/>
                <w:szCs w:val="20"/>
              </w:rPr>
            </w:pPr>
            <w:r>
              <w:rPr>
                <w:sz w:val="20"/>
                <w:szCs w:val="20"/>
              </w:rPr>
              <w:t xml:space="preserve">до 150 000,00 руб. (включительно);</w:t>
            </w:r>
            <w:r>
              <w:rPr>
                <w:sz w:val="20"/>
                <w:szCs w:val="20"/>
              </w:rPr>
            </w:r>
            <w:r>
              <w:rPr>
                <w:sz w:val="20"/>
                <w:szCs w:val="20"/>
              </w:rPr>
            </w:r>
          </w:p>
          <w:p>
            <w:pPr>
              <w:pStyle w:val="1135"/>
              <w:jc w:val="center"/>
              <w:spacing w:after="120"/>
              <w:rPr>
                <w:sz w:val="20"/>
                <w:szCs w:val="20"/>
              </w:rPr>
            </w:pPr>
            <w:r>
              <w:rPr>
                <w:sz w:val="20"/>
                <w:szCs w:val="20"/>
              </w:rPr>
              <w:br w:type="textWrapping" w:clear="all"/>
              <w:t xml:space="preserve">1% от суммы </w:t>
              <w:br w:type="textWrapping" w:clear="all"/>
              <w:t xml:space="preserve">при ОБЩЕЙ СУММЕ</w:t>
            </w:r>
            <w:r>
              <w:rPr>
                <w:sz w:val="20"/>
                <w:szCs w:val="20"/>
              </w:rPr>
            </w:r>
            <w:r>
              <w:rPr>
                <w:sz w:val="20"/>
                <w:szCs w:val="20"/>
              </w:rPr>
            </w:r>
          </w:p>
          <w:p>
            <w:pPr>
              <w:pStyle w:val="1135"/>
              <w:jc w:val="center"/>
              <w:spacing w:after="120"/>
              <w:rPr>
                <w:sz w:val="20"/>
                <w:szCs w:val="20"/>
              </w:rPr>
            </w:pPr>
            <w:r>
              <w:rPr>
                <w:sz w:val="20"/>
                <w:szCs w:val="20"/>
              </w:rPr>
              <w:t xml:space="preserve">с 150 000,01 руб.</w:t>
            </w:r>
            <w:r>
              <w:rPr>
                <w:sz w:val="20"/>
                <w:szCs w:val="20"/>
              </w:rPr>
            </w:r>
            <w:r>
              <w:rPr>
                <w:sz w:val="20"/>
                <w:szCs w:val="20"/>
              </w:rPr>
            </w:r>
          </w:p>
          <w:p>
            <w:pPr>
              <w:pStyle w:val="1135"/>
              <w:jc w:val="center"/>
              <w:spacing w:after="120"/>
              <w:rPr>
                <w:sz w:val="20"/>
                <w:szCs w:val="20"/>
              </w:rPr>
            </w:pPr>
            <w:r>
              <w:rPr>
                <w:sz w:val="20"/>
                <w:szCs w:val="20"/>
              </w:rPr>
              <w:t xml:space="preserve">до 300 000,00 руб. (включительно);</w:t>
              <w:br w:type="textWrapping" w:clear="all"/>
              <w:br w:type="textWrapping" w:clear="all"/>
              <w:t xml:space="preserve">1,7% от суммы </w:t>
              <w:br w:type="textWrapping" w:clear="all"/>
              <w:t xml:space="preserve">при ОБЩЕЙ СУММЕ</w:t>
            </w:r>
            <w:r>
              <w:rPr>
                <w:sz w:val="20"/>
                <w:szCs w:val="20"/>
              </w:rPr>
            </w:r>
            <w:r>
              <w:rPr>
                <w:sz w:val="20"/>
                <w:szCs w:val="20"/>
              </w:rPr>
            </w:r>
          </w:p>
          <w:p>
            <w:pPr>
              <w:pStyle w:val="1135"/>
              <w:jc w:val="center"/>
              <w:spacing w:after="120"/>
              <w:rPr>
                <w:sz w:val="20"/>
                <w:szCs w:val="20"/>
              </w:rPr>
            </w:pPr>
            <w:r>
              <w:rPr>
                <w:sz w:val="20"/>
                <w:szCs w:val="20"/>
              </w:rPr>
              <w:t xml:space="preserve">с 300 000,01 руб. </w:t>
              <w:br w:type="textWrapping" w:clear="all"/>
              <w:t xml:space="preserve">до 2 000 </w:t>
            </w:r>
            <w:r>
              <w:rPr>
                <w:sz w:val="20"/>
                <w:szCs w:val="20"/>
              </w:rPr>
              <w:t xml:space="preserve">000,00 руб. (включительно);</w:t>
              <w:br w:type="textWrapping" w:clear="all"/>
              <w:br w:type="textWrapping" w:clear="all"/>
              <w:t xml:space="preserve">3,7</w:t>
            </w:r>
            <w:r>
              <w:rPr>
                <w:sz w:val="20"/>
                <w:szCs w:val="20"/>
              </w:rPr>
              <w:t xml:space="preserve">% от суммы </w:t>
              <w:br w:type="textWrapping" w:clear="all"/>
              <w:t xml:space="preserve">при ОБЩЕЙ СУММЕ</w:t>
            </w:r>
            <w:r>
              <w:rPr>
                <w:sz w:val="20"/>
                <w:szCs w:val="20"/>
              </w:rPr>
            </w:r>
            <w:r>
              <w:rPr>
                <w:sz w:val="20"/>
                <w:szCs w:val="20"/>
              </w:rPr>
            </w:r>
          </w:p>
          <w:p>
            <w:pPr>
              <w:pStyle w:val="1135"/>
              <w:jc w:val="center"/>
              <w:spacing w:after="120"/>
              <w:rPr>
                <w:sz w:val="20"/>
                <w:szCs w:val="20"/>
              </w:rPr>
            </w:pPr>
            <w:r>
              <w:rPr>
                <w:sz w:val="20"/>
                <w:szCs w:val="20"/>
              </w:rPr>
              <w:t xml:space="preserve">с 2 000 000,01 руб. </w:t>
              <w:br w:type="textWrapping" w:clear="all"/>
              <w:t xml:space="preserve">до 5 000 000,00 руб. (включительно);</w:t>
              <w:br w:type="textWrapping" w:clear="all"/>
              <w:br w:type="textWrapping" w:clear="all"/>
              <w:t xml:space="preserve">6% от суммы</w:t>
              <w:br w:type="textWrapping" w:clear="all"/>
              <w:t xml:space="preserve">при ОБЩЕЙ СУММЕ</w:t>
            </w:r>
            <w:r>
              <w:rPr>
                <w:sz w:val="20"/>
                <w:szCs w:val="20"/>
              </w:rPr>
            </w:r>
            <w:r>
              <w:rPr>
                <w:sz w:val="20"/>
                <w:szCs w:val="20"/>
              </w:rPr>
            </w:r>
          </w:p>
          <w:p>
            <w:pPr>
              <w:pStyle w:val="1135"/>
              <w:jc w:val="center"/>
              <w:spacing w:after="120"/>
              <w:rPr>
                <w:sz w:val="20"/>
                <w:szCs w:val="20"/>
              </w:rPr>
            </w:pPr>
            <w:r>
              <w:rPr>
                <w:sz w:val="20"/>
                <w:szCs w:val="20"/>
              </w:rPr>
              <w:t xml:space="preserve">свыше 5 000 000,00 руб.</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1135"/>
              <w:jc w:val="both"/>
              <w:rPr>
                <w:sz w:val="20"/>
                <w:szCs w:val="20"/>
              </w:rPr>
            </w:pPr>
            <w:r>
              <w:rPr>
                <w:sz w:val="20"/>
                <w:szCs w:val="20"/>
              </w:rPr>
              <w:t xml:space="preserve">1. Комиссия взимается при переводе денежных средств на счета физических лиц, в том числе:</w:t>
            </w:r>
            <w:r>
              <w:rPr>
                <w:sz w:val="20"/>
                <w:szCs w:val="20"/>
              </w:rPr>
            </w:r>
            <w:r>
              <w:rPr>
                <w:sz w:val="20"/>
                <w:szCs w:val="20"/>
              </w:rPr>
            </w:r>
          </w:p>
          <w:p>
            <w:pPr>
              <w:pStyle w:val="1135"/>
              <w:jc w:val="both"/>
              <w:rPr>
                <w:sz w:val="20"/>
                <w:szCs w:val="20"/>
              </w:rPr>
            </w:pPr>
            <w:r>
              <w:rPr>
                <w:sz w:val="20"/>
                <w:szCs w:val="20"/>
              </w:rPr>
              <w:t xml:space="preserve">- на текущие счета и счета вкладов;</w:t>
            </w:r>
            <w:r>
              <w:rPr>
                <w:sz w:val="20"/>
                <w:szCs w:val="20"/>
              </w:rPr>
            </w:r>
            <w:r>
              <w:rPr>
                <w:sz w:val="20"/>
                <w:szCs w:val="20"/>
              </w:rPr>
            </w:r>
          </w:p>
          <w:p>
            <w:pPr>
              <w:pStyle w:val="1135"/>
              <w:jc w:val="both"/>
              <w:rPr>
                <w:sz w:val="20"/>
                <w:szCs w:val="20"/>
              </w:rPr>
            </w:pPr>
            <w:r>
              <w:rPr>
                <w:sz w:val="20"/>
                <w:szCs w:val="20"/>
              </w:rPr>
              <w:t xml:space="preserve">- на счета, открытые для расчетов с использованием карт;</w:t>
            </w:r>
            <w:r>
              <w:rPr>
                <w:sz w:val="20"/>
                <w:szCs w:val="20"/>
              </w:rPr>
            </w:r>
            <w:r>
              <w:rPr>
                <w:sz w:val="20"/>
                <w:szCs w:val="20"/>
              </w:rPr>
            </w:r>
          </w:p>
          <w:p>
            <w:pPr>
              <w:pStyle w:val="1135"/>
              <w:jc w:val="both"/>
              <w:rPr>
                <w:sz w:val="20"/>
                <w:szCs w:val="20"/>
              </w:rPr>
            </w:pPr>
            <w:r>
              <w:rPr>
                <w:sz w:val="20"/>
                <w:szCs w:val="20"/>
              </w:rPr>
              <w:t xml:space="preserve">- на счета кредитных организаций с </w:t>
            </w:r>
            <w:r>
              <w:rPr>
                <w:sz w:val="20"/>
                <w:szCs w:val="20"/>
              </w:rPr>
              <w:t xml:space="preserve">балансовой позицией 30102, 30109, 30232, 30301, 30302, 47422</w:t>
            </w:r>
            <w:r>
              <w:rPr>
                <w:sz w:val="20"/>
                <w:szCs w:val="20"/>
              </w:rPr>
              <w:t xml:space="preserve"> </w:t>
            </w:r>
            <w:r>
              <w:rPr>
                <w:sz w:val="20"/>
                <w:szCs w:val="20"/>
              </w:rPr>
              <w:t xml:space="preserve">для последующего зачисления денежных средств на счета физических лиц.</w:t>
            </w:r>
            <w:r>
              <w:rPr>
                <w:sz w:val="20"/>
                <w:szCs w:val="20"/>
              </w:rPr>
            </w:r>
            <w:r>
              <w:rPr>
                <w:sz w:val="20"/>
                <w:szCs w:val="20"/>
              </w:rPr>
            </w:r>
          </w:p>
          <w:p>
            <w:pPr>
              <w:pStyle w:val="1135"/>
              <w:jc w:val="both"/>
              <w:rPr>
                <w:sz w:val="20"/>
                <w:szCs w:val="20"/>
              </w:rPr>
            </w:pPr>
            <w:r>
              <w:rPr>
                <w:sz w:val="20"/>
                <w:szCs w:val="20"/>
              </w:rPr>
              <w:t xml:space="preserve">2. При осуществлении следующих операций комиссия взимается согласно п. 1.1.5 Тарифов:</w:t>
            </w:r>
            <w:r>
              <w:rPr>
                <w:sz w:val="20"/>
                <w:szCs w:val="20"/>
              </w:rPr>
            </w:r>
            <w:r>
              <w:rPr>
                <w:sz w:val="20"/>
                <w:szCs w:val="20"/>
              </w:rPr>
            </w:r>
          </w:p>
          <w:p>
            <w:pPr>
              <w:pStyle w:val="1135"/>
              <w:jc w:val="both"/>
              <w:rPr>
                <w:sz w:val="20"/>
                <w:szCs w:val="20"/>
              </w:rPr>
            </w:pPr>
            <w:r>
              <w:rPr>
                <w:sz w:val="20"/>
                <w:szCs w:val="20"/>
              </w:rPr>
              <w:t xml:space="preserve">- перевод денежных средств со счетов страховых и управляющих компаний;</w:t>
            </w:r>
            <w:r>
              <w:rPr>
                <w:sz w:val="20"/>
                <w:szCs w:val="20"/>
              </w:rPr>
            </w:r>
            <w:r>
              <w:rPr>
                <w:sz w:val="20"/>
                <w:szCs w:val="20"/>
              </w:rPr>
            </w:r>
          </w:p>
          <w:p>
            <w:pPr>
              <w:pStyle w:val="1135"/>
              <w:jc w:val="both"/>
              <w:rPr>
                <w:sz w:val="20"/>
                <w:szCs w:val="20"/>
              </w:rPr>
            </w:pPr>
            <w:r>
              <w:rPr>
                <w:sz w:val="20"/>
                <w:szCs w:val="20"/>
              </w:rPr>
              <w:t xml:space="preserve">- перевод денежных средств с расчетного счета застройщика;</w:t>
            </w:r>
            <w:r>
              <w:rPr>
                <w:sz w:val="20"/>
                <w:szCs w:val="20"/>
              </w:rPr>
            </w:r>
            <w:r>
              <w:rPr>
                <w:sz w:val="20"/>
                <w:szCs w:val="20"/>
              </w:rPr>
            </w:r>
          </w:p>
          <w:p>
            <w:pPr>
              <w:pStyle w:val="1135"/>
              <w:jc w:val="both"/>
              <w:rPr>
                <w:sz w:val="20"/>
                <w:szCs w:val="20"/>
              </w:rPr>
            </w:pPr>
            <w:r>
              <w:rPr>
                <w:sz w:val="20"/>
                <w:szCs w:val="20"/>
              </w:rPr>
              <w:t xml:space="preserve">- перечисление заработной платы и приравненных к ней платежей (вне рамок отдельных договоров/дополнительных соглашений к договору банковского счета, заключенных клиентами с АО «Россельхозбанк»);</w:t>
            </w:r>
            <w:r>
              <w:rPr>
                <w:sz w:val="20"/>
                <w:szCs w:val="20"/>
              </w:rPr>
            </w:r>
            <w:r>
              <w:rPr>
                <w:sz w:val="20"/>
                <w:szCs w:val="20"/>
              </w:rPr>
            </w:r>
          </w:p>
          <w:p>
            <w:pPr>
              <w:pStyle w:val="1135"/>
              <w:jc w:val="both"/>
              <w:rPr>
                <w:sz w:val="20"/>
                <w:szCs w:val="20"/>
              </w:rPr>
            </w:pPr>
            <w:r>
              <w:rPr>
                <w:sz w:val="20"/>
                <w:szCs w:val="20"/>
              </w:rPr>
              <w:t xml:space="preserve">- перечисление алиментов, пенсий,</w:t>
            </w:r>
            <w:r>
              <w:rPr>
                <w:sz w:val="20"/>
                <w:szCs w:val="20"/>
              </w:rPr>
            </w:r>
            <w:r>
              <w:rPr>
                <w:sz w:val="20"/>
                <w:szCs w:val="20"/>
              </w:rPr>
            </w:r>
          </w:p>
          <w:p>
            <w:pPr>
              <w:pStyle w:val="1135"/>
              <w:jc w:val="both"/>
              <w:rPr>
                <w:sz w:val="20"/>
                <w:szCs w:val="20"/>
              </w:rPr>
            </w:pPr>
            <w:r>
              <w:rPr>
                <w:sz w:val="20"/>
                <w:szCs w:val="20"/>
              </w:rPr>
              <w:t xml:space="preserve"> стипендий, иных социальных выплат;</w:t>
            </w:r>
            <w:r>
              <w:rPr>
                <w:sz w:val="20"/>
                <w:szCs w:val="20"/>
              </w:rPr>
            </w:r>
            <w:r>
              <w:rPr>
                <w:sz w:val="20"/>
                <w:szCs w:val="20"/>
              </w:rPr>
            </w:r>
          </w:p>
          <w:p>
            <w:pPr>
              <w:pStyle w:val="1135"/>
              <w:jc w:val="both"/>
              <w:rPr>
                <w:sz w:val="20"/>
                <w:szCs w:val="20"/>
              </w:rPr>
            </w:pPr>
            <w:r>
              <w:rPr>
                <w:sz w:val="20"/>
                <w:szCs w:val="20"/>
              </w:rPr>
              <w:t xml:space="preserve">- перечисление дохода лицам, занимающимся частной практикой;</w:t>
            </w:r>
            <w:r>
              <w:rPr>
                <w:sz w:val="20"/>
                <w:szCs w:val="20"/>
              </w:rPr>
            </w:r>
            <w:r>
              <w:rPr>
                <w:sz w:val="20"/>
                <w:szCs w:val="20"/>
              </w:rPr>
            </w:r>
          </w:p>
          <w:p>
            <w:pPr>
              <w:pStyle w:val="1135"/>
              <w:jc w:val="both"/>
              <w:rPr>
                <w:sz w:val="20"/>
                <w:szCs w:val="20"/>
              </w:rPr>
            </w:pPr>
            <w:r>
              <w:rPr>
                <w:sz w:val="20"/>
                <w:szCs w:val="20"/>
              </w:rPr>
              <w:t xml:space="preserve">- перевод денежных средств со счетов, источниками формирования денежных средств на которых являются средства фондов капитального ремонта общего имущества в многоквартирных домах;</w:t>
            </w:r>
            <w:r>
              <w:rPr>
                <w:sz w:val="20"/>
                <w:szCs w:val="20"/>
              </w:rPr>
            </w:r>
            <w:r>
              <w:rPr>
                <w:sz w:val="20"/>
                <w:szCs w:val="20"/>
              </w:rPr>
            </w:r>
          </w:p>
          <w:p>
            <w:pPr>
              <w:pStyle w:val="1135"/>
              <w:jc w:val="both"/>
              <w:tabs>
                <w:tab w:val="left" w:pos="1134" w:leader="none"/>
              </w:tabs>
              <w:rPr>
                <w:sz w:val="20"/>
                <w:szCs w:val="20"/>
              </w:rPr>
            </w:pPr>
            <w:r>
              <w:rPr>
                <w:sz w:val="20"/>
                <w:szCs w:val="20"/>
              </w:rPr>
              <w:t xml:space="preserve">- исполнение инкассовых поручений, составленных Банком на основании исполнительных документов, должником по которым является клиент.</w:t>
            </w:r>
            <w:r>
              <w:rPr>
                <w:sz w:val="20"/>
                <w:szCs w:val="20"/>
              </w:rPr>
            </w:r>
            <w:r>
              <w:rPr>
                <w:sz w:val="20"/>
                <w:szCs w:val="20"/>
              </w:rPr>
            </w:r>
          </w:p>
          <w:p>
            <w:pPr>
              <w:pStyle w:val="1135"/>
              <w:jc w:val="both"/>
              <w:rPr>
                <w:sz w:val="20"/>
                <w:szCs w:val="20"/>
              </w:rPr>
            </w:pPr>
            <w:r>
              <w:rPr>
                <w:sz w:val="20"/>
                <w:szCs w:val="20"/>
              </w:rPr>
              <w:t xml:space="preserve">Пункт 2 настоящего примечани</w:t>
            </w:r>
            <w:r>
              <w:rPr>
                <w:sz w:val="20"/>
                <w:szCs w:val="20"/>
              </w:rPr>
              <w:t xml:space="preserve">я применяется, если в поле «Назначение платежа» указывается четкая информация о цели осуществления перевода и данная информация соответствует одной из операций, указанных в п. 2 настоящего примечания (выплата зарплаты, пенсий, стипендий, алиментов и т.д.).</w:t>
            </w:r>
            <w:r>
              <w:rPr>
                <w:sz w:val="20"/>
                <w:szCs w:val="20"/>
              </w:rPr>
            </w:r>
            <w:r>
              <w:rPr>
                <w:sz w:val="20"/>
                <w:szCs w:val="20"/>
              </w:rPr>
            </w:r>
          </w:p>
          <w:p>
            <w:pPr>
              <w:pStyle w:val="1135"/>
              <w:jc w:val="both"/>
              <w:rPr>
                <w:sz w:val="20"/>
                <w:szCs w:val="20"/>
              </w:rPr>
            </w:pPr>
            <w:r>
              <w:rPr>
                <w:sz w:val="20"/>
                <w:szCs w:val="20"/>
              </w:rPr>
              <w:t xml:space="preserve">При указании в поле «Назначение платежа» нескол</w:t>
            </w:r>
            <w:r>
              <w:rPr>
                <w:sz w:val="20"/>
                <w:szCs w:val="20"/>
              </w:rPr>
              <w:t xml:space="preserve">ьких оснований для перевода денежных средств, комиссионное вознаграждение взимается согласно п. 1.1.5 Тарифов только в том случае, если все указанные в поле «Назначение платежа» основания соответствуют операциям, перечисленным в п. 2 настоящего примечания.</w:t>
            </w:r>
            <w:r>
              <w:rPr>
                <w:sz w:val="20"/>
                <w:szCs w:val="20"/>
              </w:rPr>
            </w:r>
            <w:r>
              <w:rPr>
                <w:sz w:val="20"/>
                <w:szCs w:val="20"/>
              </w:rPr>
            </w:r>
          </w:p>
          <w:p>
            <w:pPr>
              <w:pStyle w:val="1135"/>
              <w:jc w:val="both"/>
              <w:rPr>
                <w:sz w:val="20"/>
                <w:szCs w:val="20"/>
              </w:rPr>
            </w:pPr>
            <w:r>
              <w:rPr>
                <w:sz w:val="20"/>
                <w:szCs w:val="20"/>
              </w:rPr>
              <w:t xml:space="preserve">3. Комиссия не взимается за перевод денежных средств:</w:t>
            </w:r>
            <w:r>
              <w:rPr>
                <w:sz w:val="20"/>
                <w:szCs w:val="20"/>
              </w:rPr>
            </w:r>
            <w:r>
              <w:rPr>
                <w:sz w:val="20"/>
                <w:szCs w:val="20"/>
              </w:rPr>
            </w:r>
          </w:p>
          <w:p>
            <w:pPr>
              <w:pStyle w:val="1135"/>
              <w:jc w:val="both"/>
              <w:rPr>
                <w:sz w:val="20"/>
                <w:szCs w:val="20"/>
              </w:rPr>
            </w:pPr>
            <w:r>
              <w:rPr>
                <w:sz w:val="20"/>
                <w:szCs w:val="20"/>
              </w:rPr>
              <w:t xml:space="preserve">- с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r>
              <w:rPr>
                <w:sz w:val="20"/>
                <w:szCs w:val="20"/>
              </w:rPr>
            </w:r>
            <w:r>
              <w:rPr>
                <w:sz w:val="20"/>
                <w:szCs w:val="20"/>
              </w:rPr>
            </w:r>
          </w:p>
          <w:p>
            <w:pPr>
              <w:pStyle w:val="1135"/>
              <w:jc w:val="both"/>
              <w:rPr>
                <w:sz w:val="20"/>
                <w:szCs w:val="20"/>
              </w:rPr>
            </w:pPr>
            <w:r>
              <w:rPr>
                <w:sz w:val="20"/>
                <w:szCs w:val="20"/>
              </w:rPr>
              <w:t xml:space="preserve">- в благотворительных целях (при наличии решения АО «Россельхозбанк» о приеме и перечислении переводов денежных средств в пользу конкретных физических лиц);</w:t>
            </w:r>
            <w:r>
              <w:rPr>
                <w:sz w:val="20"/>
                <w:szCs w:val="20"/>
              </w:rPr>
            </w:r>
            <w:r>
              <w:rPr>
                <w:sz w:val="20"/>
                <w:szCs w:val="20"/>
              </w:rPr>
            </w:r>
          </w:p>
          <w:p>
            <w:pPr>
              <w:pStyle w:val="1135"/>
              <w:jc w:val="both"/>
              <w:tabs>
                <w:tab w:val="left" w:pos="1134" w:leader="none"/>
              </w:tabs>
            </w:pPr>
            <w:r>
              <w:t xml:space="preserve">- </w:t>
            </w:r>
            <w:r>
              <w:rPr>
                <w:sz w:val="20"/>
                <w:szCs w:val="20"/>
              </w:rPr>
              <w:t xml:space="preserve">со счетов клиентов, имеющих обязательства перед АО «Ро</w:t>
            </w:r>
            <w:r>
              <w:rPr>
                <w:sz w:val="20"/>
                <w:szCs w:val="20"/>
              </w:rPr>
              <w:t xml:space="preserve">ссельхозбанк» </w:t>
              <w:br/>
              <w:t xml:space="preserve">по кредитным сделкам***, в отношении которых введена любая из процедур, применяемых </w:t>
              <w:br/>
              <w:t xml:space="preserve">в деле о банкротстве в соответствии с Федеральным законом от 26.10.2002 № 127-ФЗ </w:t>
              <w:br/>
              <w:t xml:space="preserve">«О несостоятельности (банкротстве)» или находящихся в процессе ликвидации.</w:t>
            </w:r>
            <w:r/>
          </w:p>
          <w:p>
            <w:pPr>
              <w:pStyle w:val="1135"/>
              <w:jc w:val="both"/>
              <w:rPr>
                <w:sz w:val="20"/>
                <w:szCs w:val="20"/>
              </w:rPr>
            </w:pPr>
            <w:r>
              <w:rPr>
                <w:sz w:val="20"/>
                <w:szCs w:val="20"/>
              </w:rPr>
              <w:t xml:space="preserve">4. При переводе сумм заработной платы, пенсионных, стр</w:t>
            </w:r>
            <w:r>
              <w:rPr>
                <w:sz w:val="20"/>
                <w:szCs w:val="20"/>
              </w:rPr>
              <w:t xml:space="preserve">аховых и иных выплат на счета физических лиц согласно условиям отдельных договоров/дополнительных соглашений к договору банковского счета, заключенных клиентами с АО «Россельхозбанк», комиссионное вознаграждение взимается в соответствии с п. 1.1.7 Тарифов.</w:t>
            </w:r>
            <w:r>
              <w:rPr>
                <w:sz w:val="20"/>
                <w:szCs w:val="20"/>
              </w:rPr>
            </w:r>
            <w:r>
              <w:rPr>
                <w:sz w:val="20"/>
                <w:szCs w:val="20"/>
              </w:rPr>
            </w:r>
          </w:p>
          <w:p>
            <w:pPr>
              <w:pStyle w:val="1135"/>
              <w:jc w:val="both"/>
              <w:spacing w:before="40"/>
              <w:rPr>
                <w:sz w:val="20"/>
                <w:szCs w:val="20"/>
              </w:rPr>
            </w:pPr>
            <w:r>
              <w:rPr>
                <w:sz w:val="20"/>
                <w:szCs w:val="20"/>
              </w:rPr>
              <w:t xml:space="preserve">Для </w:t>
            </w:r>
            <w:r>
              <w:rPr>
                <w:sz w:val="20"/>
                <w:szCs w:val="20"/>
              </w:rPr>
              <w:t xml:space="preserve">определения размера тарифа по каждой операции рассчитывается ОБЩАЯ СУММА денежных средств, равная совокупности размера уже совершенных переводов клиентом в текущем календарном месяце и размера перевода денежных средств, по которому рассчитывается комиссия.</w:t>
            </w:r>
            <w:r>
              <w:rPr>
                <w:sz w:val="20"/>
                <w:szCs w:val="20"/>
              </w:rPr>
            </w:r>
            <w:r>
              <w:rPr>
                <w:sz w:val="20"/>
                <w:szCs w:val="20"/>
              </w:rPr>
            </w:r>
          </w:p>
          <w:p>
            <w:pPr>
              <w:pStyle w:val="1135"/>
              <w:jc w:val="both"/>
              <w:rPr>
                <w:sz w:val="20"/>
                <w:szCs w:val="20"/>
              </w:rPr>
            </w:pPr>
            <w:r>
              <w:rPr>
                <w:sz w:val="20"/>
                <w:szCs w:val="20"/>
              </w:rPr>
              <w:t xml:space="preserve">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r>
              <w:rPr>
                <w:sz w:val="20"/>
                <w:szCs w:val="20"/>
              </w:rPr>
            </w:r>
            <w:r>
              <w:rPr>
                <w:sz w:val="20"/>
                <w:szCs w:val="20"/>
              </w:rPr>
            </w:r>
          </w:p>
          <w:p>
            <w:pPr>
              <w:pStyle w:val="1135"/>
              <w:jc w:val="both"/>
              <w:spacing w:before="40"/>
              <w:rPr>
                <w:sz w:val="20"/>
                <w:szCs w:val="20"/>
              </w:rPr>
            </w:pPr>
            <w:r>
              <w:rPr>
                <w:sz w:val="20"/>
                <w:szCs w:val="20"/>
              </w:rPr>
              <w:t xml:space="preserve">При определении тарифа в расчет принимаются переводы денежных средств, совершенные по одному счету клиента.</w:t>
            </w:r>
            <w:r>
              <w:rPr>
                <w:sz w:val="20"/>
                <w:szCs w:val="20"/>
              </w:rPr>
            </w:r>
            <w:r>
              <w:rPr>
                <w:sz w:val="20"/>
                <w:szCs w:val="20"/>
              </w:rPr>
            </w:r>
          </w:p>
          <w:p>
            <w:pPr>
              <w:pStyle w:val="1135"/>
              <w:jc w:val="both"/>
              <w:rPr>
                <w:sz w:val="20"/>
                <w:szCs w:val="20"/>
              </w:rPr>
            </w:pPr>
            <w:r>
              <w:rPr>
                <w:sz w:val="20"/>
                <w:szCs w:val="20"/>
              </w:rPr>
              <w:t xml:space="preserve">При расчете ОБЩЕЙ СУММЫ не учитываются операции, указанные в пунктах 2, 3, 4 настоящего примечания.</w:t>
            </w:r>
            <w:r>
              <w:rPr>
                <w:sz w:val="20"/>
                <w:szCs w:val="20"/>
              </w:rPr>
            </w:r>
            <w:r>
              <w:rPr>
                <w:sz w:val="20"/>
                <w:szCs w:val="20"/>
              </w:rPr>
            </w:r>
          </w:p>
          <w:p>
            <w:pPr>
              <w:pStyle w:val="1135"/>
              <w:jc w:val="both"/>
              <w:rPr>
                <w:sz w:val="20"/>
                <w:szCs w:val="20"/>
              </w:rPr>
            </w:pPr>
            <w:r>
              <w:rPr>
                <w:sz w:val="20"/>
                <w:szCs w:val="20"/>
              </w:rPr>
              <w:t xml:space="preserve">Банк вправе отказать в приеме к исполнению расчетного документа</w:t>
            </w:r>
            <w:r>
              <w:rPr>
                <w:color w:val="000000"/>
                <w:sz w:val="20"/>
                <w:szCs w:val="20"/>
              </w:rPr>
              <w:t xml:space="preserve"> в случае недостаточности денежных средств для оплаты комиссионного вознаграждения Банка на счете, с которого в соот</w:t>
            </w:r>
            <w:r>
              <w:rPr>
                <w:color w:val="000000"/>
                <w:sz w:val="20"/>
                <w:szCs w:val="20"/>
              </w:rPr>
              <w:t xml:space="preserve">ветствии с условиями договора банковского счета списывается комиссионное вознаграждение за проведение операций (за исключением переводов, отнесенных к 1-4 очередности платежа в соответствии со статьей 855 ГК РФ, платежных требований и инкассовых поручений)</w:t>
            </w:r>
            <w:r>
              <w:rPr>
                <w:sz w:val="20"/>
                <w:szCs w:val="20"/>
              </w:rPr>
              <w:t xml:space="preserve">.</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35"/>
              <w:jc w:val="center"/>
              <w:spacing w:before="40"/>
              <w:rPr>
                <w:bCs/>
                <w:sz w:val="20"/>
                <w:szCs w:val="20"/>
              </w:rPr>
            </w:pPr>
            <w:r>
              <w:rPr>
                <w:bCs/>
                <w:sz w:val="20"/>
                <w:szCs w:val="20"/>
              </w:rPr>
              <w:t xml:space="preserve">1.1.9.</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135"/>
              <w:jc w:val="both"/>
              <w:spacing w:before="40"/>
              <w:rPr>
                <w:bCs/>
                <w:sz w:val="20"/>
                <w:szCs w:val="20"/>
              </w:rPr>
            </w:pPr>
            <w:r>
              <w:rPr>
                <w:bCs/>
                <w:sz w:val="20"/>
                <w:szCs w:val="20"/>
              </w:rPr>
              <w:t xml:space="preserve">Прием на инкассо платежных требований/инкассовых поручений</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2420" w:type="dxa"/>
            <w:vAlign w:val="top"/>
            <w:textDirection w:val="lrTb"/>
            <w:noWrap w:val="false"/>
          </w:tcPr>
          <w:p>
            <w:pPr>
              <w:pStyle w:val="1135"/>
              <w:jc w:val="center"/>
              <w:spacing w:before="40"/>
              <w:rPr>
                <w:bCs/>
                <w:sz w:val="20"/>
                <w:szCs w:val="20"/>
              </w:rPr>
            </w:pPr>
            <w:r>
              <w:rPr>
                <w:bCs/>
                <w:sz w:val="20"/>
                <w:szCs w:val="20"/>
              </w:rPr>
            </w:r>
            <w:r>
              <w:rPr>
                <w:bCs/>
                <w:sz w:val="20"/>
                <w:szCs w:val="20"/>
              </w:rPr>
            </w:r>
            <w:r>
              <w:rPr>
                <w:bCs/>
                <w:sz w:val="20"/>
                <w:szCs w:val="20"/>
              </w:rPr>
            </w:r>
          </w:p>
        </w:tc>
        <w:tc>
          <w:tcPr>
            <w:gridSpan w:val="2"/>
            <w:tcBorders>
              <w:top w:val="single" w:color="000000" w:sz="4" w:space="0"/>
              <w:left w:val="single" w:color="000000" w:sz="4" w:space="0"/>
              <w:right w:val="single" w:color="000000" w:sz="4" w:space="0"/>
            </w:tcBorders>
            <w:tcW w:w="3661" w:type="dxa"/>
            <w:vAlign w:val="top"/>
            <w:vMerge w:val="restart"/>
            <w:textDirection w:val="lrTb"/>
            <w:noWrap w:val="false"/>
          </w:tcPr>
          <w:p>
            <w:pPr>
              <w:pStyle w:val="1135"/>
              <w:spacing w:before="40" w:after="40"/>
              <w:rPr>
                <w:i/>
                <w:iCs/>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i/>
                <w:iCs/>
                <w:sz w:val="20"/>
                <w:szCs w:val="20"/>
              </w:rPr>
            </w:r>
            <w:r>
              <w:rPr>
                <w:i/>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35"/>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35"/>
              <w:jc w:val="both"/>
              <w:spacing w:before="40"/>
              <w:rPr>
                <w:bCs/>
                <w:sz w:val="20"/>
                <w:szCs w:val="20"/>
              </w:rPr>
            </w:pPr>
            <w:r>
              <w:rPr>
                <w:bCs/>
                <w:sz w:val="20"/>
                <w:szCs w:val="20"/>
              </w:rPr>
              <w:t xml:space="preserve">- на бумажном носителе</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35"/>
              <w:jc w:val="center"/>
              <w:spacing w:before="40"/>
              <w:rPr>
                <w:bCs/>
                <w:sz w:val="20"/>
                <w:szCs w:val="20"/>
              </w:rPr>
            </w:pPr>
            <w:r>
              <w:rPr>
                <w:bCs/>
                <w:sz w:val="20"/>
                <w:szCs w:val="20"/>
              </w:rPr>
              <w:t xml:space="preserve">400 руб. за один расчетный документ</w:t>
            </w:r>
            <w:r>
              <w:rPr>
                <w:bCs/>
                <w:sz w:val="20"/>
                <w:szCs w:val="20"/>
              </w:rPr>
            </w:r>
            <w:r>
              <w:rPr>
                <w:bCs/>
                <w:sz w:val="20"/>
                <w:szCs w:val="20"/>
              </w:rPr>
            </w:r>
          </w:p>
        </w:tc>
        <w:tc>
          <w:tcPr>
            <w:gridSpan w:val="2"/>
            <w:tcBorders>
              <w:left w:val="single" w:color="000000" w:sz="4" w:space="0"/>
              <w:right w:val="single" w:color="000000" w:sz="4" w:space="0"/>
            </w:tcBorders>
            <w:tcW w:w="3661" w:type="dxa"/>
            <w:vAlign w:val="top"/>
            <w:vMerge w:val="continue"/>
            <w:textDirection w:val="lrTb"/>
            <w:noWrap w:val="false"/>
          </w:tcPr>
          <w:p>
            <w:pPr>
              <w:pStyle w:val="1135"/>
              <w:spacing w:before="40" w:after="40"/>
              <w:rPr>
                <w:i/>
                <w:iCs/>
                <w:sz w:val="20"/>
                <w:szCs w:val="20"/>
              </w:rPr>
            </w:pPr>
            <w:r>
              <w:rPr>
                <w:i/>
                <w:iCs/>
                <w:sz w:val="20"/>
                <w:szCs w:val="20"/>
              </w:rPr>
            </w:r>
            <w:r>
              <w:rPr>
                <w:i/>
                <w:iCs/>
                <w:sz w:val="20"/>
                <w:szCs w:val="20"/>
              </w:rPr>
            </w:r>
            <w:r>
              <w:rPr>
                <w:i/>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135"/>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135"/>
              <w:jc w:val="both"/>
              <w:spacing w:before="40"/>
              <w:rPr>
                <w:bCs/>
                <w:sz w:val="20"/>
                <w:szCs w:val="20"/>
              </w:rPr>
            </w:pPr>
            <w:r>
              <w:rPr>
                <w:bCs/>
                <w:sz w:val="20"/>
                <w:szCs w:val="20"/>
              </w:rPr>
              <w:t xml:space="preserve">- с использованием системы дистанционного банковского обслуживания (ДБО)</w:t>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2420" w:type="dxa"/>
            <w:vAlign w:val="top"/>
            <w:textDirection w:val="lrTb"/>
            <w:noWrap w:val="false"/>
          </w:tcPr>
          <w:p>
            <w:pPr>
              <w:pStyle w:val="1135"/>
              <w:jc w:val="center"/>
              <w:spacing w:before="40"/>
              <w:rPr>
                <w:bCs/>
                <w:sz w:val="20"/>
                <w:szCs w:val="20"/>
              </w:rPr>
            </w:pPr>
            <w:r>
              <w:rPr>
                <w:bCs/>
                <w:sz w:val="20"/>
                <w:szCs w:val="20"/>
              </w:rPr>
              <w:t xml:space="preserve">50 руб. за один расчетный документ</w:t>
            </w:r>
            <w:r>
              <w:rPr>
                <w:bCs/>
                <w:sz w:val="20"/>
                <w:szCs w:val="20"/>
              </w:rPr>
            </w:r>
            <w:r>
              <w:rPr>
                <w:bCs/>
                <w:sz w:val="20"/>
                <w:szCs w:val="20"/>
              </w:rPr>
            </w:r>
          </w:p>
        </w:tc>
        <w:tc>
          <w:tcPr>
            <w:gridSpan w:val="2"/>
            <w:tcBorders>
              <w:left w:val="single" w:color="000000" w:sz="4" w:space="0"/>
              <w:bottom w:val="single" w:color="000000" w:sz="4" w:space="0"/>
              <w:right w:val="single" w:color="000000" w:sz="4" w:space="0"/>
            </w:tcBorders>
            <w:tcW w:w="3661" w:type="dxa"/>
            <w:vAlign w:val="top"/>
            <w:vMerge w:val="continue"/>
            <w:textDirection w:val="lrTb"/>
            <w:noWrap w:val="false"/>
          </w:tcPr>
          <w:p>
            <w:pPr>
              <w:pStyle w:val="1135"/>
              <w:spacing w:before="40" w:after="40"/>
              <w:rPr>
                <w:i/>
                <w:iCs/>
                <w:sz w:val="20"/>
                <w:szCs w:val="20"/>
              </w:rPr>
            </w:pPr>
            <w:r>
              <w:rPr>
                <w:i/>
                <w:iCs/>
                <w:sz w:val="20"/>
                <w:szCs w:val="20"/>
              </w:rPr>
            </w:r>
            <w:r>
              <w:rPr>
                <w:i/>
                <w:iCs/>
                <w:sz w:val="20"/>
                <w:szCs w:val="20"/>
              </w:rPr>
            </w:r>
            <w:r>
              <w:rPr>
                <w:i/>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35"/>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1.1.10.</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35"/>
              <w:jc w:val="both"/>
              <w:spacing w:before="40"/>
              <w:tabs>
                <w:tab w:val="left" w:pos="708" w:leader="none"/>
                <w:tab w:val="center" w:pos="4677" w:leader="none"/>
                <w:tab w:val="right" w:pos="9355" w:leader="none"/>
              </w:tabs>
              <w:rPr>
                <w:bCs/>
                <w:sz w:val="20"/>
                <w:szCs w:val="20"/>
              </w:rPr>
            </w:pPr>
            <w:r>
              <w:rPr>
                <w:bCs/>
                <w:sz w:val="20"/>
                <w:szCs w:val="20"/>
              </w:rPr>
              <w:t xml:space="preserve">Направление запроса в банк-корр</w:t>
            </w:r>
            <w:r>
              <w:rPr>
                <w:bCs/>
                <w:sz w:val="20"/>
                <w:szCs w:val="20"/>
              </w:rPr>
              <w:t xml:space="preserve">еспондент на проведение розыска платежа, уточнение реквизитов платежа по заявлению Клиента (за исключением розыска платежа, уточнения реквизитов платежа в рамках перевода денежных средств в валюте Российской Федерации на счет, открытый в банке-нерезиденте)</w:t>
            </w:r>
            <w:r>
              <w:rPr>
                <w:bCs/>
                <w:sz w:val="20"/>
                <w:szCs w:val="20"/>
              </w:rPr>
            </w:r>
            <w:r>
              <w:rPr>
                <w:bCs/>
                <w:sz w:val="20"/>
                <w:szCs w:val="20"/>
              </w:rPr>
            </w:r>
          </w:p>
          <w:p>
            <w:pPr>
              <w:pStyle w:val="1135"/>
              <w:jc w:val="both"/>
              <w:spacing w:before="40"/>
              <w:tabs>
                <w:tab w:val="left" w:pos="708" w:leader="none"/>
                <w:tab w:val="center" w:pos="4677" w:leader="none"/>
                <w:tab w:val="right" w:pos="9355" w:leader="none"/>
              </w:tabs>
              <w:rPr>
                <w:sz w:val="20"/>
                <w:szCs w:val="20"/>
                <w:lang w:eastAsia="en-US"/>
              </w:rPr>
            </w:pPr>
            <w:r>
              <w:rPr>
                <w:bCs/>
                <w:sz w:val="20"/>
                <w:szCs w:val="20"/>
              </w:rPr>
              <w:t xml:space="preserve">Направление запроса в банк-корреспондент на проведение розыска платежа, уточнение реквизитов платежа по заявлению Клиента (по переводу денежных средств в валюте Российской Федерации на счет, открытый в банке-нерезиденте)</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1135"/>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300 руб.</w:t>
              <w:br w:type="textWrapping" w:clear="all"/>
              <w:t xml:space="preserve">по каждому платежу</w:t>
            </w:r>
            <w:r>
              <w:rPr>
                <w:sz w:val="20"/>
                <w:szCs w:val="20"/>
                <w:lang w:eastAsia="en-US"/>
              </w:rPr>
            </w:r>
            <w:r>
              <w:rPr>
                <w:sz w:val="20"/>
                <w:szCs w:val="20"/>
                <w:lang w:eastAsia="en-US"/>
              </w:rPr>
            </w:r>
          </w:p>
          <w:p>
            <w:pPr>
              <w:pStyle w:val="1135"/>
              <w:rPr>
                <w:sz w:val="20"/>
                <w:szCs w:val="20"/>
                <w:lang w:eastAsia="en-US"/>
              </w:rPr>
            </w:pPr>
            <w:r>
              <w:rPr>
                <w:sz w:val="20"/>
                <w:szCs w:val="20"/>
                <w:lang w:eastAsia="en-US"/>
              </w:rPr>
            </w:r>
            <w:r>
              <w:rPr>
                <w:sz w:val="20"/>
                <w:szCs w:val="20"/>
                <w:lang w:eastAsia="en-US"/>
              </w:rPr>
            </w:r>
            <w:r>
              <w:rPr>
                <w:sz w:val="20"/>
                <w:szCs w:val="20"/>
                <w:lang w:eastAsia="en-US"/>
              </w:rPr>
            </w:r>
          </w:p>
          <w:p>
            <w:pPr>
              <w:pStyle w:val="1135"/>
              <w:rPr>
                <w:sz w:val="20"/>
                <w:szCs w:val="20"/>
                <w:lang w:eastAsia="en-US"/>
              </w:rPr>
            </w:pPr>
            <w:r>
              <w:rPr>
                <w:sz w:val="20"/>
                <w:szCs w:val="20"/>
                <w:lang w:eastAsia="en-US"/>
              </w:rPr>
            </w:r>
            <w:r>
              <w:rPr>
                <w:sz w:val="20"/>
                <w:szCs w:val="20"/>
                <w:lang w:eastAsia="en-US"/>
              </w:rPr>
            </w:r>
            <w:r>
              <w:rPr>
                <w:sz w:val="20"/>
                <w:szCs w:val="20"/>
                <w:lang w:eastAsia="en-US"/>
              </w:rPr>
            </w:r>
          </w:p>
          <w:p>
            <w:pPr>
              <w:pStyle w:val="1135"/>
              <w:rPr>
                <w:sz w:val="20"/>
                <w:szCs w:val="20"/>
                <w:lang w:eastAsia="en-US"/>
              </w:rPr>
            </w:pPr>
            <w:r>
              <w:rPr>
                <w:sz w:val="20"/>
                <w:szCs w:val="20"/>
                <w:lang w:eastAsia="en-US"/>
              </w:rPr>
            </w:r>
            <w:r>
              <w:rPr>
                <w:sz w:val="20"/>
                <w:szCs w:val="20"/>
                <w:lang w:eastAsia="en-US"/>
              </w:rPr>
            </w:r>
            <w:r>
              <w:rPr>
                <w:sz w:val="20"/>
                <w:szCs w:val="20"/>
                <w:lang w:eastAsia="en-US"/>
              </w:rPr>
            </w:r>
          </w:p>
          <w:p>
            <w:pPr>
              <w:pStyle w:val="1135"/>
              <w:rPr>
                <w:sz w:val="20"/>
                <w:szCs w:val="20"/>
                <w:lang w:eastAsia="en-US"/>
              </w:rPr>
            </w:pPr>
            <w:r>
              <w:rPr>
                <w:sz w:val="20"/>
                <w:szCs w:val="20"/>
                <w:lang w:eastAsia="en-US"/>
              </w:rPr>
            </w:r>
            <w:r>
              <w:rPr>
                <w:sz w:val="20"/>
                <w:szCs w:val="20"/>
                <w:lang w:eastAsia="en-US"/>
              </w:rPr>
            </w:r>
            <w:r>
              <w:rPr>
                <w:sz w:val="20"/>
                <w:szCs w:val="20"/>
                <w:lang w:eastAsia="en-US"/>
              </w:rPr>
            </w:r>
          </w:p>
          <w:p>
            <w:pPr>
              <w:pStyle w:val="1135"/>
              <w:rPr>
                <w:sz w:val="20"/>
                <w:szCs w:val="20"/>
                <w:lang w:eastAsia="en-US"/>
              </w:rPr>
            </w:pPr>
            <w:r>
              <w:rPr>
                <w:sz w:val="20"/>
                <w:szCs w:val="20"/>
                <w:lang w:eastAsia="en-US"/>
              </w:rPr>
            </w:r>
            <w:r>
              <w:rPr>
                <w:sz w:val="20"/>
                <w:szCs w:val="20"/>
                <w:lang w:eastAsia="en-US"/>
              </w:rPr>
            </w:r>
            <w:r>
              <w:rPr>
                <w:sz w:val="20"/>
                <w:szCs w:val="20"/>
                <w:lang w:eastAsia="en-US"/>
              </w:rPr>
            </w:r>
          </w:p>
          <w:p>
            <w:pPr>
              <w:pStyle w:val="1135"/>
              <w:rPr>
                <w:sz w:val="20"/>
                <w:szCs w:val="20"/>
                <w:lang w:eastAsia="en-US"/>
              </w:rPr>
            </w:pPr>
            <w:r>
              <w:rPr>
                <w:sz w:val="20"/>
                <w:szCs w:val="20"/>
                <w:lang w:eastAsia="en-US"/>
              </w:rPr>
            </w:r>
            <w:r>
              <w:rPr>
                <w:sz w:val="20"/>
                <w:szCs w:val="20"/>
                <w:lang w:eastAsia="en-US"/>
              </w:rPr>
            </w:r>
            <w:r>
              <w:rPr>
                <w:sz w:val="20"/>
                <w:szCs w:val="20"/>
                <w:lang w:eastAsia="en-US"/>
              </w:rPr>
            </w:r>
          </w:p>
          <w:p>
            <w:pPr>
              <w:pStyle w:val="1135"/>
              <w:rPr>
                <w:sz w:val="20"/>
                <w:szCs w:val="20"/>
                <w:lang w:eastAsia="en-US"/>
              </w:rPr>
            </w:pPr>
            <w:r>
              <w:rPr>
                <w:sz w:val="20"/>
                <w:szCs w:val="20"/>
                <w:lang w:eastAsia="en-US"/>
              </w:rPr>
            </w:r>
            <w:r>
              <w:rPr>
                <w:sz w:val="20"/>
                <w:szCs w:val="20"/>
                <w:lang w:eastAsia="en-US"/>
              </w:rPr>
            </w:r>
            <w:r>
              <w:rPr>
                <w:sz w:val="20"/>
                <w:szCs w:val="20"/>
                <w:lang w:eastAsia="en-US"/>
              </w:rPr>
            </w:r>
          </w:p>
          <w:p>
            <w:pPr>
              <w:pStyle w:val="1135"/>
              <w:rPr>
                <w:sz w:val="20"/>
                <w:szCs w:val="20"/>
                <w:lang w:eastAsia="en-US"/>
              </w:rPr>
            </w:pPr>
            <w:r>
              <w:rPr>
                <w:sz w:val="20"/>
                <w:szCs w:val="20"/>
                <w:lang w:eastAsia="en-US"/>
              </w:rPr>
            </w:r>
            <w:r>
              <w:rPr>
                <w:sz w:val="20"/>
                <w:szCs w:val="20"/>
                <w:lang w:eastAsia="en-US"/>
              </w:rPr>
            </w:r>
            <w:r>
              <w:rPr>
                <w:sz w:val="20"/>
                <w:szCs w:val="20"/>
                <w:lang w:eastAsia="en-US"/>
              </w:rPr>
            </w:r>
          </w:p>
          <w:p>
            <w:pPr>
              <w:pStyle w:val="1135"/>
              <w:rPr>
                <w:sz w:val="20"/>
                <w:szCs w:val="20"/>
                <w:lang w:eastAsia="en-US"/>
              </w:rPr>
            </w:pPr>
            <w:r>
              <w:rPr>
                <w:sz w:val="20"/>
                <w:szCs w:val="20"/>
                <w:lang w:eastAsia="en-US"/>
              </w:rPr>
            </w:r>
            <w:r>
              <w:rPr>
                <w:sz w:val="20"/>
                <w:szCs w:val="20"/>
                <w:lang w:eastAsia="en-US"/>
              </w:rPr>
            </w:r>
            <w:r>
              <w:rPr>
                <w:sz w:val="20"/>
                <w:szCs w:val="20"/>
                <w:lang w:eastAsia="en-US"/>
              </w:rPr>
            </w:r>
          </w:p>
          <w:p>
            <w:pPr>
              <w:pStyle w:val="1135"/>
              <w:jc w:val="center"/>
              <w:rPr>
                <w:sz w:val="20"/>
                <w:szCs w:val="20"/>
                <w:lang w:eastAsia="en-US"/>
              </w:rPr>
            </w:pPr>
            <w:r>
              <w:rPr>
                <w:sz w:val="20"/>
                <w:szCs w:val="20"/>
                <w:lang w:eastAsia="en-US"/>
              </w:rPr>
              <w:t xml:space="preserve">500 руб.</w:t>
              <w:br w:type="textWrapping" w:clear="all"/>
              <w:t xml:space="preserve">по каждому платежу</w:t>
            </w:r>
            <w:r>
              <w:rPr>
                <w:sz w:val="20"/>
                <w:szCs w:val="20"/>
                <w:lang w:eastAsia="en-US"/>
              </w:rPr>
            </w:r>
            <w:r>
              <w:rPr>
                <w:sz w:val="20"/>
                <w:szCs w:val="20"/>
                <w:lang w:eastAsia="en-US"/>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1135"/>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По платежам внутри </w:t>
              <w:br w:type="textWrapping" w:clear="all"/>
              <w:t xml:space="preserve">АО «Россельхозбанк» производится бесплатно</w:t>
            </w:r>
            <w:r>
              <w:rPr>
                <w:sz w:val="20"/>
                <w:szCs w:val="20"/>
                <w:lang w:eastAsia="en-US"/>
              </w:rPr>
            </w:r>
            <w:r>
              <w:rPr>
                <w:sz w:val="20"/>
                <w:szCs w:val="20"/>
                <w:lang w:eastAsia="en-US"/>
              </w:rPr>
            </w:r>
          </w:p>
          <w:p>
            <w:pPr>
              <w:pStyle w:val="1135"/>
              <w:jc w:val="both"/>
              <w:spacing w:before="40"/>
              <w:tabs>
                <w:tab w:val="left" w:pos="708" w:leader="none"/>
                <w:tab w:val="center" w:pos="4677" w:leader="none"/>
                <w:tab w:val="right" w:pos="9355" w:leader="none"/>
              </w:tabs>
              <w:rPr>
                <w:sz w:val="20"/>
                <w:szCs w:val="20"/>
                <w:lang w:eastAsia="en-US"/>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35"/>
              <w:jc w:val="center"/>
              <w:spacing w:before="40"/>
              <w:rPr>
                <w:bCs/>
                <w:sz w:val="20"/>
                <w:szCs w:val="20"/>
              </w:rPr>
            </w:pPr>
            <w:r>
              <w:rPr>
                <w:bCs/>
                <w:sz w:val="20"/>
                <w:szCs w:val="20"/>
              </w:rPr>
              <w:t xml:space="preserve">1.1.11.</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35"/>
              <w:jc w:val="both"/>
              <w:keepNext/>
              <w:spacing w:before="40"/>
              <w:rPr>
                <w:bCs/>
                <w:sz w:val="20"/>
                <w:szCs w:val="20"/>
              </w:rPr>
              <w:outlineLvl w:val="1"/>
            </w:pPr>
            <w:r>
              <w:rPr>
                <w:bCs/>
                <w:sz w:val="20"/>
                <w:szCs w:val="20"/>
              </w:rPr>
              <w:t xml:space="preserve">Отзыв расчетного документа о переводе денежных средств (за исключением расчетного документа о переводе денежных средств в валюте Российской Федерации на счет, открытый в банке-нерезиденте) по письменному заявлению клиента</w:t>
            </w:r>
            <w:r>
              <w:rPr>
                <w:bCs/>
                <w:sz w:val="20"/>
                <w:szCs w:val="20"/>
              </w:rPr>
            </w:r>
            <w:r>
              <w:rPr>
                <w:bCs/>
                <w:sz w:val="20"/>
                <w:szCs w:val="20"/>
              </w:rPr>
            </w:r>
          </w:p>
          <w:p>
            <w:pPr>
              <w:pStyle w:val="1135"/>
              <w:jc w:val="both"/>
              <w:keepNext/>
              <w:spacing w:before="40"/>
              <w:rPr>
                <w:bCs/>
                <w:sz w:val="20"/>
                <w:szCs w:val="20"/>
              </w:rPr>
              <w:outlineLvl w:val="1"/>
            </w:pPr>
            <w:r>
              <w:rPr>
                <w:bCs/>
                <w:sz w:val="20"/>
                <w:szCs w:val="20"/>
              </w:rPr>
              <w:t xml:space="preserve">Отзыв расчетного документа о переводе денежных средств в валюте Российской Федерации на счет, открытый в банке-нерезиденте, по письменному заявлению клиента</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1135"/>
              <w:jc w:val="center"/>
              <w:spacing w:before="40"/>
              <w:rPr>
                <w:bCs/>
                <w:sz w:val="20"/>
                <w:szCs w:val="20"/>
              </w:rPr>
            </w:pPr>
            <w:r>
              <w:rPr>
                <w:bCs/>
                <w:sz w:val="20"/>
                <w:szCs w:val="20"/>
                <w:lang w:val="en-US"/>
              </w:rPr>
              <w:t xml:space="preserve">30</w:t>
            </w:r>
            <w:r>
              <w:rPr>
                <w:bCs/>
                <w:sz w:val="20"/>
                <w:szCs w:val="20"/>
              </w:rPr>
              <w:t xml:space="preserve">0 руб. </w:t>
              <w:br w:type="textWrapping" w:clear="all"/>
            </w:r>
            <w:r>
              <w:rPr>
                <w:sz w:val="20"/>
                <w:szCs w:val="20"/>
              </w:rPr>
              <w:t xml:space="preserve">за каждый запрос</w:t>
            </w:r>
            <w:r>
              <w:rPr>
                <w:bCs/>
                <w:sz w:val="20"/>
                <w:szCs w:val="20"/>
              </w:rPr>
              <w:t xml:space="preserve"> </w:t>
            </w:r>
            <w:r>
              <w:rPr>
                <w:bCs/>
                <w:sz w:val="20"/>
                <w:szCs w:val="20"/>
              </w:rPr>
            </w:r>
            <w:r>
              <w:rPr>
                <w:bCs/>
                <w:sz w:val="20"/>
                <w:szCs w:val="20"/>
              </w:rPr>
            </w:r>
          </w:p>
          <w:p>
            <w:pPr>
              <w:pStyle w:val="1135"/>
              <w:rPr>
                <w:sz w:val="20"/>
                <w:szCs w:val="20"/>
              </w:rPr>
            </w:pPr>
            <w:r>
              <w:rPr>
                <w:sz w:val="20"/>
                <w:szCs w:val="20"/>
              </w:rPr>
            </w:r>
            <w:r>
              <w:rPr>
                <w:sz w:val="20"/>
                <w:szCs w:val="20"/>
              </w:rPr>
            </w:r>
            <w:r>
              <w:rPr>
                <w:sz w:val="20"/>
                <w:szCs w:val="20"/>
              </w:rPr>
            </w:r>
          </w:p>
          <w:p>
            <w:pPr>
              <w:pStyle w:val="1135"/>
              <w:rPr>
                <w:sz w:val="20"/>
                <w:szCs w:val="20"/>
              </w:rPr>
            </w:pPr>
            <w:r>
              <w:rPr>
                <w:sz w:val="20"/>
                <w:szCs w:val="20"/>
              </w:rPr>
            </w:r>
            <w:r>
              <w:rPr>
                <w:sz w:val="20"/>
                <w:szCs w:val="20"/>
              </w:rPr>
            </w:r>
            <w:r>
              <w:rPr>
                <w:sz w:val="20"/>
                <w:szCs w:val="20"/>
              </w:rPr>
            </w:r>
          </w:p>
          <w:p>
            <w:pPr>
              <w:pStyle w:val="1135"/>
              <w:rPr>
                <w:sz w:val="20"/>
                <w:szCs w:val="20"/>
              </w:rPr>
            </w:pPr>
            <w:r>
              <w:rPr>
                <w:sz w:val="20"/>
                <w:szCs w:val="20"/>
              </w:rPr>
            </w:r>
            <w:r>
              <w:rPr>
                <w:sz w:val="20"/>
                <w:szCs w:val="20"/>
              </w:rPr>
            </w:r>
            <w:r>
              <w:rPr>
                <w:sz w:val="20"/>
                <w:szCs w:val="20"/>
              </w:rPr>
            </w:r>
          </w:p>
          <w:p>
            <w:pPr>
              <w:pStyle w:val="1135"/>
              <w:rPr>
                <w:sz w:val="20"/>
                <w:szCs w:val="20"/>
              </w:rPr>
            </w:pPr>
            <w:r>
              <w:rPr>
                <w:sz w:val="20"/>
                <w:szCs w:val="20"/>
              </w:rPr>
            </w:r>
            <w:r>
              <w:rPr>
                <w:sz w:val="20"/>
                <w:szCs w:val="20"/>
              </w:rPr>
            </w:r>
            <w:r>
              <w:rPr>
                <w:sz w:val="20"/>
                <w:szCs w:val="20"/>
              </w:rPr>
            </w:r>
          </w:p>
          <w:p>
            <w:pPr>
              <w:pStyle w:val="1135"/>
              <w:rPr>
                <w:sz w:val="20"/>
                <w:szCs w:val="20"/>
              </w:rPr>
            </w:pPr>
            <w:r>
              <w:rPr>
                <w:sz w:val="20"/>
                <w:szCs w:val="20"/>
              </w:rPr>
            </w:r>
            <w:r>
              <w:rPr>
                <w:sz w:val="20"/>
                <w:szCs w:val="20"/>
              </w:rPr>
            </w:r>
            <w:r>
              <w:rPr>
                <w:sz w:val="20"/>
                <w:szCs w:val="20"/>
              </w:rPr>
            </w:r>
          </w:p>
          <w:p>
            <w:pPr>
              <w:pStyle w:val="1135"/>
              <w:rPr>
                <w:sz w:val="20"/>
                <w:szCs w:val="20"/>
              </w:rPr>
            </w:pPr>
            <w:r>
              <w:rPr>
                <w:sz w:val="20"/>
                <w:szCs w:val="20"/>
              </w:rPr>
            </w:r>
            <w:r>
              <w:rPr>
                <w:sz w:val="20"/>
                <w:szCs w:val="20"/>
              </w:rPr>
            </w:r>
            <w:r>
              <w:rPr>
                <w:sz w:val="20"/>
                <w:szCs w:val="20"/>
              </w:rPr>
            </w:r>
          </w:p>
          <w:p>
            <w:pPr>
              <w:pStyle w:val="1135"/>
              <w:jc w:val="center"/>
              <w:rPr>
                <w:sz w:val="20"/>
                <w:szCs w:val="20"/>
              </w:rPr>
            </w:pPr>
            <w:r>
              <w:rPr>
                <w:bCs/>
                <w:sz w:val="20"/>
                <w:szCs w:val="20"/>
              </w:rPr>
              <w:t xml:space="preserve">5</w:t>
            </w:r>
            <w:r>
              <w:rPr>
                <w:bCs/>
                <w:sz w:val="20"/>
                <w:szCs w:val="20"/>
                <w:lang w:val="en-US"/>
              </w:rPr>
              <w:t xml:space="preserve">0</w:t>
            </w:r>
            <w:r>
              <w:rPr>
                <w:bCs/>
                <w:sz w:val="20"/>
                <w:szCs w:val="20"/>
              </w:rPr>
              <w:t xml:space="preserve">0 руб. </w:t>
              <w:br w:type="textWrapping" w:clear="all"/>
            </w:r>
            <w:r>
              <w:rPr>
                <w:sz w:val="20"/>
                <w:szCs w:val="20"/>
              </w:rPr>
              <w:t xml:space="preserve">за каждый запрос</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1135"/>
              <w:jc w:val="both"/>
              <w:spacing w:before="40"/>
              <w:rPr>
                <w:bCs/>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35"/>
              <w:jc w:val="center"/>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1.1.12.</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35"/>
              <w:jc w:val="both"/>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Оформление расчетного документа в рамках распоряжения клиента о периодическом перечислении денежных средств со счета клиента по указанным им реквизитам</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1135"/>
              <w:jc w:val="center"/>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150 руб. </w:t>
              <w:br w:type="textWrapping" w:clear="all"/>
              <w:t xml:space="preserve">за каждый расчетный документ</w:t>
            </w:r>
            <w:r>
              <w:rPr>
                <w:sz w:val="20"/>
                <w:szCs w:val="20"/>
                <w:lang w:eastAsia="en-US"/>
              </w:rPr>
            </w:r>
            <w:r>
              <w:rPr>
                <w:sz w:val="20"/>
                <w:szCs w:val="20"/>
                <w:lang w:eastAsia="en-US"/>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1135"/>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Реквизиты указываются в распоряжении клиента о периодическом перечислении денежных средств (дополнительном соглашении, заключаемом к договору банковского счета).</w:t>
            </w:r>
            <w:r>
              <w:rPr>
                <w:sz w:val="20"/>
                <w:szCs w:val="20"/>
                <w:lang w:eastAsia="en-US"/>
              </w:rPr>
            </w:r>
            <w:r>
              <w:rPr>
                <w:sz w:val="20"/>
                <w:szCs w:val="20"/>
                <w:lang w:eastAsia="en-US"/>
              </w:rPr>
            </w:r>
          </w:p>
          <w:p>
            <w:pPr>
              <w:pStyle w:val="1135"/>
              <w:jc w:val="both"/>
              <w:tabs>
                <w:tab w:val="left" w:pos="708" w:leader="none"/>
                <w:tab w:val="center" w:pos="4677" w:leader="none"/>
                <w:tab w:val="right" w:pos="9355" w:leader="none"/>
              </w:tabs>
              <w:rPr>
                <w:sz w:val="20"/>
                <w:szCs w:val="20"/>
                <w:lang w:eastAsia="en-US"/>
              </w:rPr>
            </w:pPr>
            <w:r>
              <w:rPr>
                <w:sz w:val="20"/>
                <w:szCs w:val="20"/>
                <w:lang w:eastAsia="en-US"/>
              </w:rPr>
              <w:t xml:space="preserve">Услуга облагается НДС, сумма которого взимается дополнительно.</w:t>
            </w:r>
            <w:r>
              <w:rPr>
                <w:sz w:val="20"/>
                <w:szCs w:val="20"/>
                <w:lang w:eastAsia="en-US"/>
              </w:rPr>
            </w:r>
            <w:r>
              <w:rPr>
                <w:sz w:val="20"/>
                <w:szCs w:val="20"/>
                <w:lang w:eastAsia="en-US"/>
              </w:rPr>
            </w:r>
          </w:p>
          <w:p>
            <w:pPr>
              <w:pStyle w:val="1135"/>
              <w:jc w:val="both"/>
              <w:tabs>
                <w:tab w:val="left" w:pos="708" w:leader="none"/>
                <w:tab w:val="center" w:pos="4677" w:leader="none"/>
                <w:tab w:val="right" w:pos="9355" w:leader="none"/>
              </w:tabs>
              <w:rPr>
                <w:sz w:val="20"/>
                <w:szCs w:val="20"/>
                <w:lang w:eastAsia="en-US"/>
              </w:rPr>
            </w:pPr>
            <w:r>
              <w:rPr>
                <w:sz w:val="20"/>
                <w:szCs w:val="20"/>
                <w:lang w:eastAsia="en-US"/>
              </w:rPr>
              <w:t xml:space="preserve">При совершении перевода денежных средств дополнительно к указанному тарифу взимается комиссионное вознаграждение, указанное в пунктах 1.1.5 или 1.1.7 Тарифов</w:t>
            </w:r>
            <w:r>
              <w:rPr>
                <w:sz w:val="20"/>
                <w:szCs w:val="20"/>
                <w:lang w:eastAsia="en-US"/>
              </w:rPr>
            </w:r>
            <w:r>
              <w:rPr>
                <w:sz w:val="20"/>
                <w:szCs w:val="20"/>
                <w:lang w:eastAsia="en-US"/>
              </w:rPr>
            </w:r>
          </w:p>
          <w:p>
            <w:pPr>
              <w:pStyle w:val="1135"/>
              <w:jc w:val="both"/>
              <w:tabs>
                <w:tab w:val="left" w:pos="708" w:leader="none"/>
                <w:tab w:val="center" w:pos="4677" w:leader="none"/>
                <w:tab w:val="right" w:pos="9355" w:leader="none"/>
              </w:tabs>
              <w:rPr>
                <w:sz w:val="20"/>
                <w:szCs w:val="20"/>
                <w:lang w:eastAsia="en-US"/>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35"/>
              <w:jc w:val="center"/>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1.1.12.1.</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35"/>
              <w:jc w:val="both"/>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Оформление расчетного документа в рамках распоряжения клиента о периодическом перечислении денежных средств со счета клиента юридическим лицам - партнерам </w:t>
              <w:br w:type="textWrapping" w:clear="all"/>
              <w:t xml:space="preserve">АО «Россельхозбанк» (ООО «Мое дело» ИНН </w:t>
            </w:r>
            <w:r>
              <w:rPr>
                <w:sz w:val="20"/>
                <w:szCs w:val="20"/>
              </w:rPr>
              <w:t xml:space="preserve">7701889831</w:t>
            </w:r>
            <w:r>
              <w:rPr>
                <w:sz w:val="20"/>
                <w:szCs w:val="20"/>
                <w:lang w:eastAsia="en-US"/>
              </w:rPr>
              <w:t xml:space="preserve">, ООО </w:t>
            </w:r>
            <w:r>
              <w:rPr>
                <w:sz w:val="20"/>
                <w:szCs w:val="20"/>
              </w:rPr>
              <w:t xml:space="preserve">«Юридические решения» ИНН 9718083320</w:t>
            </w:r>
            <w:r>
              <w:rPr>
                <w:sz w:val="20"/>
                <w:szCs w:val="20"/>
                <w:lang w:eastAsia="en-US"/>
              </w:rPr>
              <w:t xml:space="preserve">)</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1135"/>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35"/>
              <w:jc w:val="center"/>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1135"/>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За осуществление платежа комиссионное вознаграждение, указанное в пункте 1.1.5 Тарифов, не взимается</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35"/>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1.1.13.</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35"/>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Оформление дополнительного соглашения на списание денежных средств в пользу третьих лиц без дополнительного распоряжения клиента</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1135"/>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250 руб. </w:t>
              <w:br w:type="textWrapping" w:clear="all"/>
              <w:t xml:space="preserve">за каждое дополнительное соглашение</w:t>
            </w:r>
            <w:r>
              <w:rPr>
                <w:sz w:val="20"/>
                <w:szCs w:val="20"/>
                <w:lang w:eastAsia="en-US"/>
              </w:rPr>
            </w:r>
            <w:r>
              <w:rPr>
                <w:sz w:val="20"/>
                <w:szCs w:val="20"/>
                <w:lang w:eastAsia="en-US"/>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1135"/>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Услуга облагается НДС, сумма которого взимается дополнительно</w:t>
            </w:r>
            <w:r>
              <w:rPr>
                <w:sz w:val="20"/>
                <w:szCs w:val="20"/>
                <w:lang w:eastAsia="en-US"/>
              </w:rPr>
            </w:r>
            <w:r>
              <w:rPr>
                <w:sz w:val="20"/>
                <w:szCs w:val="20"/>
                <w:lang w:eastAsia="en-US"/>
              </w:rPr>
            </w:r>
          </w:p>
          <w:p>
            <w:pPr>
              <w:pStyle w:val="1135"/>
              <w:jc w:val="both"/>
              <w:spacing w:before="40"/>
              <w:tabs>
                <w:tab w:val="left" w:pos="708" w:leader="none"/>
                <w:tab w:val="center" w:pos="4677" w:leader="none"/>
                <w:tab w:val="right" w:pos="9355" w:leader="none"/>
              </w:tabs>
              <w:rPr>
                <w:sz w:val="20"/>
                <w:szCs w:val="20"/>
                <w:lang w:eastAsia="en-US"/>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35"/>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1.1.14.</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35"/>
              <w:jc w:val="both"/>
              <w:spacing w:before="40"/>
              <w:tabs>
                <w:tab w:val="left" w:pos="0" w:leader="none"/>
                <w:tab w:val="left" w:pos="708" w:leader="none"/>
                <w:tab w:val="center" w:pos="4677" w:leader="none"/>
                <w:tab w:val="right" w:pos="9355" w:leader="none"/>
              </w:tabs>
              <w:rPr>
                <w:sz w:val="20"/>
                <w:szCs w:val="20"/>
                <w:lang w:eastAsia="en-US"/>
              </w:rPr>
            </w:pPr>
            <w:r>
              <w:rPr>
                <w:sz w:val="20"/>
                <w:szCs w:val="20"/>
                <w:lang w:eastAsia="en-US"/>
              </w:rPr>
              <w:t xml:space="preserve">Осуществление банковского сопровождения контракта в рамках требований постановления Правительства Российской Федерации от 20.09.2014 № 963 «Об осуществлении банковского сопровождения контрактов»</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1135"/>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1135"/>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Тариф применяется в отношении клиентов Банка, заключ</w:t>
            </w:r>
            <w:r>
              <w:rPr>
                <w:sz w:val="20"/>
                <w:szCs w:val="20"/>
                <w:lang w:eastAsia="en-US"/>
              </w:rPr>
              <w:t xml:space="preserve">ивших Договор банковского сопровождения и обслуживания отдельного счета, за проведение Банком мониторинга расчетов, осуществляемых в рамках исполнения контракта на отдельном счете, открытом в Банке, и доведение результатов мониторинга до сведения заказчика</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35"/>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1.1.15.</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35"/>
              <w:jc w:val="both"/>
              <w:spacing w:before="40"/>
              <w:tabs>
                <w:tab w:val="left" w:pos="0" w:leader="none"/>
                <w:tab w:val="left" w:pos="708" w:leader="none"/>
                <w:tab w:val="center" w:pos="4677" w:leader="none"/>
                <w:tab w:val="right" w:pos="9355" w:leader="none"/>
              </w:tabs>
              <w:rPr>
                <w:bCs/>
                <w:sz w:val="20"/>
                <w:szCs w:val="20"/>
              </w:rPr>
            </w:pPr>
            <w:r>
              <w:rPr>
                <w:bCs/>
                <w:sz w:val="20"/>
                <w:szCs w:val="20"/>
              </w:rPr>
              <w:t xml:space="preserve">Перевод денежных средств в валюте Российской Федерации со счета клиента на счет, открытый в банке-нерезиденте, с которым у Банка установлены прямые корреспондентские отношения: </w:t>
            </w:r>
            <w:r>
              <w:rPr>
                <w:bCs/>
                <w:sz w:val="20"/>
                <w:szCs w:val="20"/>
              </w:rPr>
            </w:r>
            <w:r>
              <w:rPr>
                <w:bCs/>
                <w:sz w:val="20"/>
                <w:szCs w:val="20"/>
              </w:rPr>
            </w:r>
          </w:p>
          <w:p>
            <w:pPr>
              <w:pStyle w:val="1135"/>
              <w:jc w:val="both"/>
              <w:spacing w:before="40"/>
              <w:tabs>
                <w:tab w:val="left" w:pos="0" w:leader="none"/>
              </w:tabs>
              <w:rPr>
                <w:bCs/>
                <w:sz w:val="20"/>
                <w:szCs w:val="20"/>
              </w:rPr>
            </w:pPr>
            <w:r>
              <w:rPr>
                <w:bCs/>
                <w:sz w:val="20"/>
                <w:szCs w:val="20"/>
              </w:rPr>
              <w:t xml:space="preserve">- на основании расчетного документа на бумажном носителе</w:t>
            </w:r>
            <w:r>
              <w:rPr>
                <w:bCs/>
                <w:sz w:val="20"/>
                <w:szCs w:val="20"/>
              </w:rPr>
            </w:r>
            <w:r>
              <w:rPr>
                <w:bCs/>
                <w:sz w:val="20"/>
                <w:szCs w:val="20"/>
              </w:rPr>
            </w:r>
          </w:p>
          <w:p>
            <w:pPr>
              <w:pStyle w:val="1135"/>
              <w:jc w:val="both"/>
              <w:spacing w:before="40"/>
              <w:tabs>
                <w:tab w:val="left" w:pos="0" w:leader="none"/>
              </w:tabs>
              <w:rPr>
                <w:sz w:val="20"/>
                <w:szCs w:val="20"/>
                <w:lang w:eastAsia="en-US"/>
              </w:rPr>
            </w:pPr>
            <w:r>
              <w:rPr>
                <w:sz w:val="20"/>
                <w:szCs w:val="20"/>
                <w:lang w:eastAsia="en-US"/>
              </w:rPr>
              <w:tab/>
            </w:r>
            <w:r>
              <w:rPr>
                <w:sz w:val="20"/>
                <w:szCs w:val="20"/>
                <w:lang w:eastAsia="en-US"/>
              </w:rPr>
            </w:r>
            <w:r>
              <w:rPr>
                <w:sz w:val="20"/>
                <w:szCs w:val="20"/>
                <w:lang w:eastAsia="en-US"/>
              </w:rPr>
            </w:r>
          </w:p>
          <w:p>
            <w:pPr>
              <w:pStyle w:val="1135"/>
              <w:jc w:val="both"/>
              <w:rPr>
                <w:sz w:val="20"/>
                <w:szCs w:val="20"/>
                <w:lang w:eastAsia="en-US"/>
              </w:rPr>
            </w:pPr>
            <w:r>
              <w:rPr>
                <w:bCs/>
                <w:sz w:val="20"/>
                <w:szCs w:val="20"/>
              </w:rPr>
              <w:t xml:space="preserve">- отправленный клиентом по системе дистанционного банковского обслуживания</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1135"/>
              <w:jc w:val="center"/>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35"/>
              <w:rPr>
                <w:sz w:val="20"/>
                <w:szCs w:val="20"/>
                <w:lang w:eastAsia="en-US"/>
              </w:rPr>
            </w:pPr>
            <w:r>
              <w:rPr>
                <w:sz w:val="20"/>
                <w:szCs w:val="20"/>
                <w:lang w:eastAsia="en-US"/>
              </w:rPr>
            </w:r>
            <w:r>
              <w:rPr>
                <w:sz w:val="20"/>
                <w:szCs w:val="20"/>
                <w:lang w:eastAsia="en-US"/>
              </w:rPr>
            </w:r>
            <w:r>
              <w:rPr>
                <w:sz w:val="20"/>
                <w:szCs w:val="20"/>
                <w:lang w:eastAsia="en-US"/>
              </w:rPr>
            </w:r>
          </w:p>
          <w:p>
            <w:pPr>
              <w:pStyle w:val="1135"/>
              <w:rPr>
                <w:sz w:val="20"/>
                <w:szCs w:val="20"/>
                <w:lang w:eastAsia="en-US"/>
              </w:rPr>
            </w:pPr>
            <w:r>
              <w:rPr>
                <w:sz w:val="20"/>
                <w:szCs w:val="20"/>
                <w:lang w:eastAsia="en-US"/>
              </w:rPr>
            </w:r>
            <w:r>
              <w:rPr>
                <w:sz w:val="20"/>
                <w:szCs w:val="20"/>
                <w:lang w:eastAsia="en-US"/>
              </w:rPr>
            </w:r>
            <w:r>
              <w:rPr>
                <w:sz w:val="20"/>
                <w:szCs w:val="20"/>
                <w:lang w:eastAsia="en-US"/>
              </w:rPr>
            </w:r>
          </w:p>
          <w:p>
            <w:pPr>
              <w:pStyle w:val="1135"/>
              <w:rPr>
                <w:sz w:val="20"/>
                <w:szCs w:val="20"/>
                <w:lang w:eastAsia="en-US"/>
              </w:rPr>
            </w:pPr>
            <w:r>
              <w:rPr>
                <w:sz w:val="20"/>
                <w:szCs w:val="20"/>
                <w:lang w:eastAsia="en-US"/>
              </w:rPr>
            </w:r>
            <w:r>
              <w:rPr>
                <w:sz w:val="20"/>
                <w:szCs w:val="20"/>
                <w:lang w:eastAsia="en-US"/>
              </w:rPr>
            </w:r>
            <w:r>
              <w:rPr>
                <w:sz w:val="20"/>
                <w:szCs w:val="20"/>
                <w:lang w:eastAsia="en-US"/>
              </w:rPr>
            </w:r>
          </w:p>
          <w:p>
            <w:pPr>
              <w:pStyle w:val="1135"/>
              <w:rPr>
                <w:sz w:val="20"/>
                <w:szCs w:val="20"/>
                <w:lang w:eastAsia="en-US"/>
              </w:rPr>
            </w:pPr>
            <w:r>
              <w:rPr>
                <w:sz w:val="20"/>
                <w:szCs w:val="20"/>
                <w:lang w:eastAsia="en-US"/>
              </w:rPr>
            </w:r>
            <w:r>
              <w:rPr>
                <w:sz w:val="20"/>
                <w:szCs w:val="20"/>
                <w:lang w:eastAsia="en-US"/>
              </w:rPr>
            </w:r>
            <w:r>
              <w:rPr>
                <w:sz w:val="20"/>
                <w:szCs w:val="20"/>
                <w:lang w:eastAsia="en-US"/>
              </w:rPr>
            </w:r>
          </w:p>
          <w:p>
            <w:pPr>
              <w:pStyle w:val="1135"/>
              <w:rPr>
                <w:sz w:val="20"/>
                <w:szCs w:val="20"/>
                <w:lang w:eastAsia="en-US"/>
              </w:rPr>
            </w:pPr>
            <w:r>
              <w:rPr>
                <w:sz w:val="20"/>
                <w:szCs w:val="20"/>
                <w:lang w:eastAsia="en-US"/>
              </w:rPr>
            </w:r>
            <w:r>
              <w:rPr>
                <w:sz w:val="20"/>
                <w:szCs w:val="20"/>
                <w:lang w:eastAsia="en-US"/>
              </w:rPr>
            </w:r>
            <w:r>
              <w:rPr>
                <w:sz w:val="20"/>
                <w:szCs w:val="20"/>
                <w:lang w:eastAsia="en-US"/>
              </w:rPr>
            </w:r>
          </w:p>
          <w:p>
            <w:pPr>
              <w:pStyle w:val="1135"/>
              <w:rPr>
                <w:bCs/>
                <w:sz w:val="20"/>
                <w:szCs w:val="20"/>
              </w:rPr>
            </w:pPr>
            <w:r>
              <w:rPr>
                <w:bCs/>
                <w:sz w:val="20"/>
                <w:szCs w:val="20"/>
              </w:rPr>
              <w:t xml:space="preserve">1% от суммы перевода, минимум 1000 руб., максимум 50 000 руб.</w:t>
            </w:r>
            <w:r>
              <w:rPr>
                <w:bCs/>
                <w:sz w:val="20"/>
                <w:szCs w:val="20"/>
              </w:rPr>
            </w:r>
            <w:r>
              <w:rPr>
                <w:bCs/>
                <w:sz w:val="20"/>
                <w:szCs w:val="20"/>
              </w:rPr>
            </w:r>
          </w:p>
          <w:p>
            <w:pPr>
              <w:pStyle w:val="1135"/>
              <w:rPr>
                <w:sz w:val="20"/>
                <w:szCs w:val="20"/>
                <w:lang w:eastAsia="en-US"/>
              </w:rPr>
            </w:pPr>
            <w:r>
              <w:rPr>
                <w:sz w:val="20"/>
                <w:szCs w:val="20"/>
                <w:lang w:eastAsia="en-US"/>
              </w:rPr>
            </w:r>
            <w:r>
              <w:rPr>
                <w:sz w:val="20"/>
                <w:szCs w:val="20"/>
                <w:lang w:eastAsia="en-US"/>
              </w:rPr>
            </w:r>
            <w:r>
              <w:rPr>
                <w:sz w:val="20"/>
                <w:szCs w:val="20"/>
                <w:lang w:eastAsia="en-US"/>
              </w:rPr>
            </w:r>
          </w:p>
          <w:p>
            <w:pPr>
              <w:pStyle w:val="1135"/>
              <w:jc w:val="both"/>
              <w:rPr>
                <w:sz w:val="20"/>
                <w:szCs w:val="20"/>
                <w:lang w:eastAsia="en-US"/>
              </w:rPr>
            </w:pPr>
            <w:r>
              <w:rPr>
                <w:bCs/>
                <w:sz w:val="20"/>
                <w:szCs w:val="20"/>
              </w:rPr>
              <w:t xml:space="preserve">1% от суммы перевода, минимум 1000 руб., максимум 50 000 руб.</w:t>
            </w:r>
            <w:r>
              <w:rPr>
                <w:sz w:val="20"/>
                <w:szCs w:val="20"/>
                <w:lang w:eastAsia="en-US"/>
              </w:rPr>
            </w:r>
            <w:r>
              <w:rPr>
                <w:sz w:val="20"/>
                <w:szCs w:val="20"/>
                <w:lang w:eastAsia="en-US"/>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1135"/>
              <w:jc w:val="both"/>
              <w:rPr>
                <w:sz w:val="20"/>
                <w:szCs w:val="20"/>
              </w:rPr>
            </w:pPr>
            <w:r>
              <w:rPr>
                <w:sz w:val="20"/>
                <w:szCs w:val="20"/>
              </w:rPr>
              <w:t xml:space="preserve">Комиссионное вознаграждение взимается за каждую операцию.</w:t>
            </w:r>
            <w:r>
              <w:rPr>
                <w:sz w:val="20"/>
                <w:szCs w:val="20"/>
              </w:rPr>
            </w:r>
            <w:r>
              <w:rPr>
                <w:sz w:val="20"/>
                <w:szCs w:val="20"/>
              </w:rPr>
            </w:r>
          </w:p>
          <w:p>
            <w:pPr>
              <w:pStyle w:val="1135"/>
              <w:jc w:val="both"/>
              <w:rPr>
                <w:sz w:val="20"/>
                <w:szCs w:val="20"/>
              </w:rPr>
            </w:pPr>
            <w:r>
              <w:rPr>
                <w:sz w:val="20"/>
                <w:szCs w:val="20"/>
              </w:rPr>
              <w:t xml:space="preserve">Банк вправе о</w:t>
            </w:r>
            <w:r>
              <w:rPr>
                <w:sz w:val="20"/>
                <w:szCs w:val="20"/>
              </w:rPr>
              <w:t xml:space="preserve">тказать в проведении операции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w:t>
            </w:r>
            <w:r>
              <w:rPr>
                <w:sz w:val="20"/>
                <w:szCs w:val="20"/>
              </w:rPr>
            </w:r>
            <w:r>
              <w:rPr>
                <w:sz w:val="20"/>
                <w:szCs w:val="20"/>
              </w:rPr>
            </w:r>
          </w:p>
          <w:p>
            <w:pPr>
              <w:pStyle w:val="1135"/>
              <w:jc w:val="both"/>
              <w:spacing w:before="40"/>
              <w:tabs>
                <w:tab w:val="left" w:pos="708" w:leader="none"/>
                <w:tab w:val="center" w:pos="4677" w:leader="none"/>
                <w:tab w:val="right" w:pos="9355" w:leader="none"/>
              </w:tabs>
              <w:rPr>
                <w:sz w:val="20"/>
                <w:szCs w:val="20"/>
                <w:lang w:eastAsia="en-US"/>
              </w:rPr>
            </w:pPr>
            <w:r>
              <w:rPr>
                <w:sz w:val="20"/>
                <w:szCs w:val="20"/>
              </w:rPr>
              <w:t xml:space="preserve">Услуга оказывается при наличии технической возможности у Банка. Информацию о наличии возможности осуществления перевода в банк-нерезидент Клиент может получить при личном обращении в подразделение АО «Россельхозбанк».</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35"/>
              <w:ind w:firstLine="34"/>
              <w:jc w:val="center"/>
              <w:spacing w:before="120" w:after="120"/>
              <w:rPr>
                <w:bCs/>
                <w:sz w:val="20"/>
                <w:szCs w:val="20"/>
              </w:rPr>
            </w:pPr>
            <w:r>
              <w:rPr>
                <w:bCs/>
                <w:sz w:val="20"/>
                <w:szCs w:val="20"/>
              </w:rPr>
              <w:t xml:space="preserve">1.2.</w:t>
            </w:r>
            <w:r>
              <w:rPr>
                <w:bCs/>
                <w:sz w:val="20"/>
                <w:szCs w:val="20"/>
              </w:rPr>
            </w:r>
            <w:r>
              <w:rPr>
                <w:bCs/>
                <w:sz w:val="20"/>
                <w:szCs w:val="20"/>
              </w:rPr>
            </w:r>
          </w:p>
        </w:tc>
        <w:tc>
          <w:tcPr>
            <w:gridSpan w:val="4"/>
            <w:tcBorders>
              <w:top w:val="single" w:color="000000" w:sz="4" w:space="0"/>
              <w:left w:val="single" w:color="000000" w:sz="4" w:space="0"/>
              <w:bottom w:val="single" w:color="000000" w:sz="4" w:space="0"/>
              <w:right w:val="single" w:color="000000" w:sz="4" w:space="0"/>
            </w:tcBorders>
            <w:tcW w:w="9189" w:type="dxa"/>
            <w:vAlign w:val="top"/>
            <w:textDirection w:val="lrTb"/>
            <w:noWrap w:val="false"/>
          </w:tcPr>
          <w:p>
            <w:pPr>
              <w:pStyle w:val="1135"/>
              <w:jc w:val="both"/>
              <w:spacing w:before="120" w:after="120"/>
              <w:rPr>
                <w:sz w:val="20"/>
                <w:szCs w:val="20"/>
              </w:rPr>
            </w:pPr>
            <w:r>
              <w:rPr>
                <w:bCs/>
                <w:sz w:val="20"/>
                <w:szCs w:val="20"/>
              </w:rPr>
              <w:t xml:space="preserve">Открытие и ведение счетов в иностранной валюте</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right w:val="single" w:color="000000" w:sz="4" w:space="0"/>
            </w:tcBorders>
            <w:tcW w:w="993" w:type="dxa"/>
            <w:vAlign w:val="top"/>
            <w:vMerge w:val="restart"/>
            <w:textDirection w:val="lrTb"/>
            <w:noWrap w:val="false"/>
          </w:tcPr>
          <w:p>
            <w:pPr>
              <w:pStyle w:val="1135"/>
              <w:ind w:left="-52" w:firstLine="52"/>
              <w:jc w:val="center"/>
              <w:spacing w:before="40"/>
              <w:rPr>
                <w:bCs/>
                <w:sz w:val="20"/>
                <w:szCs w:val="20"/>
              </w:rPr>
            </w:pPr>
            <w:r>
              <w:rPr>
                <w:bCs/>
                <w:sz w:val="20"/>
                <w:szCs w:val="20"/>
              </w:rPr>
              <w:t xml:space="preserve">1.2.1.</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135"/>
              <w:jc w:val="both"/>
              <w:spacing w:before="40" w:after="40"/>
              <w:rPr>
                <w:b/>
                <w:bCs/>
                <w:sz w:val="20"/>
                <w:szCs w:val="20"/>
              </w:rPr>
            </w:pPr>
            <w:r>
              <w:rPr>
                <w:sz w:val="20"/>
                <w:szCs w:val="20"/>
              </w:rPr>
              <w:t xml:space="preserve">Открытие счета </w:t>
            </w:r>
            <w:r>
              <w:rPr>
                <w:b/>
                <w:bCs/>
                <w:sz w:val="20"/>
                <w:szCs w:val="20"/>
              </w:rPr>
            </w:r>
            <w:r>
              <w:rPr>
                <w:b/>
                <w:bCs/>
                <w:sz w:val="20"/>
                <w:szCs w:val="20"/>
              </w:rPr>
            </w:r>
          </w:p>
        </w:tc>
        <w:tc>
          <w:tcPr>
            <w:gridSpan w:val="2"/>
            <w:tcBorders>
              <w:top w:val="single" w:color="000000" w:sz="4" w:space="0"/>
              <w:left w:val="single" w:color="000000" w:sz="4" w:space="0"/>
              <w:bottom w:val="none" w:color="000000" w:sz="4" w:space="0"/>
              <w:right w:val="single" w:color="000000" w:sz="4" w:space="0"/>
            </w:tcBorders>
            <w:tcW w:w="2540" w:type="dxa"/>
            <w:vAlign w:val="top"/>
            <w:textDirection w:val="lrTb"/>
            <w:noWrap w:val="false"/>
          </w:tcPr>
          <w:p>
            <w:pPr>
              <w:pStyle w:val="1135"/>
              <w:jc w:val="center"/>
              <w:spacing w:before="40" w:after="40"/>
              <w:rPr>
                <w:bCs/>
                <w:sz w:val="20"/>
                <w:szCs w:val="20"/>
              </w:rPr>
            </w:pPr>
            <w:r>
              <w:rPr>
                <w:bCs/>
                <w:sz w:val="20"/>
                <w:szCs w:val="20"/>
              </w:rPr>
              <w:t xml:space="preserve">3000 руб.</w:t>
            </w:r>
            <w:r>
              <w:rPr>
                <w:bCs/>
                <w:sz w:val="20"/>
                <w:szCs w:val="20"/>
              </w:rPr>
            </w:r>
            <w:r>
              <w:rPr>
                <w:bCs/>
                <w:sz w:val="20"/>
                <w:szCs w:val="20"/>
              </w:rPr>
            </w:r>
          </w:p>
        </w:tc>
        <w:tc>
          <w:tcPr>
            <w:tcBorders>
              <w:top w:val="single" w:color="000000" w:sz="4" w:space="0"/>
              <w:left w:val="single" w:color="000000" w:sz="4" w:space="0"/>
              <w:right w:val="single" w:color="000000" w:sz="4" w:space="0"/>
            </w:tcBorders>
            <w:tcW w:w="3541" w:type="dxa"/>
            <w:vAlign w:val="top"/>
            <w:vMerge w:val="restart"/>
            <w:textDirection w:val="lrTb"/>
            <w:noWrap w:val="false"/>
          </w:tcPr>
          <w:p>
            <w:pPr>
              <w:pStyle w:val="1135"/>
              <w:jc w:val="both"/>
              <w:spacing w:before="40" w:after="40"/>
              <w:rPr>
                <w:color w:val="000000"/>
                <w:sz w:val="20"/>
                <w:szCs w:val="20"/>
              </w:rPr>
            </w:pPr>
            <w:r>
              <w:rPr>
                <w:color w:val="000000"/>
                <w:sz w:val="20"/>
                <w:szCs w:val="20"/>
              </w:rPr>
              <w:t xml:space="preserve">В случае необходимости за оформление Банком карточки с образцами подписей и оттиска печати комиссия не взимается</w:t>
            </w:r>
            <w:r>
              <w:rPr>
                <w:color w:val="000000"/>
                <w:sz w:val="20"/>
                <w:szCs w:val="20"/>
              </w:rPr>
            </w:r>
            <w:r>
              <w:rPr>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left w:val="single" w:color="000000" w:sz="4" w:space="0"/>
              <w:right w:val="single" w:color="000000" w:sz="4" w:space="0"/>
            </w:tcBorders>
            <w:tcW w:w="993" w:type="dxa"/>
            <w:vAlign w:val="top"/>
            <w:vMerge w:val="continue"/>
            <w:textDirection w:val="lrTb"/>
            <w:noWrap w:val="false"/>
          </w:tcPr>
          <w:p>
            <w:pPr>
              <w:pStyle w:val="1135"/>
              <w:ind w:left="-52" w:firstLine="52"/>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35"/>
              <w:jc w:val="both"/>
              <w:spacing w:before="40" w:after="40"/>
              <w:rPr>
                <w:bCs/>
                <w:color w:val="000000"/>
                <w:sz w:val="20"/>
                <w:szCs w:val="20"/>
              </w:rPr>
            </w:pPr>
            <w:r>
              <w:rPr>
                <w:sz w:val="20"/>
                <w:szCs w:val="20"/>
              </w:rPr>
              <w:t xml:space="preserve">- при переходе на обслуживание из другого подразделения Банка и предъявлении клиентом Уведомления о закрытии счета в подразделении Банка, выданного в течение 3-х месяцев с даты закрытия счета</w:t>
            </w:r>
            <w:r>
              <w:rPr>
                <w:bCs/>
                <w:color w:val="000000"/>
                <w:sz w:val="20"/>
                <w:szCs w:val="20"/>
              </w:rPr>
            </w:r>
            <w:r>
              <w:rPr>
                <w:bCs/>
                <w:color w:val="000000"/>
                <w:sz w:val="20"/>
                <w:szCs w:val="20"/>
              </w:rPr>
            </w:r>
          </w:p>
        </w:tc>
        <w:tc>
          <w:tcPr>
            <w:gridSpan w:val="2"/>
            <w:tcBorders>
              <w:top w:val="none" w:color="000000" w:sz="4" w:space="0"/>
              <w:left w:val="single" w:color="000000" w:sz="4" w:space="0"/>
              <w:bottom w:val="none" w:color="000000" w:sz="4" w:space="0"/>
              <w:right w:val="single" w:color="000000" w:sz="4" w:space="0"/>
            </w:tcBorders>
            <w:tcW w:w="2540" w:type="dxa"/>
            <w:vAlign w:val="top"/>
            <w:textDirection w:val="lrTb"/>
            <w:noWrap w:val="false"/>
          </w:tcPr>
          <w:p>
            <w:pPr>
              <w:pStyle w:val="1135"/>
              <w:jc w:val="center"/>
              <w:spacing w:before="40" w:after="40"/>
              <w:rPr>
                <w:rFonts w:eastAsia="Arial Unicode MS"/>
                <w:iCs/>
                <w:color w:val="000000"/>
                <w:sz w:val="20"/>
                <w:szCs w:val="20"/>
              </w:rPr>
            </w:pPr>
            <w:r>
              <w:rPr>
                <w:sz w:val="20"/>
                <w:szCs w:val="20"/>
              </w:rPr>
              <w:t xml:space="preserve">Не взимается</w:t>
            </w:r>
            <w:r>
              <w:rPr>
                <w:rFonts w:eastAsia="Arial Unicode MS"/>
                <w:iCs/>
                <w:color w:val="000000"/>
                <w:sz w:val="20"/>
                <w:szCs w:val="20"/>
              </w:rPr>
            </w:r>
            <w:r>
              <w:rPr>
                <w:rFonts w:eastAsia="Arial Unicode MS"/>
                <w:iCs/>
                <w:color w:val="000000"/>
                <w:sz w:val="20"/>
                <w:szCs w:val="20"/>
              </w:rPr>
            </w:r>
          </w:p>
        </w:tc>
        <w:tc>
          <w:tcPr>
            <w:tcBorders>
              <w:left w:val="single" w:color="000000" w:sz="4" w:space="0"/>
              <w:right w:val="single" w:color="000000" w:sz="4" w:space="0"/>
            </w:tcBorders>
            <w:tcW w:w="3541" w:type="dxa"/>
            <w:vAlign w:val="top"/>
            <w:vMerge w:val="continue"/>
            <w:textDirection w:val="lrTb"/>
            <w:noWrap w:val="false"/>
          </w:tcPr>
          <w:p>
            <w:pPr>
              <w:pStyle w:val="1135"/>
              <w:jc w:val="both"/>
              <w:rPr>
                <w:color w:val="000000"/>
                <w:sz w:val="20"/>
                <w:szCs w:val="20"/>
              </w:rPr>
            </w:pPr>
            <w:r>
              <w:rPr>
                <w:color w:val="000000"/>
                <w:sz w:val="20"/>
                <w:szCs w:val="20"/>
              </w:rPr>
            </w:r>
            <w:r>
              <w:rPr>
                <w:color w:val="000000"/>
                <w:sz w:val="20"/>
                <w:szCs w:val="20"/>
              </w:rPr>
            </w:r>
            <w:r>
              <w:rPr>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left w:val="single" w:color="000000" w:sz="4" w:space="0"/>
              <w:bottom w:val="single" w:color="000000" w:sz="4" w:space="0"/>
              <w:right w:val="single" w:color="000000" w:sz="4" w:space="0"/>
            </w:tcBorders>
            <w:tcW w:w="993" w:type="dxa"/>
            <w:vAlign w:val="top"/>
            <w:vMerge w:val="continue"/>
            <w:textDirection w:val="lrTb"/>
            <w:noWrap w:val="false"/>
          </w:tcPr>
          <w:p>
            <w:pPr>
              <w:pStyle w:val="1135"/>
              <w:ind w:left="-52" w:firstLine="52"/>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135"/>
              <w:jc w:val="both"/>
              <w:spacing w:before="40" w:after="40"/>
              <w:rPr>
                <w:bCs/>
                <w:color w:val="000000"/>
                <w:sz w:val="20"/>
                <w:szCs w:val="20"/>
              </w:rPr>
            </w:pPr>
            <w:r>
              <w:rPr>
                <w:sz w:val="20"/>
                <w:szCs w:val="20"/>
              </w:rPr>
              <w:t xml:space="preserve">- транзитного счета, счета по депозиту</w:t>
            </w:r>
            <w:r>
              <w:rPr>
                <w:bCs/>
                <w:color w:val="000000"/>
                <w:sz w:val="20"/>
                <w:szCs w:val="20"/>
              </w:rPr>
            </w:r>
            <w:r>
              <w:rPr>
                <w:bCs/>
                <w:color w:val="000000"/>
                <w:sz w:val="20"/>
                <w:szCs w:val="20"/>
              </w:rPr>
            </w:r>
          </w:p>
        </w:tc>
        <w:tc>
          <w:tcPr>
            <w:gridSpan w:val="2"/>
            <w:tcBorders>
              <w:top w:val="none" w:color="000000" w:sz="4" w:space="0"/>
              <w:left w:val="single" w:color="000000" w:sz="4" w:space="0"/>
              <w:bottom w:val="single" w:color="000000" w:sz="4" w:space="0"/>
              <w:right w:val="single" w:color="000000" w:sz="4" w:space="0"/>
            </w:tcBorders>
            <w:tcW w:w="2540" w:type="dxa"/>
            <w:vAlign w:val="top"/>
            <w:textDirection w:val="lrTb"/>
            <w:noWrap w:val="false"/>
          </w:tcPr>
          <w:p>
            <w:pPr>
              <w:pStyle w:val="1135"/>
              <w:jc w:val="center"/>
              <w:spacing w:before="40" w:after="40"/>
              <w:rPr>
                <w:rFonts w:eastAsia="Arial Unicode MS"/>
                <w:iCs/>
                <w:color w:val="000000"/>
                <w:sz w:val="20"/>
                <w:szCs w:val="20"/>
              </w:rPr>
            </w:pPr>
            <w:r>
              <w:rPr>
                <w:sz w:val="20"/>
                <w:szCs w:val="20"/>
              </w:rPr>
              <w:t xml:space="preserve">Не взимается</w:t>
            </w:r>
            <w:r>
              <w:rPr>
                <w:rFonts w:eastAsia="Arial Unicode MS"/>
                <w:iCs/>
                <w:color w:val="000000"/>
                <w:sz w:val="20"/>
                <w:szCs w:val="20"/>
              </w:rPr>
            </w:r>
            <w:r>
              <w:rPr>
                <w:rFonts w:eastAsia="Arial Unicode MS"/>
                <w:iCs/>
                <w:color w:val="000000"/>
                <w:sz w:val="20"/>
                <w:szCs w:val="20"/>
              </w:rPr>
            </w:r>
          </w:p>
        </w:tc>
        <w:tc>
          <w:tcPr>
            <w:tcBorders>
              <w:left w:val="single" w:color="000000" w:sz="4" w:space="0"/>
              <w:bottom w:val="single" w:color="000000" w:sz="4" w:space="0"/>
              <w:right w:val="single" w:color="000000" w:sz="4" w:space="0"/>
            </w:tcBorders>
            <w:tcW w:w="3541" w:type="dxa"/>
            <w:vAlign w:val="top"/>
            <w:vMerge w:val="continue"/>
            <w:textDirection w:val="lrTb"/>
            <w:noWrap w:val="false"/>
          </w:tcPr>
          <w:p>
            <w:pPr>
              <w:pStyle w:val="1135"/>
              <w:jc w:val="both"/>
              <w:rPr>
                <w:color w:val="000000"/>
                <w:sz w:val="20"/>
                <w:szCs w:val="20"/>
              </w:rPr>
            </w:pPr>
            <w:r>
              <w:rPr>
                <w:color w:val="000000"/>
                <w:sz w:val="20"/>
                <w:szCs w:val="20"/>
              </w:rPr>
            </w:r>
            <w:r>
              <w:rPr>
                <w:color w:val="000000"/>
                <w:sz w:val="20"/>
                <w:szCs w:val="20"/>
              </w:rPr>
            </w:r>
            <w:r>
              <w:rPr>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35"/>
              <w:ind w:left="-52" w:firstLine="52"/>
              <w:jc w:val="center"/>
              <w:spacing w:before="40"/>
              <w:rPr>
                <w:bCs/>
                <w:sz w:val="20"/>
                <w:szCs w:val="20"/>
              </w:rPr>
            </w:pPr>
            <w:r>
              <w:rPr>
                <w:bCs/>
                <w:sz w:val="20"/>
                <w:szCs w:val="20"/>
              </w:rPr>
              <w:t xml:space="preserve">1.2.2.</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35"/>
              <w:ind w:left="-52" w:firstLine="52"/>
              <w:jc w:val="both"/>
              <w:spacing w:before="40"/>
              <w:rPr>
                <w:bCs/>
                <w:sz w:val="20"/>
                <w:szCs w:val="20"/>
              </w:rPr>
            </w:pPr>
            <w:r>
              <w:rPr>
                <w:bCs/>
                <w:sz w:val="20"/>
                <w:szCs w:val="20"/>
              </w:rPr>
              <w:t xml:space="preserve">Закрытие счета</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135"/>
              <w:jc w:val="center"/>
              <w:spacing w:before="40"/>
              <w:rPr>
                <w:bCs/>
                <w:sz w:val="20"/>
                <w:szCs w:val="20"/>
              </w:rPr>
            </w:pPr>
            <w:r>
              <w:rPr>
                <w:sz w:val="20"/>
                <w:szCs w:val="20"/>
              </w:rPr>
              <w:t xml:space="preserve">Не взимается</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35"/>
              <w:ind w:left="-52" w:firstLine="52"/>
              <w:jc w:val="both"/>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35"/>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1.2.3.</w:t>
            </w:r>
            <w:r>
              <w:rPr>
                <w:sz w:val="20"/>
                <w:szCs w:val="20"/>
                <w:lang w:eastAsia="en-US"/>
              </w:rPr>
            </w:r>
            <w:r>
              <w:rPr>
                <w:sz w:val="20"/>
                <w:szCs w:val="20"/>
                <w:lang w:eastAsia="en-US"/>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135"/>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Ведение счета</w:t>
            </w:r>
            <w:r>
              <w:rPr>
                <w:sz w:val="20"/>
                <w:szCs w:val="20"/>
              </w:rPr>
              <w:t xml:space="preserve">, кроме счета в евро</w:t>
            </w:r>
            <w:r>
              <w:rPr>
                <w:sz w:val="20"/>
                <w:szCs w:val="20"/>
              </w:rPr>
              <w:t xml:space="preserve">, </w:t>
            </w:r>
            <w:r>
              <w:rPr>
                <w:sz w:val="20"/>
                <w:szCs w:val="20"/>
              </w:rPr>
              <w:t xml:space="preserve">долларах США</w:t>
            </w:r>
            <w:r>
              <w:rPr>
                <w:sz w:val="20"/>
                <w:szCs w:val="20"/>
              </w:rPr>
              <w:t xml:space="preserve">, а также отдельных иностранных валютах, предусмотренных в п. 1.2.3.3.</w:t>
            </w:r>
            <w:r>
              <w:rPr>
                <w:sz w:val="20"/>
                <w:szCs w:val="20"/>
                <w:lang w:eastAsia="en-US"/>
              </w:rPr>
            </w:r>
            <w:r>
              <w:rPr>
                <w:sz w:val="20"/>
                <w:szCs w:val="20"/>
                <w:lang w:eastAsia="en-US"/>
              </w:rPr>
            </w:r>
          </w:p>
        </w:tc>
        <w:tc>
          <w:tcPr>
            <w:gridSpan w:val="2"/>
            <w:tcBorders>
              <w:top w:val="single" w:color="000000" w:sz="4" w:space="0"/>
              <w:left w:val="single" w:color="000000" w:sz="4" w:space="0"/>
              <w:bottom w:val="none" w:color="000000" w:sz="4" w:space="0"/>
              <w:right w:val="single" w:color="000000" w:sz="4" w:space="0"/>
            </w:tcBorders>
            <w:tcW w:w="2540" w:type="dxa"/>
            <w:vAlign w:val="top"/>
            <w:textDirection w:val="lrTb"/>
            <w:noWrap w:val="false"/>
          </w:tcPr>
          <w:p>
            <w:pPr>
              <w:pStyle w:val="1135"/>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2500 руб. в месяц</w:t>
            </w:r>
            <w:r>
              <w:rPr>
                <w:sz w:val="20"/>
                <w:szCs w:val="20"/>
                <w:lang w:eastAsia="en-US"/>
              </w:rPr>
            </w:r>
            <w:r>
              <w:rPr>
                <w:sz w:val="20"/>
                <w:szCs w:val="20"/>
                <w:lang w:eastAsia="en-US"/>
              </w:rPr>
            </w:r>
          </w:p>
        </w:tc>
        <w:tc>
          <w:tcPr>
            <w:tcBorders>
              <w:top w:val="single" w:color="000000" w:sz="4" w:space="0"/>
              <w:left w:val="single" w:color="000000" w:sz="4" w:space="0"/>
              <w:bottom w:val="none" w:color="000000" w:sz="4" w:space="0"/>
              <w:right w:val="single" w:color="000000" w:sz="4" w:space="0"/>
            </w:tcBorders>
            <w:tcW w:w="3541" w:type="dxa"/>
            <w:vAlign w:val="top"/>
            <w:textDirection w:val="lrTb"/>
            <w:noWrap w:val="false"/>
          </w:tcPr>
          <w:p>
            <w:pPr>
              <w:pStyle w:val="1135"/>
              <w:jc w:val="both"/>
              <w:spacing w:before="40"/>
              <w:tabs>
                <w:tab w:val="left" w:pos="708" w:leader="none"/>
                <w:tab w:val="center" w:pos="4677" w:leader="none"/>
                <w:tab w:val="right" w:pos="9355" w:leader="none"/>
              </w:tabs>
              <w:rPr>
                <w:sz w:val="20"/>
                <w:szCs w:val="20"/>
                <w:lang w:eastAsia="en-US"/>
              </w:rPr>
            </w:pPr>
            <w:r>
              <w:rPr>
                <w:sz w:val="20"/>
                <w:szCs w:val="20"/>
              </w:rPr>
              <w:t xml:space="preserve">Комиссия взимается по ставке тарифа, действующей на дату начисления комиссии.</w:t>
            </w:r>
            <w:r>
              <w:rPr>
                <w:sz w:val="20"/>
                <w:szCs w:val="20"/>
                <w:lang w:eastAsia="en-US"/>
              </w:rPr>
            </w:r>
            <w:r>
              <w:rPr>
                <w:sz w:val="20"/>
                <w:szCs w:val="20"/>
                <w:lang w:eastAsia="en-US"/>
              </w:rPr>
            </w:r>
          </w:p>
          <w:p>
            <w:pPr>
              <w:pStyle w:val="1135"/>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ежемесячно в последний рабочий день месяца/в день закрытия счета, кроме месяца, в котором открыт счет</w:t>
            </w:r>
            <w:r>
              <w:rPr>
                <w:sz w:val="20"/>
                <w:szCs w:val="20"/>
                <w:lang w:eastAsia="en-US"/>
              </w:rPr>
              <w:t xml:space="preserve">.</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35"/>
              <w:jc w:val="both"/>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35"/>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при использовании клиентом системы дистанционного банковского обслуживания</w:t>
            </w:r>
            <w:r>
              <w:rPr>
                <w:sz w:val="20"/>
                <w:szCs w:val="20"/>
                <w:lang w:eastAsia="en-US"/>
              </w:rPr>
            </w:r>
            <w:r>
              <w:rPr>
                <w:sz w:val="20"/>
                <w:szCs w:val="20"/>
                <w:lang w:eastAsia="en-US"/>
              </w:rPr>
            </w:r>
          </w:p>
        </w:tc>
        <w:tc>
          <w:tcPr>
            <w:gridSpan w:val="2"/>
            <w:tcBorders>
              <w:top w:val="none" w:color="000000" w:sz="4" w:space="0"/>
              <w:left w:val="single" w:color="000000" w:sz="4" w:space="0"/>
              <w:bottom w:val="none" w:color="000000" w:sz="4" w:space="0"/>
              <w:right w:val="single" w:color="000000" w:sz="4" w:space="0"/>
            </w:tcBorders>
            <w:tcW w:w="2540" w:type="dxa"/>
            <w:vAlign w:val="top"/>
            <w:textDirection w:val="lrTb"/>
            <w:noWrap w:val="false"/>
          </w:tcPr>
          <w:p>
            <w:pPr>
              <w:pStyle w:val="1135"/>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800 руб. в месяц</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541" w:type="dxa"/>
            <w:vAlign w:val="top"/>
            <w:textDirection w:val="lrTb"/>
            <w:noWrap w:val="false"/>
          </w:tcPr>
          <w:p>
            <w:pPr>
              <w:pStyle w:val="1135"/>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Кроме месяца, в котором установлена система дистанционного банковского обслуживания.</w:t>
            </w:r>
            <w:r>
              <w:rPr>
                <w:sz w:val="20"/>
                <w:szCs w:val="20"/>
                <w:lang w:eastAsia="en-US"/>
              </w:rPr>
            </w:r>
            <w:r>
              <w:rPr>
                <w:sz w:val="20"/>
                <w:szCs w:val="20"/>
                <w:lang w:eastAsia="en-US"/>
              </w:rPr>
            </w:r>
          </w:p>
          <w:p>
            <w:pPr>
              <w:pStyle w:val="1135"/>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В случ</w:t>
            </w:r>
            <w:r>
              <w:rPr>
                <w:sz w:val="20"/>
                <w:szCs w:val="20"/>
                <w:lang w:eastAsia="en-US"/>
              </w:rPr>
              <w:t xml:space="preserve">ае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1.2.3 Тарифов в размере, пред</w:t>
            </w:r>
            <w:r>
              <w:rPr>
                <w:sz w:val="20"/>
                <w:szCs w:val="20"/>
                <w:lang w:eastAsia="en-US"/>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sz w:val="20"/>
                <w:szCs w:val="20"/>
                <w:lang w:eastAsia="en-US"/>
              </w:rPr>
            </w:r>
            <w:r>
              <w:rPr>
                <w:sz w:val="20"/>
                <w:szCs w:val="20"/>
                <w:lang w:eastAsia="en-US"/>
              </w:rPr>
            </w:r>
          </w:p>
          <w:p>
            <w:pPr>
              <w:pStyle w:val="1135"/>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В случае возобновления Банком использования Клиентом системы дистанционного банковского обслуживания «Свой бизнес» на</w:t>
            </w:r>
            <w:r>
              <w:rPr>
                <w:sz w:val="20"/>
                <w:szCs w:val="20"/>
                <w:lang w:eastAsia="en-US"/>
              </w:rPr>
              <w:t xml:space="preserve"> дату взимания комиссионного вознаграждения по п. 1.2.3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135"/>
              <w:jc w:val="both"/>
              <w:tabs>
                <w:tab w:val="left" w:pos="708" w:leader="none"/>
                <w:tab w:val="center" w:pos="4677" w:leader="none"/>
                <w:tab w:val="right" w:pos="9355" w:leader="none"/>
              </w:tabs>
              <w:rPr>
                <w:lang w:eastAsia="en-US"/>
              </w:rPr>
            </w:pPr>
            <w:r>
              <w:rPr>
                <w:lang w:eastAsia="en-US"/>
              </w:rPr>
            </w:r>
            <w:r>
              <w:rPr>
                <w:lang w:eastAsia="en-US"/>
              </w:rPr>
            </w:r>
            <w:r>
              <w:rPr>
                <w:lang w:eastAsia="en-US"/>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135"/>
              <w:jc w:val="both"/>
              <w:tabs>
                <w:tab w:val="left" w:pos="708" w:leader="none"/>
                <w:tab w:val="center" w:pos="4677" w:leader="none"/>
                <w:tab w:val="right" w:pos="9355" w:leader="none"/>
              </w:tabs>
              <w:rPr>
                <w:sz w:val="20"/>
                <w:szCs w:val="20"/>
                <w:lang w:eastAsia="en-US"/>
              </w:rPr>
            </w:pPr>
            <w:r>
              <w:rPr>
                <w:sz w:val="20"/>
                <w:szCs w:val="20"/>
                <w:lang w:eastAsia="en-US"/>
              </w:rPr>
              <w:t xml:space="preserve">- при отсутствии операций по счету в течение ка</w:t>
            </w:r>
            <w:r>
              <w:rPr>
                <w:sz w:val="20"/>
                <w:szCs w:val="20"/>
                <w:lang w:eastAsia="en-US"/>
              </w:rPr>
              <w:t xml:space="preserve">лендарного месяца, но не более 3</w:t>
            </w:r>
            <w:r>
              <w:rPr>
                <w:sz w:val="20"/>
                <w:szCs w:val="20"/>
                <w:lang w:eastAsia="en-US"/>
              </w:rPr>
              <w:t xml:space="preserve"> (</w:t>
            </w:r>
            <w:r>
              <w:rPr>
                <w:sz w:val="20"/>
                <w:szCs w:val="20"/>
                <w:lang w:eastAsia="en-US"/>
              </w:rPr>
              <w:t xml:space="preserve">трех</w:t>
            </w:r>
            <w:r>
              <w:rPr>
                <w:sz w:val="20"/>
                <w:szCs w:val="20"/>
                <w:lang w:eastAsia="en-US"/>
              </w:rPr>
              <w:t xml:space="preserve">) календарных месяцев подряд</w:t>
            </w:r>
            <w:r>
              <w:rPr>
                <w:sz w:val="20"/>
                <w:szCs w:val="20"/>
                <w:lang w:eastAsia="en-US"/>
              </w:rPr>
            </w:r>
            <w:r>
              <w:rPr>
                <w:sz w:val="20"/>
                <w:szCs w:val="20"/>
                <w:lang w:eastAsia="en-US"/>
              </w:rPr>
            </w:r>
          </w:p>
          <w:p>
            <w:pPr>
              <w:pStyle w:val="1135"/>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gridSpan w:val="2"/>
            <w:tcBorders>
              <w:top w:val="none" w:color="000000" w:sz="4" w:space="0"/>
              <w:left w:val="single" w:color="000000" w:sz="4" w:space="0"/>
              <w:bottom w:val="single" w:color="000000" w:sz="4" w:space="0"/>
              <w:right w:val="single" w:color="000000" w:sz="4" w:space="0"/>
            </w:tcBorders>
            <w:tcW w:w="2540" w:type="dxa"/>
            <w:vAlign w:val="top"/>
            <w:textDirection w:val="lrTb"/>
            <w:noWrap w:val="false"/>
          </w:tcPr>
          <w:p>
            <w:pPr>
              <w:pStyle w:val="1135"/>
              <w:jc w:val="center"/>
              <w:tabs>
                <w:tab w:val="left" w:pos="708" w:leader="none"/>
                <w:tab w:val="center" w:pos="4677" w:leader="none"/>
                <w:tab w:val="right" w:pos="9355" w:leader="none"/>
              </w:tabs>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tcBorders>
              <w:top w:val="none" w:color="000000" w:sz="4" w:space="0"/>
              <w:left w:val="single" w:color="000000" w:sz="4" w:space="0"/>
              <w:bottom w:val="single" w:color="000000" w:sz="4" w:space="0"/>
              <w:right w:val="single" w:color="000000" w:sz="4" w:space="0"/>
            </w:tcBorders>
            <w:tcW w:w="3541" w:type="dxa"/>
            <w:vAlign w:val="top"/>
            <w:textDirection w:val="lrTb"/>
            <w:noWrap w:val="false"/>
          </w:tcPr>
          <w:p>
            <w:pPr>
              <w:pStyle w:val="1135"/>
              <w:jc w:val="both"/>
              <w:tabs>
                <w:tab w:val="left" w:pos="708" w:leader="none"/>
                <w:tab w:val="center" w:pos="4677" w:leader="none"/>
                <w:tab w:val="right" w:pos="9355" w:leader="none"/>
              </w:tabs>
              <w:rPr>
                <w:sz w:val="20"/>
                <w:szCs w:val="20"/>
                <w:lang w:eastAsia="en-US"/>
              </w:rPr>
            </w:pPr>
            <w:r>
              <w:rPr>
                <w:sz w:val="20"/>
                <w:szCs w:val="20"/>
                <w:lang w:eastAsia="en-US"/>
              </w:rPr>
              <w:t xml:space="preserve">Не признаются операциями по счету:</w:t>
            </w:r>
            <w:r>
              <w:rPr>
                <w:sz w:val="20"/>
                <w:szCs w:val="20"/>
                <w:lang w:eastAsia="en-US"/>
              </w:rPr>
            </w:r>
            <w:r>
              <w:rPr>
                <w:sz w:val="20"/>
                <w:szCs w:val="20"/>
                <w:lang w:eastAsia="en-US"/>
              </w:rPr>
            </w:r>
          </w:p>
          <w:p>
            <w:pPr>
              <w:pStyle w:val="1135"/>
              <w:jc w:val="both"/>
              <w:tabs>
                <w:tab w:val="left" w:pos="708" w:leader="none"/>
                <w:tab w:val="center" w:pos="4677" w:leader="none"/>
                <w:tab w:val="right" w:pos="9355" w:leader="none"/>
              </w:tabs>
              <w:rPr>
                <w:sz w:val="20"/>
                <w:szCs w:val="20"/>
                <w:lang w:eastAsia="en-US"/>
              </w:rPr>
            </w:pPr>
            <w:r>
              <w:rPr>
                <w:sz w:val="20"/>
                <w:szCs w:val="20"/>
                <w:lang w:eastAsia="en-US"/>
              </w:rPr>
              <w:t xml:space="preserve">- причисление процентов к счету;</w:t>
            </w:r>
            <w:r>
              <w:rPr>
                <w:sz w:val="20"/>
                <w:szCs w:val="20"/>
                <w:lang w:eastAsia="en-US"/>
              </w:rPr>
            </w:r>
            <w:r>
              <w:rPr>
                <w:sz w:val="20"/>
                <w:szCs w:val="20"/>
                <w:lang w:eastAsia="en-US"/>
              </w:rPr>
            </w:r>
          </w:p>
          <w:p>
            <w:pPr>
              <w:pStyle w:val="1135"/>
              <w:jc w:val="both"/>
              <w:tabs>
                <w:tab w:val="left" w:pos="708" w:leader="none"/>
                <w:tab w:val="center" w:pos="4677" w:leader="none"/>
                <w:tab w:val="right" w:pos="9355" w:leader="none"/>
              </w:tabs>
              <w:rPr>
                <w:sz w:val="20"/>
                <w:szCs w:val="20"/>
                <w:lang w:eastAsia="en-US"/>
              </w:rPr>
            </w:pPr>
            <w:r>
              <w:rPr>
                <w:sz w:val="20"/>
                <w:szCs w:val="20"/>
                <w:lang w:eastAsia="en-US"/>
              </w:rPr>
              <w:t xml:space="preserve">- взимание комиссий Банка; </w:t>
            </w:r>
            <w:r>
              <w:rPr>
                <w:sz w:val="20"/>
                <w:szCs w:val="20"/>
                <w:lang w:eastAsia="en-US"/>
              </w:rPr>
            </w:r>
            <w:r>
              <w:rPr>
                <w:sz w:val="20"/>
                <w:szCs w:val="20"/>
                <w:lang w:eastAsia="en-US"/>
              </w:rPr>
            </w:r>
          </w:p>
          <w:p>
            <w:pPr>
              <w:pStyle w:val="1135"/>
              <w:jc w:val="both"/>
              <w:tabs>
                <w:tab w:val="left" w:pos="708" w:leader="none"/>
                <w:tab w:val="center" w:pos="4677" w:leader="none"/>
                <w:tab w:val="right" w:pos="9355" w:leader="none"/>
              </w:tabs>
              <w:rPr>
                <w:sz w:val="20"/>
                <w:szCs w:val="20"/>
                <w:highlight w:val="none"/>
                <w:lang w:eastAsia="en-US"/>
              </w:rPr>
            </w:pPr>
            <w:r>
              <w:rPr>
                <w:sz w:val="20"/>
                <w:szCs w:val="20"/>
                <w:lang w:eastAsia="en-US"/>
              </w:rPr>
              <w:t xml:space="preserve">- зачисление/списание со счета ошибочно зачисленных Банком денежных средств;</w:t>
            </w:r>
            <w:r>
              <w:rPr>
                <w:sz w:val="20"/>
                <w:szCs w:val="20"/>
                <w:highlight w:val="none"/>
                <w:lang w:eastAsia="en-US"/>
              </w:rPr>
            </w:r>
            <w:r>
              <w:rPr>
                <w:sz w:val="20"/>
                <w:szCs w:val="20"/>
                <w:highlight w:val="none"/>
                <w:lang w:eastAsia="en-US"/>
              </w:rPr>
            </w:r>
          </w:p>
          <w:p>
            <w:pPr>
              <w:jc w:val="both"/>
              <w:tabs>
                <w:tab w:val="left" w:pos="708" w:leader="none"/>
                <w:tab w:val="center" w:pos="4677" w:leader="none"/>
                <w:tab w:val="right" w:pos="9355" w:leader="none"/>
              </w:tabs>
              <w:rPr>
                <w:sz w:val="20"/>
                <w:szCs w:val="20"/>
                <w:lang w:eastAsia="en-US"/>
              </w:rPr>
            </w:pPr>
            <w:r>
              <w:rPr>
                <w:sz w:val="20"/>
                <w:szCs w:val="20"/>
                <w:highlight w:val="none"/>
                <w:lang w:eastAsia="en-US"/>
              </w:rPr>
            </w:r>
            <w:r>
              <w:rPr>
                <w:rFonts w:ascii="Times New Roman" w:hAnsi="Times New Roman"/>
                <w:sz w:val="20"/>
                <w:szCs w:val="20"/>
              </w:rPr>
              <w:t xml:space="preserve">-</w:t>
            </w:r>
            <w:r>
              <w:rPr>
                <w:rFonts w:ascii="Times New Roman" w:hAnsi="Times New Roman"/>
                <w:sz w:val="20"/>
                <w:szCs w:val="20"/>
              </w:rPr>
              <w:t xml:space="preserve"> </w:t>
            </w:r>
            <w:r>
              <w:rPr>
                <w:rFonts w:ascii="Times New Roman" w:hAnsi="Times New Roman"/>
                <w:sz w:val="20"/>
                <w:szCs w:val="20"/>
              </w:rPr>
              <w:t xml:space="preserve">зачисление</w:t>
            </w:r>
            <w:r>
              <w:rPr>
                <w:rFonts w:ascii="Times New Roman" w:hAnsi="Times New Roman"/>
                <w:sz w:val="20"/>
                <w:szCs w:val="20"/>
              </w:rPr>
              <w:t xml:space="preserve"> денежных</w:t>
            </w:r>
            <w:r>
              <w:rPr>
                <w:rFonts w:ascii="Times New Roman" w:hAnsi="Times New Roman"/>
                <w:sz w:val="20"/>
                <w:szCs w:val="20"/>
              </w:rPr>
              <w:t xml:space="preserve"> средств </w:t>
            </w:r>
            <w:r>
              <w:rPr>
                <w:rFonts w:ascii="Times New Roman" w:hAnsi="Times New Roman"/>
                <w:sz w:val="20"/>
                <w:szCs w:val="20"/>
              </w:rPr>
              <w:t xml:space="preserve">с целью</w:t>
            </w:r>
            <w:r>
              <w:rPr>
                <w:rFonts w:ascii="Times New Roman" w:hAnsi="Times New Roman"/>
                <w:sz w:val="20"/>
                <w:szCs w:val="20"/>
              </w:rPr>
              <w:t xml:space="preserve"> погашения деб</w:t>
            </w:r>
            <w:r>
              <w:rPr>
                <w:rFonts w:ascii="Times New Roman" w:hAnsi="Times New Roman"/>
                <w:sz w:val="20"/>
                <w:szCs w:val="20"/>
              </w:rPr>
              <w:t xml:space="preserve">и</w:t>
            </w:r>
            <w:r>
              <w:rPr>
                <w:rFonts w:ascii="Times New Roman" w:hAnsi="Times New Roman"/>
                <w:sz w:val="20"/>
                <w:szCs w:val="20"/>
              </w:rPr>
              <w:t xml:space="preserve">торской задолженности по оплате комиссий перед Банком</w:t>
            </w:r>
            <w:r>
              <w:rPr>
                <w:rFonts w:ascii="Times New Roman" w:hAnsi="Times New Roman"/>
                <w:sz w:val="20"/>
                <w:szCs w:val="20"/>
                <w:highlight w:val="none"/>
                <w14:ligatures w14:val="none"/>
              </w:rPr>
              <w:t xml:space="preserve"> </w:t>
            </w:r>
            <w:r>
              <w:rPr>
                <w:rFonts w:ascii="Times New Roman" w:hAnsi="Times New Roman"/>
                <w:sz w:val="20"/>
                <w:szCs w:val="20"/>
              </w:rPr>
              <w:t xml:space="preserve">(применяется, если в поле «Назначение платежа» </w:t>
            </w:r>
            <w:r>
              <w:rPr>
                <w:rFonts w:ascii="Times New Roman" w:hAnsi="Times New Roman"/>
                <w:sz w:val="20"/>
                <w:szCs w:val="20"/>
              </w:rPr>
              <w:t xml:space="preserve">расчетного документа/в объявлении на взнос наличными </w:t>
            </w:r>
            <w:r>
              <w:rPr>
                <w:rFonts w:ascii="Times New Roman" w:hAnsi="Times New Roman"/>
                <w:sz w:val="20"/>
                <w:szCs w:val="20"/>
              </w:rPr>
              <w:t xml:space="preserve">указывается четкая информация о цели </w:t>
            </w:r>
            <w:r>
              <w:rPr>
                <w:rFonts w:ascii="Times New Roman" w:hAnsi="Times New Roman"/>
                <w:sz w:val="20"/>
                <w:szCs w:val="20"/>
              </w:rPr>
              <w:t xml:space="preserve">пополнения </w:t>
            </w:r>
            <w:r>
              <w:rPr>
                <w:rFonts w:ascii="Times New Roman" w:hAnsi="Times New Roman"/>
                <w:sz w:val="20"/>
                <w:szCs w:val="20"/>
              </w:rPr>
              <w:t xml:space="preserve">с</w:t>
            </w:r>
            <w:r>
              <w:rPr>
                <w:rFonts w:ascii="Times New Roman" w:hAnsi="Times New Roman"/>
                <w:sz w:val="20"/>
                <w:szCs w:val="20"/>
              </w:rPr>
              <w:t xml:space="preserve">чета </w:t>
            </w:r>
            <w:r>
              <w:rPr>
                <w:rFonts w:ascii="Times New Roman" w:hAnsi="Times New Roman"/>
                <w:sz w:val="20"/>
                <w:szCs w:val="20"/>
              </w:rPr>
              <w:t xml:space="preserve">(для погашения дебиторской задолженности по оплате комиссии перед Банком))</w:t>
            </w:r>
            <w:r>
              <w:rPr>
                <w:rFonts w:ascii="Times New Roman" w:hAnsi="Times New Roman"/>
                <w:sz w:val="20"/>
                <w:szCs w:val="20"/>
              </w:rPr>
              <w:t xml:space="preserve">.</w:t>
            </w:r>
            <w:r>
              <w:rPr>
                <w:sz w:val="20"/>
                <w:szCs w:val="20"/>
                <w:lang w:eastAsia="en-US"/>
              </w:rPr>
            </w:r>
            <w:r>
              <w:rPr>
                <w:sz w:val="20"/>
                <w:szCs w:val="20"/>
                <w:lang w:eastAsia="en-US"/>
              </w:rPr>
            </w:r>
          </w:p>
          <w:p>
            <w:pPr>
              <w:pStyle w:val="1135"/>
              <w:jc w:val="both"/>
              <w:tabs>
                <w:tab w:val="left" w:pos="708" w:leader="none"/>
                <w:tab w:val="center" w:pos="4677" w:leader="none"/>
                <w:tab w:val="right" w:pos="9355" w:leader="none"/>
              </w:tabs>
              <w:rPr>
                <w:sz w:val="20"/>
                <w:szCs w:val="20"/>
                <w:lang w:eastAsia="en-US"/>
              </w:rPr>
            </w:pPr>
            <w:r>
              <w:rPr>
                <w:sz w:val="20"/>
                <w:szCs w:val="20"/>
                <w:lang w:eastAsia="en-US"/>
              </w:rPr>
              <w:t xml:space="preserve">Перечисление/выдача остатка денежных средств при закрытии счета признается операцией по счету.</w:t>
            </w:r>
            <w:r>
              <w:rPr>
                <w:sz w:val="20"/>
                <w:szCs w:val="20"/>
                <w:lang w:eastAsia="en-US"/>
              </w:rPr>
            </w:r>
            <w:r>
              <w:rPr>
                <w:sz w:val="20"/>
                <w:szCs w:val="20"/>
                <w:lang w:eastAsia="en-US"/>
              </w:rPr>
            </w:r>
          </w:p>
          <w:p>
            <w:pPr>
              <w:pStyle w:val="1135"/>
              <w:jc w:val="both"/>
              <w:tabs>
                <w:tab w:val="left" w:pos="708" w:leader="none"/>
                <w:tab w:val="center" w:pos="4677" w:leader="none"/>
                <w:tab w:val="right" w:pos="9355" w:leader="none"/>
              </w:tabs>
              <w:rPr>
                <w:sz w:val="20"/>
                <w:szCs w:val="20"/>
                <w:lang w:eastAsia="en-US"/>
              </w:rPr>
            </w:pPr>
            <w:r>
              <w:rPr>
                <w:sz w:val="20"/>
                <w:szCs w:val="20"/>
                <w:lang w:eastAsia="en-US"/>
              </w:rPr>
              <w:t xml:space="preserve">Начиная с 4</w:t>
            </w:r>
            <w:r>
              <w:rPr>
                <w:sz w:val="20"/>
                <w:szCs w:val="20"/>
                <w:lang w:eastAsia="en-US"/>
              </w:rPr>
              <w:t xml:space="preserve"> (</w:t>
            </w:r>
            <w:r>
              <w:rPr>
                <w:sz w:val="20"/>
                <w:szCs w:val="20"/>
                <w:lang w:eastAsia="en-US"/>
              </w:rPr>
              <w:t xml:space="preserve">четвертого</w:t>
            </w:r>
            <w:r>
              <w:rPr>
                <w:sz w:val="20"/>
                <w:szCs w:val="20"/>
                <w:lang w:eastAsia="en-US"/>
              </w:rPr>
              <w:t xml:space="preserve">) календарного месяца при отсутствии операций по счету комиссия взимается в установлен</w:t>
            </w:r>
            <w:r>
              <w:rPr>
                <w:sz w:val="20"/>
                <w:szCs w:val="20"/>
                <w:lang w:eastAsia="en-US"/>
              </w:rPr>
              <w:t xml:space="preserve">ном размере согласно п. 1.2.3, но 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w:t>
            </w:r>
            <w:r>
              <w:rPr>
                <w:sz w:val="20"/>
                <w:szCs w:val="20"/>
                <w:lang w:eastAsia="en-US"/>
              </w:rPr>
              <w:t xml:space="preserve">ие денежными средствами по счету.</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35"/>
              <w:jc w:val="both"/>
              <w:tabs>
                <w:tab w:val="left" w:pos="708" w:leader="none"/>
                <w:tab w:val="center" w:pos="4677" w:leader="none"/>
                <w:tab w:val="right" w:pos="9355" w:leader="none"/>
              </w:tabs>
              <w:rPr>
                <w:sz w:val="20"/>
                <w:szCs w:val="20"/>
                <w:lang w:eastAsia="en-US"/>
              </w:rPr>
            </w:pPr>
            <w:r>
              <w:rPr>
                <w:sz w:val="20"/>
                <w:szCs w:val="20"/>
                <w:lang w:eastAsia="en-US"/>
              </w:rPr>
              <w:t xml:space="preserve">1.2.3.1</w:t>
            </w:r>
            <w:r>
              <w:rPr>
                <w:sz w:val="20"/>
                <w:szCs w:val="20"/>
                <w:lang w:eastAsia="en-US"/>
              </w:rPr>
            </w:r>
            <w:r>
              <w:rPr>
                <w:sz w:val="20"/>
                <w:szCs w:val="20"/>
                <w:lang w:eastAsia="en-US"/>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135"/>
              <w:jc w:val="both"/>
              <w:tabs>
                <w:tab w:val="left" w:pos="708" w:leader="none"/>
                <w:tab w:val="center" w:pos="4677" w:leader="none"/>
                <w:tab w:val="right" w:pos="9355" w:leader="none"/>
              </w:tabs>
              <w:rPr>
                <w:sz w:val="20"/>
                <w:szCs w:val="20"/>
                <w:lang w:eastAsia="en-US"/>
              </w:rPr>
            </w:pPr>
            <w:r>
              <w:rPr>
                <w:sz w:val="20"/>
                <w:szCs w:val="20"/>
              </w:rPr>
              <w:t xml:space="preserve">Ведение счета в евро</w:t>
            </w:r>
            <w:r>
              <w:rPr>
                <w:sz w:val="20"/>
                <w:szCs w:val="20"/>
                <w:lang w:eastAsia="en-US"/>
              </w:rPr>
              <w:t xml:space="preserve">:</w:t>
            </w:r>
            <w:r>
              <w:rPr>
                <w:sz w:val="20"/>
                <w:szCs w:val="20"/>
                <w:lang w:eastAsia="en-US"/>
              </w:rPr>
            </w:r>
            <w:r>
              <w:rPr>
                <w:sz w:val="20"/>
                <w:szCs w:val="20"/>
                <w:lang w:eastAsia="en-US"/>
              </w:rPr>
            </w:r>
          </w:p>
        </w:tc>
        <w:tc>
          <w:tcPr>
            <w:gridSpan w:val="2"/>
            <w:tcBorders>
              <w:top w:val="single" w:color="000000" w:sz="4" w:space="0"/>
              <w:left w:val="single" w:color="000000" w:sz="4" w:space="0"/>
              <w:bottom w:val="none" w:color="000000" w:sz="4" w:space="0"/>
              <w:right w:val="single" w:color="000000" w:sz="4" w:space="0"/>
            </w:tcBorders>
            <w:tcW w:w="2540" w:type="dxa"/>
            <w:vAlign w:val="top"/>
            <w:textDirection w:val="lrTb"/>
            <w:noWrap w:val="false"/>
          </w:tcPr>
          <w:p>
            <w:pPr>
              <w:pStyle w:val="1135"/>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single" w:color="000000" w:sz="4" w:space="0"/>
              <w:left w:val="single" w:color="000000" w:sz="4" w:space="0"/>
              <w:right w:val="single" w:color="000000" w:sz="4" w:space="0"/>
            </w:tcBorders>
            <w:tcW w:w="3541" w:type="dxa"/>
            <w:vAlign w:val="top"/>
            <w:vMerge w:val="restart"/>
            <w:textDirection w:val="lrTb"/>
            <w:noWrap w:val="false"/>
          </w:tcPr>
          <w:p>
            <w:pPr>
              <w:pStyle w:val="1135"/>
              <w:jc w:val="both"/>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с расчетного счета в евро.</w:t>
            </w:r>
            <w:r>
              <w:rPr>
                <w:sz w:val="20"/>
                <w:szCs w:val="20"/>
                <w:lang w:eastAsia="en-US"/>
              </w:rPr>
            </w:r>
            <w:r>
              <w:rPr>
                <w:sz w:val="20"/>
                <w:szCs w:val="20"/>
                <w:lang w:eastAsia="en-US"/>
              </w:rPr>
            </w:r>
          </w:p>
          <w:p>
            <w:pPr>
              <w:pStyle w:val="1135"/>
              <w:jc w:val="both"/>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ежемесячно в последний рабочий день месяца/в день закрытия счета, включая месяц, в котором открыт счет.</w:t>
            </w:r>
            <w:r>
              <w:rPr>
                <w:sz w:val="20"/>
                <w:szCs w:val="20"/>
                <w:lang w:eastAsia="en-US"/>
              </w:rPr>
            </w:r>
            <w:r>
              <w:rPr>
                <w:sz w:val="20"/>
                <w:szCs w:val="20"/>
                <w:lang w:eastAsia="en-US"/>
              </w:rPr>
            </w:r>
          </w:p>
          <w:p>
            <w:pPr>
              <w:pStyle w:val="1135"/>
              <w:jc w:val="both"/>
              <w:tabs>
                <w:tab w:val="left" w:pos="708" w:leader="none"/>
                <w:tab w:val="center" w:pos="4677" w:leader="none"/>
                <w:tab w:val="right" w:pos="9355" w:leader="none"/>
              </w:tabs>
              <w:rPr>
                <w:sz w:val="20"/>
                <w:szCs w:val="20"/>
              </w:rPr>
            </w:pPr>
            <w:r>
              <w:rPr>
                <w:sz w:val="20"/>
                <w:szCs w:val="20"/>
              </w:rPr>
              <w:t xml:space="preserve">При отсутствии на расчетн</w:t>
            </w:r>
            <w:r>
              <w:rPr>
                <w:sz w:val="20"/>
                <w:szCs w:val="20"/>
              </w:rPr>
              <w:t xml:space="preserve">ом счете в евро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r>
              <w:rPr>
                <w:sz w:val="20"/>
                <w:szCs w:val="20"/>
              </w:rPr>
            </w:r>
            <w:r>
              <w:rPr>
                <w:sz w:val="20"/>
                <w:szCs w:val="20"/>
              </w:rPr>
            </w:r>
          </w:p>
          <w:p>
            <w:pPr>
              <w:pStyle w:val="1135"/>
              <w:jc w:val="both"/>
              <w:tabs>
                <w:tab w:val="left" w:pos="708" w:leader="none"/>
                <w:tab w:val="center" w:pos="4677" w:leader="none"/>
                <w:tab w:val="right" w:pos="9355" w:leader="none"/>
              </w:tabs>
              <w:rPr>
                <w:sz w:val="20"/>
                <w:szCs w:val="20"/>
              </w:rPr>
            </w:pPr>
            <w:r>
              <w:rPr>
                <w:sz w:val="20"/>
                <w:szCs w:val="20"/>
                <w:lang w:eastAsia="en-US"/>
              </w:rPr>
              <w:t xml:space="preserve">При расчете совокупного среднедневного остатка учитываются остатки на расчетном счете в евро и соответствующем ему транзитном счете.</w:t>
            </w:r>
            <w:r>
              <w:rPr>
                <w:sz w:val="20"/>
                <w:szCs w:val="20"/>
              </w:rPr>
            </w:r>
            <w:r>
              <w:rPr>
                <w:sz w:val="20"/>
                <w:szCs w:val="20"/>
              </w:rPr>
            </w:r>
          </w:p>
          <w:p>
            <w:pPr>
              <w:pStyle w:val="1135"/>
              <w:jc w:val="both"/>
              <w:tabs>
                <w:tab w:val="left" w:pos="708" w:leader="none"/>
                <w:tab w:val="center" w:pos="4677" w:leader="none"/>
                <w:tab w:val="right" w:pos="9355" w:leader="none"/>
              </w:tabs>
              <w:rPr>
                <w:sz w:val="20"/>
                <w:szCs w:val="20"/>
                <w:lang w:eastAsia="en-US"/>
              </w:rPr>
            </w:pPr>
            <w:r>
              <w:rPr>
                <w:sz w:val="20"/>
                <w:szCs w:val="20"/>
                <w:lang w:eastAsia="en-US"/>
              </w:rPr>
              <w:t xml:space="preserve">Совокупный среднедневной остаток рассчитывается как отношение суммы остатков денежных средств на расчетном и транзитном счетах Клиента в евро на начало каждого календарного дня в течение расчетного месяца к количеству</w:t>
            </w:r>
            <w:r>
              <w:rPr>
                <w:sz w:val="20"/>
                <w:szCs w:val="20"/>
                <w:lang w:eastAsia="en-US"/>
              </w:rPr>
              <w:t xml:space="preserve">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w:t>
            </w:r>
            <w:r>
              <w:rPr>
                <w:sz w:val="20"/>
                <w:szCs w:val="20"/>
                <w:lang w:eastAsia="en-US"/>
              </w:rPr>
              <w:t xml:space="preserve">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35"/>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35"/>
              <w:jc w:val="both"/>
              <w:tabs>
                <w:tab w:val="left" w:pos="708" w:leader="none"/>
                <w:tab w:val="center" w:pos="4677" w:leader="none"/>
                <w:tab w:val="right" w:pos="9355" w:leader="none"/>
              </w:tabs>
              <w:rPr>
                <w:sz w:val="20"/>
                <w:szCs w:val="20"/>
                <w:lang w:eastAsia="en-US"/>
              </w:rPr>
            </w:pPr>
            <w:r>
              <w:rPr>
                <w:sz w:val="20"/>
                <w:szCs w:val="20"/>
                <w:lang w:eastAsia="en-US"/>
              </w:rPr>
              <w:t xml:space="preserve">- при совокупном среднедневном остатке до 100 000 евро (включительно)</w:t>
            </w:r>
            <w:r>
              <w:rPr>
                <w:sz w:val="20"/>
                <w:szCs w:val="20"/>
                <w:lang w:eastAsia="en-US"/>
              </w:rPr>
            </w:r>
            <w:r>
              <w:rPr>
                <w:sz w:val="20"/>
                <w:szCs w:val="20"/>
                <w:lang w:eastAsia="en-US"/>
              </w:rPr>
            </w:r>
          </w:p>
        </w:tc>
        <w:tc>
          <w:tcPr>
            <w:gridSpan w:val="2"/>
            <w:tcBorders>
              <w:top w:val="none" w:color="000000" w:sz="4" w:space="0"/>
              <w:left w:val="single" w:color="000000" w:sz="4" w:space="0"/>
              <w:bottom w:val="none" w:color="000000" w:sz="4" w:space="0"/>
              <w:right w:val="single" w:color="000000" w:sz="4" w:space="0"/>
            </w:tcBorders>
            <w:tcW w:w="2540" w:type="dxa"/>
            <w:vAlign w:val="top"/>
            <w:textDirection w:val="lrTb"/>
            <w:noWrap w:val="false"/>
          </w:tcPr>
          <w:p>
            <w:pPr>
              <w:pStyle w:val="1135"/>
              <w:jc w:val="center"/>
              <w:tabs>
                <w:tab w:val="left" w:pos="708" w:leader="none"/>
                <w:tab w:val="center" w:pos="4677" w:leader="none"/>
                <w:tab w:val="right" w:pos="9355" w:leader="none"/>
              </w:tabs>
              <w:rPr>
                <w:sz w:val="20"/>
                <w:szCs w:val="20"/>
                <w:lang w:eastAsia="en-US"/>
              </w:rPr>
            </w:pPr>
            <w:r>
              <w:rPr>
                <w:sz w:val="20"/>
                <w:szCs w:val="20"/>
                <w:lang w:eastAsia="en-US"/>
              </w:rPr>
              <w:t xml:space="preserve">275</w:t>
            </w:r>
            <w:r>
              <w:rPr>
                <w:sz w:val="20"/>
                <w:szCs w:val="20"/>
                <w:lang w:eastAsia="en-US"/>
              </w:rPr>
              <w:t xml:space="preserve">0 руб. в месяц</w:t>
            </w:r>
            <w:r>
              <w:rPr>
                <w:sz w:val="20"/>
                <w:szCs w:val="20"/>
                <w:lang w:eastAsia="en-US"/>
              </w:rPr>
            </w:r>
            <w:r>
              <w:rPr>
                <w:sz w:val="20"/>
                <w:szCs w:val="20"/>
                <w:lang w:eastAsia="en-US"/>
              </w:rPr>
            </w:r>
          </w:p>
        </w:tc>
        <w:tc>
          <w:tcPr>
            <w:tcBorders>
              <w:left w:val="single" w:color="000000" w:sz="4" w:space="0"/>
              <w:bottom w:val="none" w:color="000000" w:sz="4" w:space="0"/>
              <w:right w:val="single" w:color="000000" w:sz="4" w:space="0"/>
            </w:tcBorders>
            <w:tcW w:w="3541" w:type="dxa"/>
            <w:vAlign w:val="top"/>
            <w:vMerge w:val="continue"/>
            <w:textDirection w:val="lrTb"/>
            <w:noWrap w:val="false"/>
          </w:tcPr>
          <w:p>
            <w:pPr>
              <w:pStyle w:val="1135"/>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35"/>
              <w:jc w:val="both"/>
              <w:tabs>
                <w:tab w:val="left" w:pos="708" w:leader="none"/>
                <w:tab w:val="center" w:pos="4677" w:leader="none"/>
                <w:tab w:val="right" w:pos="9355" w:leader="none"/>
              </w:tabs>
              <w:rPr>
                <w:lang w:eastAsia="en-US"/>
              </w:rPr>
            </w:pPr>
            <w:r>
              <w:rPr>
                <w:lang w:eastAsia="en-US"/>
              </w:rPr>
            </w:r>
            <w:r>
              <w:rPr>
                <w:lang w:eastAsia="en-US"/>
              </w:rPr>
            </w:r>
            <w:r>
              <w:rPr>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35"/>
              <w:jc w:val="both"/>
              <w:tabs>
                <w:tab w:val="left" w:pos="708" w:leader="none"/>
                <w:tab w:val="center" w:pos="4677" w:leader="none"/>
                <w:tab w:val="right" w:pos="9355" w:leader="none"/>
              </w:tabs>
              <w:rPr>
                <w:sz w:val="20"/>
                <w:szCs w:val="20"/>
                <w:lang w:eastAsia="en-US"/>
              </w:rPr>
            </w:pPr>
            <w:r>
              <w:rPr>
                <w:sz w:val="20"/>
                <w:szCs w:val="20"/>
                <w:lang w:eastAsia="en-US"/>
              </w:rPr>
              <w:t xml:space="preserve">- при совокупном среднедневном остатке до 100 000 евро (включительно) и при условии использования клиентом системы дистанционного банковского обслуживания</w:t>
            </w:r>
            <w:r>
              <w:rPr>
                <w:sz w:val="20"/>
                <w:szCs w:val="20"/>
                <w:lang w:eastAsia="en-US"/>
              </w:rPr>
            </w:r>
            <w:r>
              <w:rPr>
                <w:sz w:val="20"/>
                <w:szCs w:val="20"/>
                <w:lang w:eastAsia="en-US"/>
              </w:rPr>
            </w:r>
          </w:p>
        </w:tc>
        <w:tc>
          <w:tcPr>
            <w:gridSpan w:val="2"/>
            <w:tcBorders>
              <w:top w:val="none" w:color="000000" w:sz="4" w:space="0"/>
              <w:left w:val="single" w:color="000000" w:sz="4" w:space="0"/>
              <w:bottom w:val="none" w:color="000000" w:sz="4" w:space="0"/>
              <w:right w:val="single" w:color="000000" w:sz="4" w:space="0"/>
            </w:tcBorders>
            <w:tcW w:w="2540" w:type="dxa"/>
            <w:vAlign w:val="top"/>
            <w:textDirection w:val="lrTb"/>
            <w:noWrap w:val="false"/>
          </w:tcPr>
          <w:p>
            <w:pPr>
              <w:pStyle w:val="1135"/>
              <w:jc w:val="center"/>
              <w:tabs>
                <w:tab w:val="left" w:pos="708" w:leader="none"/>
                <w:tab w:val="center" w:pos="4677" w:leader="none"/>
                <w:tab w:val="right" w:pos="9355" w:leader="none"/>
              </w:tabs>
              <w:rPr>
                <w:sz w:val="20"/>
                <w:szCs w:val="20"/>
                <w:lang w:eastAsia="en-US"/>
              </w:rPr>
            </w:pPr>
            <w:r>
              <w:rPr>
                <w:sz w:val="20"/>
                <w:szCs w:val="20"/>
              </w:rPr>
              <w:t xml:space="preserve">9</w:t>
            </w:r>
            <w:r>
              <w:rPr>
                <w:sz w:val="20"/>
                <w:szCs w:val="20"/>
              </w:rPr>
              <w:t xml:space="preserve">00 руб. в месяц</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541" w:type="dxa"/>
            <w:vAlign w:val="top"/>
            <w:textDirection w:val="lrTb"/>
            <w:noWrap w:val="false"/>
          </w:tcPr>
          <w:p>
            <w:pPr>
              <w:pStyle w:val="1135"/>
              <w:jc w:val="both"/>
              <w:tabs>
                <w:tab w:val="left" w:pos="708" w:leader="none"/>
                <w:tab w:val="center" w:pos="4677" w:leader="none"/>
                <w:tab w:val="right" w:pos="9355" w:leader="none"/>
              </w:tabs>
              <w:rPr>
                <w:sz w:val="20"/>
                <w:szCs w:val="20"/>
                <w:lang w:eastAsia="en-US"/>
              </w:rPr>
            </w:pPr>
            <w:r>
              <w:rPr>
                <w:sz w:val="20"/>
                <w:szCs w:val="20"/>
                <w:lang w:eastAsia="en-US"/>
              </w:rPr>
              <w:t xml:space="preserve">Кроме месяца, в котором установлена система дистанционного банковского обслуживания.</w:t>
            </w:r>
            <w:r>
              <w:rPr>
                <w:sz w:val="20"/>
                <w:szCs w:val="20"/>
                <w:lang w:eastAsia="en-US"/>
              </w:rPr>
            </w:r>
            <w:r>
              <w:rPr>
                <w:sz w:val="20"/>
                <w:szCs w:val="20"/>
                <w:lang w:eastAsia="en-US"/>
              </w:rPr>
            </w:r>
          </w:p>
          <w:p>
            <w:pPr>
              <w:pStyle w:val="1135"/>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В случае</w:t>
            </w:r>
            <w:r>
              <w:rPr>
                <w:sz w:val="20"/>
                <w:szCs w:val="20"/>
                <w:lang w:eastAsia="en-US"/>
              </w:rPr>
              <w:t xml:space="preserve">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1.2.3.1 Тарифов в размере, пред</w:t>
            </w:r>
            <w:r>
              <w:rPr>
                <w:sz w:val="20"/>
                <w:szCs w:val="20"/>
                <w:lang w:eastAsia="en-US"/>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sz w:val="20"/>
                <w:szCs w:val="20"/>
                <w:lang w:eastAsia="en-US"/>
              </w:rPr>
            </w:r>
            <w:r>
              <w:rPr>
                <w:sz w:val="20"/>
                <w:szCs w:val="20"/>
                <w:lang w:eastAsia="en-US"/>
              </w:rPr>
            </w:r>
          </w:p>
          <w:p>
            <w:pPr>
              <w:pStyle w:val="1135"/>
              <w:jc w:val="both"/>
              <w:tabs>
                <w:tab w:val="left" w:pos="708" w:leader="none"/>
                <w:tab w:val="center" w:pos="4677" w:leader="none"/>
                <w:tab w:val="right" w:pos="9355" w:leader="none"/>
              </w:tabs>
              <w:rPr>
                <w:sz w:val="20"/>
                <w:szCs w:val="20"/>
                <w:lang w:eastAsia="en-US"/>
              </w:rPr>
            </w:pPr>
            <w:r>
              <w:rPr>
                <w:sz w:val="20"/>
                <w:szCs w:val="20"/>
                <w:lang w:eastAsia="en-US"/>
              </w:rPr>
              <w:t xml:space="preserve">В случае возобновления Банком использования Клиентом системы дистанционного банковского</w:t>
            </w:r>
            <w:r>
              <w:rPr>
                <w:sz w:val="20"/>
                <w:szCs w:val="20"/>
                <w:lang w:eastAsia="en-US"/>
              </w:rPr>
              <w:t xml:space="preserve"> обслуживания «Свой бизнес» на дату взимания комиссионного вознаграждения по п. 1.2.3.1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w:t>
            </w:r>
            <w:r>
              <w:rPr>
                <w:sz w:val="20"/>
                <w:szCs w:val="20"/>
                <w:lang w:eastAsia="en-US"/>
              </w:rPr>
              <w:t xml:space="preserve">висимости от даты возобновления</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135"/>
              <w:jc w:val="both"/>
              <w:tabs>
                <w:tab w:val="left" w:pos="708" w:leader="none"/>
                <w:tab w:val="center" w:pos="4677" w:leader="none"/>
                <w:tab w:val="right" w:pos="9355" w:leader="none"/>
              </w:tabs>
              <w:rPr>
                <w:lang w:eastAsia="en-US"/>
              </w:rPr>
            </w:pPr>
            <w:r>
              <w:rPr>
                <w:lang w:eastAsia="en-US"/>
              </w:rPr>
            </w:r>
            <w:r>
              <w:rPr>
                <w:lang w:eastAsia="en-US"/>
              </w:rPr>
            </w:r>
            <w:r>
              <w:rPr>
                <w:lang w:eastAsia="en-US"/>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135"/>
              <w:jc w:val="both"/>
              <w:spacing w:before="40"/>
              <w:tabs>
                <w:tab w:val="left" w:pos="708" w:leader="none"/>
                <w:tab w:val="center" w:pos="4677" w:leader="none"/>
                <w:tab w:val="right" w:pos="9355" w:leader="none"/>
              </w:tabs>
              <w:rPr>
                <w:sz w:val="20"/>
                <w:szCs w:val="20"/>
                <w:highlight w:val="none"/>
                <w:lang w:eastAsia="en-US"/>
              </w:rPr>
            </w:pPr>
            <w:r>
              <w:rPr>
                <w:sz w:val="20"/>
                <w:szCs w:val="20"/>
                <w:lang w:eastAsia="en-US"/>
              </w:rPr>
              <w:t xml:space="preserve">- при отсутствии операций по счету в течение календарного месяца, но не более 3 (трех) календарных месяцев подряд</w:t>
            </w:r>
            <w:r>
              <w:rPr>
                <w:sz w:val="20"/>
                <w:szCs w:val="20"/>
                <w:highlight w:val="none"/>
                <w:lang w:eastAsia="en-US"/>
              </w:rPr>
            </w:r>
            <w:r>
              <w:rPr>
                <w:sz w:val="20"/>
                <w:szCs w:val="20"/>
                <w:highlight w:val="none"/>
                <w:lang w:eastAsia="en-US"/>
              </w:rPr>
            </w:r>
          </w:p>
          <w:p>
            <w:pPr>
              <w:jc w:val="both"/>
              <w:spacing w:before="40"/>
              <w:tabs>
                <w:tab w:val="left" w:pos="708" w:leader="none"/>
                <w:tab w:val="center" w:pos="4677" w:leader="none"/>
                <w:tab w:val="right" w:pos="9355" w:leader="none"/>
              </w:tabs>
              <w:rPr>
                <w:sz w:val="20"/>
                <w:szCs w:val="20"/>
                <w:lang w:eastAsia="en-US"/>
              </w:rPr>
            </w:pPr>
            <w:r>
              <w:rPr>
                <w:sz w:val="20"/>
                <w:szCs w:val="20"/>
                <w:highlight w:val="none"/>
                <w:lang w:eastAsia="en-US"/>
              </w:rPr>
            </w:r>
            <w:r>
              <w:rPr>
                <w:sz w:val="20"/>
                <w:szCs w:val="20"/>
                <w:lang w:eastAsia="en-US"/>
              </w:rPr>
            </w:r>
            <w:r>
              <w:rPr>
                <w:sz w:val="20"/>
                <w:szCs w:val="20"/>
                <w:lang w:eastAsia="en-US"/>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pStyle w:val="1135"/>
              <w:jc w:val="both"/>
              <w:tabs>
                <w:tab w:val="left" w:pos="708" w:leader="none"/>
                <w:tab w:val="center" w:pos="4677" w:leader="none"/>
                <w:tab w:val="right" w:pos="9355" w:leader="none"/>
              </w:tabs>
              <w:rPr>
                <w:sz w:val="20"/>
                <w:szCs w:val="20"/>
                <w:lang w:eastAsia="en-US"/>
              </w:rPr>
            </w:pPr>
            <w:r>
              <w:rPr>
                <w:sz w:val="20"/>
                <w:szCs w:val="20"/>
                <w:lang w:eastAsia="en-US"/>
              </w:rPr>
              <w:t xml:space="preserve">- при совокупном среднедневном остатке более 100 000 евро</w:t>
            </w:r>
            <w:r>
              <w:rPr>
                <w:sz w:val="20"/>
                <w:szCs w:val="20"/>
                <w:lang w:eastAsia="en-US"/>
              </w:rPr>
            </w:r>
            <w:r>
              <w:rPr>
                <w:sz w:val="20"/>
                <w:szCs w:val="20"/>
                <w:lang w:eastAsia="en-US"/>
              </w:rPr>
            </w:r>
          </w:p>
        </w:tc>
        <w:tc>
          <w:tcPr>
            <w:gridSpan w:val="2"/>
            <w:tcBorders>
              <w:top w:val="none" w:color="000000" w:sz="4" w:space="0"/>
              <w:left w:val="single" w:color="000000" w:sz="4" w:space="0"/>
              <w:bottom w:val="single" w:color="000000" w:sz="4" w:space="0"/>
              <w:right w:val="single" w:color="000000" w:sz="4" w:space="0"/>
            </w:tcBorders>
            <w:tcW w:w="2540" w:type="dxa"/>
            <w:vAlign w:val="top"/>
            <w:textDirection w:val="lrTb"/>
            <w:noWrap w:val="false"/>
          </w:tcPr>
          <w:p>
            <w:pPr>
              <w:pStyle w:val="1135"/>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lang w:eastAsia="en-US"/>
              </w:rPr>
              <w:t xml:space="preserve">0,25% от совокупного среднедневного остатка </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541" w:type="dxa"/>
            <w:vAlign w:val="top"/>
            <w:textDirection w:val="lrTb"/>
            <w:noWrap w:val="false"/>
          </w:tcPr>
          <w:p>
            <w:pPr>
              <w:pStyle w:val="1135"/>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Не признаются операциями по счету:</w:t>
            </w:r>
            <w:r>
              <w:rPr>
                <w:sz w:val="20"/>
                <w:szCs w:val="20"/>
                <w:lang w:eastAsia="en-US"/>
              </w:rPr>
            </w:r>
            <w:r>
              <w:rPr>
                <w:sz w:val="20"/>
                <w:szCs w:val="20"/>
                <w:lang w:eastAsia="en-US"/>
              </w:rPr>
            </w:r>
          </w:p>
          <w:p>
            <w:pPr>
              <w:pStyle w:val="1135"/>
              <w:jc w:val="both"/>
              <w:tabs>
                <w:tab w:val="left" w:pos="708" w:leader="none"/>
                <w:tab w:val="center" w:pos="4677" w:leader="none"/>
                <w:tab w:val="right" w:pos="9355" w:leader="none"/>
              </w:tabs>
              <w:rPr>
                <w:sz w:val="20"/>
                <w:szCs w:val="20"/>
                <w:lang w:eastAsia="en-US"/>
              </w:rPr>
            </w:pPr>
            <w:r>
              <w:rPr>
                <w:sz w:val="20"/>
                <w:szCs w:val="20"/>
                <w:lang w:eastAsia="en-US"/>
              </w:rPr>
              <w:t xml:space="preserve">- причисление процентов к счету;</w:t>
            </w:r>
            <w:r>
              <w:rPr>
                <w:sz w:val="20"/>
                <w:szCs w:val="20"/>
                <w:lang w:eastAsia="en-US"/>
              </w:rPr>
            </w:r>
            <w:r>
              <w:rPr>
                <w:sz w:val="20"/>
                <w:szCs w:val="20"/>
                <w:lang w:eastAsia="en-US"/>
              </w:rPr>
            </w:r>
          </w:p>
          <w:p>
            <w:pPr>
              <w:pStyle w:val="1135"/>
              <w:jc w:val="both"/>
              <w:tabs>
                <w:tab w:val="left" w:pos="708" w:leader="none"/>
                <w:tab w:val="center" w:pos="4677" w:leader="none"/>
                <w:tab w:val="right" w:pos="9355" w:leader="none"/>
              </w:tabs>
              <w:rPr>
                <w:sz w:val="20"/>
                <w:szCs w:val="20"/>
                <w:lang w:eastAsia="en-US"/>
              </w:rPr>
            </w:pPr>
            <w:r>
              <w:rPr>
                <w:sz w:val="20"/>
                <w:szCs w:val="20"/>
                <w:lang w:eastAsia="en-US"/>
              </w:rPr>
              <w:t xml:space="preserve">- взимание комиссий Банка; </w:t>
            </w:r>
            <w:r>
              <w:rPr>
                <w:sz w:val="20"/>
                <w:szCs w:val="20"/>
                <w:lang w:eastAsia="en-US"/>
              </w:rPr>
            </w:r>
            <w:r>
              <w:rPr>
                <w:sz w:val="20"/>
                <w:szCs w:val="20"/>
                <w:lang w:eastAsia="en-US"/>
              </w:rPr>
            </w:r>
          </w:p>
          <w:p>
            <w:pPr>
              <w:pStyle w:val="1135"/>
              <w:jc w:val="both"/>
              <w:tabs>
                <w:tab w:val="left" w:pos="708" w:leader="none"/>
                <w:tab w:val="center" w:pos="4677" w:leader="none"/>
                <w:tab w:val="right" w:pos="9355" w:leader="none"/>
              </w:tabs>
              <w:rPr>
                <w:sz w:val="20"/>
                <w:szCs w:val="20"/>
                <w:highlight w:val="none"/>
                <w:lang w:eastAsia="en-US"/>
              </w:rPr>
            </w:pPr>
            <w:r>
              <w:rPr>
                <w:sz w:val="20"/>
                <w:szCs w:val="20"/>
                <w:lang w:eastAsia="en-US"/>
              </w:rPr>
              <w:t xml:space="preserve">- зачисление/списание со счета ошибочно зачисленных Банком денежных средств;</w:t>
            </w:r>
            <w:r>
              <w:rPr>
                <w:sz w:val="20"/>
                <w:szCs w:val="20"/>
                <w:highlight w:val="none"/>
                <w:lang w:eastAsia="en-US"/>
              </w:rPr>
            </w:r>
            <w:r>
              <w:rPr>
                <w:sz w:val="20"/>
                <w:szCs w:val="20"/>
                <w:highlight w:val="none"/>
                <w:lang w:eastAsia="en-US"/>
              </w:rPr>
            </w:r>
          </w:p>
          <w:p>
            <w:pPr>
              <w:jc w:val="both"/>
              <w:tabs>
                <w:tab w:val="left" w:pos="708" w:leader="none"/>
                <w:tab w:val="center" w:pos="4677" w:leader="none"/>
                <w:tab w:val="right" w:pos="9355" w:leader="none"/>
              </w:tabs>
              <w:rPr>
                <w:sz w:val="20"/>
                <w:szCs w:val="20"/>
                <w:lang w:eastAsia="en-US"/>
              </w:rPr>
            </w:pPr>
            <w:r>
              <w:rPr>
                <w:sz w:val="20"/>
                <w:szCs w:val="20"/>
                <w:highlight w:val="none"/>
                <w:lang w:eastAsia="en-US"/>
              </w:rPr>
            </w:r>
            <w:r>
              <w:rPr>
                <w:rFonts w:ascii="Times New Roman" w:hAnsi="Times New Roman"/>
                <w:sz w:val="20"/>
                <w:szCs w:val="20"/>
              </w:rPr>
              <w:t xml:space="preserve">-</w:t>
            </w:r>
            <w:r>
              <w:rPr>
                <w:rFonts w:ascii="Times New Roman" w:hAnsi="Times New Roman"/>
                <w:sz w:val="20"/>
                <w:szCs w:val="20"/>
              </w:rPr>
              <w:t xml:space="preserve"> </w:t>
            </w:r>
            <w:r>
              <w:rPr>
                <w:rFonts w:ascii="Times New Roman" w:hAnsi="Times New Roman"/>
                <w:sz w:val="20"/>
                <w:szCs w:val="20"/>
              </w:rPr>
              <w:t xml:space="preserve">зачисление</w:t>
            </w:r>
            <w:r>
              <w:rPr>
                <w:rFonts w:ascii="Times New Roman" w:hAnsi="Times New Roman"/>
                <w:sz w:val="20"/>
                <w:szCs w:val="20"/>
              </w:rPr>
              <w:t xml:space="preserve"> денежных</w:t>
            </w:r>
            <w:r>
              <w:rPr>
                <w:rFonts w:ascii="Times New Roman" w:hAnsi="Times New Roman"/>
                <w:sz w:val="20"/>
                <w:szCs w:val="20"/>
              </w:rPr>
              <w:t xml:space="preserve"> средств </w:t>
            </w:r>
            <w:r>
              <w:rPr>
                <w:rFonts w:ascii="Times New Roman" w:hAnsi="Times New Roman"/>
                <w:sz w:val="20"/>
                <w:szCs w:val="20"/>
              </w:rPr>
              <w:t xml:space="preserve">с целью</w:t>
            </w:r>
            <w:r>
              <w:rPr>
                <w:rFonts w:ascii="Times New Roman" w:hAnsi="Times New Roman"/>
                <w:sz w:val="20"/>
                <w:szCs w:val="20"/>
              </w:rPr>
              <w:t xml:space="preserve"> погашения деб</w:t>
            </w:r>
            <w:r>
              <w:rPr>
                <w:rFonts w:ascii="Times New Roman" w:hAnsi="Times New Roman"/>
                <w:sz w:val="20"/>
                <w:szCs w:val="20"/>
              </w:rPr>
              <w:t xml:space="preserve">и</w:t>
            </w:r>
            <w:r>
              <w:rPr>
                <w:rFonts w:ascii="Times New Roman" w:hAnsi="Times New Roman"/>
                <w:sz w:val="20"/>
                <w:szCs w:val="20"/>
              </w:rPr>
              <w:t xml:space="preserve">торской задолженности по оплате комиссий перед Банком</w:t>
            </w:r>
            <w:r>
              <w:rPr>
                <w:rFonts w:ascii="Times New Roman" w:hAnsi="Times New Roman"/>
                <w:sz w:val="20"/>
                <w:szCs w:val="20"/>
                <w:highlight w:val="none"/>
                <w14:ligatures w14:val="none"/>
              </w:rPr>
              <w:t xml:space="preserve"> </w:t>
            </w:r>
            <w:r>
              <w:rPr>
                <w:rFonts w:ascii="Times New Roman" w:hAnsi="Times New Roman"/>
                <w:sz w:val="20"/>
                <w:szCs w:val="20"/>
              </w:rPr>
              <w:t xml:space="preserve">(применяется, если в поле «Назначение платежа» </w:t>
            </w:r>
            <w:r>
              <w:rPr>
                <w:rFonts w:ascii="Times New Roman" w:hAnsi="Times New Roman"/>
                <w:sz w:val="20"/>
                <w:szCs w:val="20"/>
              </w:rPr>
              <w:t xml:space="preserve">расчетного документа/в объявлении на взнос наличными </w:t>
            </w:r>
            <w:r>
              <w:rPr>
                <w:rFonts w:ascii="Times New Roman" w:hAnsi="Times New Roman"/>
                <w:sz w:val="20"/>
                <w:szCs w:val="20"/>
              </w:rPr>
              <w:t xml:space="preserve">указывается четкая информация о цели </w:t>
            </w:r>
            <w:r>
              <w:rPr>
                <w:rFonts w:ascii="Times New Roman" w:hAnsi="Times New Roman"/>
                <w:sz w:val="20"/>
                <w:szCs w:val="20"/>
              </w:rPr>
              <w:t xml:space="preserve">пополнения </w:t>
            </w:r>
            <w:r>
              <w:rPr>
                <w:rFonts w:ascii="Times New Roman" w:hAnsi="Times New Roman"/>
                <w:sz w:val="20"/>
                <w:szCs w:val="20"/>
              </w:rPr>
              <w:t xml:space="preserve">с</w:t>
            </w:r>
            <w:r>
              <w:rPr>
                <w:rFonts w:ascii="Times New Roman" w:hAnsi="Times New Roman"/>
                <w:sz w:val="20"/>
                <w:szCs w:val="20"/>
              </w:rPr>
              <w:t xml:space="preserve">чета </w:t>
            </w:r>
            <w:r>
              <w:rPr>
                <w:rFonts w:ascii="Times New Roman" w:hAnsi="Times New Roman"/>
                <w:sz w:val="20"/>
                <w:szCs w:val="20"/>
              </w:rPr>
              <w:t xml:space="preserve">(для погашения дебиторской задолженности по оплате комиссии перед Банком))</w:t>
            </w:r>
            <w:r>
              <w:rPr>
                <w:rFonts w:ascii="Times New Roman" w:hAnsi="Times New Roman"/>
                <w:sz w:val="20"/>
                <w:szCs w:val="20"/>
              </w:rPr>
              <w:t xml:space="preserve">.</w:t>
            </w:r>
            <w:r>
              <w:rPr>
                <w:sz w:val="20"/>
                <w:szCs w:val="20"/>
                <w:lang w:eastAsia="en-US"/>
              </w:rPr>
            </w:r>
            <w:r>
              <w:rPr>
                <w:sz w:val="20"/>
                <w:szCs w:val="20"/>
                <w:lang w:eastAsia="en-US"/>
              </w:rPr>
            </w:r>
          </w:p>
          <w:p>
            <w:pPr>
              <w:pStyle w:val="1135"/>
              <w:jc w:val="both"/>
              <w:tabs>
                <w:tab w:val="left" w:pos="708" w:leader="none"/>
                <w:tab w:val="center" w:pos="4677" w:leader="none"/>
                <w:tab w:val="right" w:pos="9355" w:leader="none"/>
              </w:tabs>
              <w:rPr>
                <w:sz w:val="20"/>
                <w:szCs w:val="20"/>
                <w:lang w:eastAsia="en-US"/>
              </w:rPr>
            </w:pPr>
            <w:r>
              <w:rPr>
                <w:sz w:val="20"/>
                <w:szCs w:val="20"/>
                <w:lang w:eastAsia="en-US"/>
              </w:rPr>
              <w:t xml:space="preserve">Перечисление/выдача остатка денежных средств при закрытии счета признается операцией по счету.</w:t>
            </w:r>
            <w:r>
              <w:rPr>
                <w:sz w:val="20"/>
                <w:szCs w:val="20"/>
                <w:lang w:eastAsia="en-US"/>
              </w:rPr>
            </w:r>
            <w:r>
              <w:rPr>
                <w:sz w:val="20"/>
                <w:szCs w:val="20"/>
                <w:lang w:eastAsia="en-US"/>
              </w:rPr>
            </w:r>
          </w:p>
          <w:p>
            <w:pPr>
              <w:pStyle w:val="1135"/>
              <w:jc w:val="both"/>
              <w:tabs>
                <w:tab w:val="left" w:pos="708" w:leader="none"/>
                <w:tab w:val="center" w:pos="4677" w:leader="none"/>
                <w:tab w:val="right" w:pos="9355" w:leader="none"/>
              </w:tabs>
              <w:rPr>
                <w:sz w:val="20"/>
                <w:szCs w:val="20"/>
                <w:highlight w:val="none"/>
                <w:lang w:eastAsia="en-US"/>
              </w:rPr>
            </w:pPr>
            <w:r>
              <w:rPr>
                <w:sz w:val="20"/>
                <w:szCs w:val="20"/>
                <w:lang w:eastAsia="en-US"/>
              </w:rPr>
              <w:t xml:space="preserve">Начиная с 4 (четвертого) календарного месяца при отсутствии операций по счету комиссия взимается в установленном размере согласно п. 1.2.3.1 Тарифов, но н</w:t>
            </w:r>
            <w:r>
              <w:rPr>
                <w:sz w:val="20"/>
                <w:szCs w:val="20"/>
                <w:lang w:eastAsia="en-US"/>
              </w:rPr>
              <w:t xml:space="preserve">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r>
              <w:rPr>
                <w:sz w:val="20"/>
                <w:szCs w:val="20"/>
                <w:highlight w:val="none"/>
                <w:lang w:eastAsia="en-US"/>
              </w:rPr>
            </w:r>
            <w:r>
              <w:rPr>
                <w:sz w:val="20"/>
                <w:szCs w:val="20"/>
                <w:highlight w:val="none"/>
                <w:lang w:eastAsia="en-US"/>
              </w:rPr>
            </w:r>
          </w:p>
          <w:p>
            <w:pPr>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35"/>
              <w:jc w:val="both"/>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независимо от наличия/отсутствия операций в течение календарного месяца.</w:t>
            </w:r>
            <w:r>
              <w:rPr>
                <w:sz w:val="20"/>
                <w:szCs w:val="20"/>
                <w:lang w:eastAsia="en-US"/>
              </w:rPr>
            </w:r>
            <w:r>
              <w:rPr>
                <w:sz w:val="20"/>
                <w:szCs w:val="20"/>
                <w:lang w:eastAsia="en-US"/>
              </w:rPr>
            </w:r>
          </w:p>
          <w:p>
            <w:pPr>
              <w:pStyle w:val="1135"/>
              <w:jc w:val="both"/>
              <w:tabs>
                <w:tab w:val="left" w:pos="708" w:leader="none"/>
                <w:tab w:val="center" w:pos="4677" w:leader="none"/>
                <w:tab w:val="right" w:pos="9355" w:leader="none"/>
              </w:tabs>
              <w:rPr>
                <w:sz w:val="20"/>
                <w:szCs w:val="20"/>
                <w:lang w:eastAsia="en-US"/>
              </w:rPr>
            </w:pPr>
            <w:r>
              <w:rPr>
                <w:sz w:val="20"/>
                <w:szCs w:val="20"/>
              </w:rPr>
              <w:t xml:space="preserve">Комиссия взимается по ставке тарифа, действующей на дату начисления комиссии.</w:t>
            </w:r>
            <w:r>
              <w:rPr>
                <w:sz w:val="20"/>
                <w:szCs w:val="20"/>
                <w:lang w:eastAsia="en-US"/>
              </w:rPr>
            </w:r>
            <w:r>
              <w:rPr>
                <w:sz w:val="20"/>
                <w:szCs w:val="20"/>
                <w:lang w:eastAsia="en-US"/>
              </w:rPr>
            </w:r>
          </w:p>
          <w:p>
            <w:pPr>
              <w:jc w:val="both"/>
              <w:tabs>
                <w:tab w:val="left" w:pos="708" w:leader="none"/>
                <w:tab w:val="center" w:pos="4677" w:leader="none"/>
                <w:tab w:val="right" w:pos="9355" w:leader="none"/>
              </w:tabs>
              <w:rPr>
                <w:sz w:val="20"/>
                <w:szCs w:val="20"/>
                <w:lang w:eastAsia="en-US"/>
              </w:rPr>
            </w:pPr>
            <w:r>
              <w:rPr>
                <w:sz w:val="20"/>
                <w:szCs w:val="20"/>
                <w:highlight w:val="none"/>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35"/>
              <w:jc w:val="both"/>
              <w:tabs>
                <w:tab w:val="left" w:pos="708" w:leader="none"/>
                <w:tab w:val="center" w:pos="4677" w:leader="none"/>
                <w:tab w:val="right" w:pos="9355" w:leader="none"/>
              </w:tabs>
              <w:rPr>
                <w:sz w:val="20"/>
                <w:szCs w:val="20"/>
                <w:lang w:eastAsia="en-US"/>
              </w:rPr>
            </w:pPr>
            <w:r>
              <w:rPr>
                <w:sz w:val="20"/>
                <w:szCs w:val="20"/>
                <w:lang w:eastAsia="en-US"/>
              </w:rPr>
              <w:t xml:space="preserve">1.2.3.2.</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35"/>
              <w:jc w:val="both"/>
              <w:tabs>
                <w:tab w:val="left" w:pos="708" w:leader="none"/>
                <w:tab w:val="center" w:pos="4677" w:leader="none"/>
                <w:tab w:val="right" w:pos="9355" w:leader="none"/>
              </w:tabs>
              <w:rPr>
                <w:sz w:val="20"/>
                <w:szCs w:val="20"/>
                <w:lang w:eastAsia="en-US"/>
              </w:rPr>
            </w:pPr>
            <w:r>
              <w:rPr>
                <w:sz w:val="20"/>
                <w:szCs w:val="20"/>
              </w:rPr>
              <w:t xml:space="preserve">Ведение счета в долларах США</w:t>
            </w:r>
            <w:r>
              <w:rPr>
                <w:sz w:val="20"/>
                <w:szCs w:val="20"/>
                <w:lang w:eastAsia="en-US"/>
              </w:rPr>
              <w:t xml:space="preserve">:</w:t>
            </w:r>
            <w:r>
              <w:rPr>
                <w:sz w:val="20"/>
                <w:szCs w:val="20"/>
                <w:lang w:eastAsia="en-US"/>
              </w:rPr>
            </w:r>
            <w:r>
              <w:rPr>
                <w:sz w:val="20"/>
                <w:szCs w:val="20"/>
                <w:lang w:eastAsia="en-US"/>
              </w:rPr>
            </w:r>
          </w:p>
        </w:tc>
        <w:tc>
          <w:tcPr>
            <w:gridSpan w:val="2"/>
            <w:tcBorders>
              <w:top w:val="none" w:color="000000" w:sz="4" w:space="0"/>
              <w:left w:val="single" w:color="000000" w:sz="4" w:space="0"/>
              <w:bottom w:val="none" w:color="000000" w:sz="4" w:space="0"/>
              <w:right w:val="single" w:color="000000" w:sz="4" w:space="0"/>
            </w:tcBorders>
            <w:tcW w:w="2540" w:type="dxa"/>
            <w:vAlign w:val="top"/>
            <w:textDirection w:val="lrTb"/>
            <w:noWrap w:val="false"/>
          </w:tcPr>
          <w:p>
            <w:pPr>
              <w:pStyle w:val="1135"/>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right w:val="single" w:color="000000" w:sz="4" w:space="0"/>
            </w:tcBorders>
            <w:tcW w:w="3541" w:type="dxa"/>
            <w:vAlign w:val="top"/>
            <w:vMerge w:val="restart"/>
            <w:textDirection w:val="lrTb"/>
            <w:noWrap w:val="false"/>
          </w:tcPr>
          <w:p>
            <w:pPr>
              <w:pStyle w:val="1135"/>
              <w:jc w:val="both"/>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с расчетного счета в долларах США.</w:t>
            </w:r>
            <w:r>
              <w:rPr>
                <w:sz w:val="20"/>
                <w:szCs w:val="20"/>
                <w:lang w:eastAsia="en-US"/>
              </w:rPr>
            </w:r>
            <w:r>
              <w:rPr>
                <w:sz w:val="20"/>
                <w:szCs w:val="20"/>
                <w:lang w:eastAsia="en-US"/>
              </w:rPr>
            </w:r>
          </w:p>
          <w:p>
            <w:pPr>
              <w:pStyle w:val="1135"/>
              <w:jc w:val="both"/>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ежемесячно в последний рабочий день месяца/в день закрытия счета, включая месяц, в котором открыт счет.</w:t>
            </w:r>
            <w:r>
              <w:rPr>
                <w:sz w:val="20"/>
                <w:szCs w:val="20"/>
                <w:lang w:eastAsia="en-US"/>
              </w:rPr>
            </w:r>
            <w:r>
              <w:rPr>
                <w:sz w:val="20"/>
                <w:szCs w:val="20"/>
                <w:lang w:eastAsia="en-US"/>
              </w:rPr>
            </w:r>
          </w:p>
          <w:p>
            <w:pPr>
              <w:pStyle w:val="1135"/>
              <w:jc w:val="both"/>
              <w:tabs>
                <w:tab w:val="left" w:pos="708" w:leader="none"/>
                <w:tab w:val="center" w:pos="4677" w:leader="none"/>
                <w:tab w:val="right" w:pos="9355" w:leader="none"/>
              </w:tabs>
              <w:rPr>
                <w:sz w:val="20"/>
                <w:szCs w:val="20"/>
                <w:lang w:eastAsia="en-US"/>
              </w:rPr>
            </w:pPr>
            <w:r>
              <w:rPr>
                <w:sz w:val="20"/>
                <w:szCs w:val="20"/>
                <w:lang w:eastAsia="en-US"/>
              </w:rPr>
              <w:t xml:space="preserve">Комиссия не взимается если совокупный среднедневной остаток равен нулю.</w:t>
            </w:r>
            <w:r>
              <w:rPr>
                <w:sz w:val="20"/>
                <w:szCs w:val="20"/>
                <w:lang w:eastAsia="en-US"/>
              </w:rPr>
            </w:r>
            <w:r>
              <w:rPr>
                <w:sz w:val="20"/>
                <w:szCs w:val="20"/>
                <w:lang w:eastAsia="en-US"/>
              </w:rPr>
            </w:r>
          </w:p>
          <w:p>
            <w:pPr>
              <w:pStyle w:val="1135"/>
              <w:jc w:val="both"/>
              <w:tabs>
                <w:tab w:val="left" w:pos="708" w:leader="none"/>
                <w:tab w:val="center" w:pos="4677" w:leader="none"/>
                <w:tab w:val="right" w:pos="9355" w:leader="none"/>
              </w:tabs>
              <w:rPr>
                <w:sz w:val="20"/>
                <w:szCs w:val="20"/>
              </w:rPr>
            </w:pPr>
            <w:r>
              <w:rPr>
                <w:sz w:val="20"/>
                <w:szCs w:val="20"/>
              </w:rPr>
              <w:t xml:space="preserve">При отсутствии на расчетном счете</w:t>
            </w:r>
            <w:r>
              <w:rPr>
                <w:sz w:val="20"/>
                <w:szCs w:val="20"/>
              </w:rPr>
              <w:t xml:space="preserve"> в долларах США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r>
              <w:rPr>
                <w:sz w:val="20"/>
                <w:szCs w:val="20"/>
              </w:rPr>
            </w:r>
            <w:r>
              <w:rPr>
                <w:sz w:val="20"/>
                <w:szCs w:val="20"/>
              </w:rPr>
            </w:r>
          </w:p>
          <w:p>
            <w:pPr>
              <w:pStyle w:val="1135"/>
              <w:jc w:val="both"/>
              <w:tabs>
                <w:tab w:val="left" w:pos="708" w:leader="none"/>
                <w:tab w:val="center" w:pos="4677" w:leader="none"/>
                <w:tab w:val="right" w:pos="9355" w:leader="none"/>
              </w:tabs>
              <w:rPr>
                <w:sz w:val="20"/>
                <w:szCs w:val="20"/>
              </w:rPr>
            </w:pPr>
            <w:r>
              <w:rPr>
                <w:sz w:val="20"/>
                <w:szCs w:val="20"/>
                <w:lang w:eastAsia="en-US"/>
              </w:rPr>
              <w:t xml:space="preserve">При расчете совокупного среднедневного остатка учитываются остатки на расчетном счете в долларах США и соответствующем ему транзитном счете.</w:t>
            </w:r>
            <w:r>
              <w:rPr>
                <w:sz w:val="20"/>
                <w:szCs w:val="20"/>
              </w:rPr>
            </w:r>
            <w:r>
              <w:rPr>
                <w:sz w:val="20"/>
                <w:szCs w:val="20"/>
              </w:rPr>
            </w:r>
          </w:p>
          <w:p>
            <w:pPr>
              <w:pStyle w:val="1135"/>
              <w:jc w:val="both"/>
              <w:tabs>
                <w:tab w:val="left" w:pos="708" w:leader="none"/>
                <w:tab w:val="center" w:pos="4677" w:leader="none"/>
                <w:tab w:val="right" w:pos="9355" w:leader="none"/>
              </w:tabs>
              <w:rPr>
                <w:sz w:val="20"/>
                <w:szCs w:val="20"/>
                <w:lang w:eastAsia="en-US"/>
              </w:rPr>
            </w:pPr>
            <w:r>
              <w:rPr>
                <w:sz w:val="20"/>
                <w:szCs w:val="20"/>
                <w:lang w:eastAsia="en-US"/>
              </w:rPr>
              <w:t xml:space="preserve">Совокупный среднедневной остаток рассчитывается как отношение суммы остатков денежных средств на расчетном и транзитном счетах Клиента в долларах США на начало каждого календарного дня в течение расчетного месяца к количеству</w:t>
            </w:r>
            <w:r>
              <w:rPr>
                <w:sz w:val="20"/>
                <w:szCs w:val="20"/>
                <w:lang w:eastAsia="en-US"/>
              </w:rPr>
              <w:t xml:space="preserve">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w:t>
            </w:r>
            <w:r>
              <w:rPr>
                <w:sz w:val="20"/>
                <w:szCs w:val="20"/>
                <w:lang w:eastAsia="en-US"/>
              </w:rPr>
              <w:t xml:space="preserve">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35"/>
              <w:jc w:val="both"/>
              <w:tabs>
                <w:tab w:val="left" w:pos="708" w:leader="none"/>
                <w:tab w:val="center" w:pos="4677" w:leader="none"/>
                <w:tab w:val="right" w:pos="9355" w:leader="none"/>
              </w:tabs>
              <w:rPr>
                <w:lang w:eastAsia="en-US"/>
              </w:rPr>
            </w:pPr>
            <w:r>
              <w:rPr>
                <w:lang w:eastAsia="en-US"/>
              </w:rPr>
            </w:r>
            <w:r>
              <w:rPr>
                <w:lang w:eastAsia="en-US"/>
              </w:rPr>
            </w:r>
            <w:r>
              <w:rPr>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35"/>
              <w:jc w:val="both"/>
              <w:tabs>
                <w:tab w:val="left" w:pos="708" w:leader="none"/>
                <w:tab w:val="center" w:pos="4677" w:leader="none"/>
                <w:tab w:val="right" w:pos="9355" w:leader="none"/>
              </w:tabs>
              <w:rPr>
                <w:sz w:val="20"/>
                <w:szCs w:val="20"/>
                <w:lang w:eastAsia="en-US"/>
              </w:rPr>
            </w:pPr>
            <w:r>
              <w:rPr>
                <w:sz w:val="20"/>
                <w:szCs w:val="20"/>
                <w:lang w:eastAsia="en-US"/>
              </w:rPr>
              <w:t xml:space="preserve">- при совокупном среднедневном остатке до 100 000 долларов США (включительно)</w:t>
            </w:r>
            <w:r>
              <w:rPr>
                <w:sz w:val="20"/>
                <w:szCs w:val="20"/>
                <w:lang w:eastAsia="en-US"/>
              </w:rPr>
            </w:r>
            <w:r>
              <w:rPr>
                <w:sz w:val="20"/>
                <w:szCs w:val="20"/>
                <w:lang w:eastAsia="en-US"/>
              </w:rPr>
            </w:r>
          </w:p>
          <w:p>
            <w:pPr>
              <w:pStyle w:val="1135"/>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tc>
        <w:tc>
          <w:tcPr>
            <w:gridSpan w:val="2"/>
            <w:tcBorders>
              <w:top w:val="none" w:color="000000" w:sz="4" w:space="0"/>
              <w:left w:val="single" w:color="000000" w:sz="4" w:space="0"/>
              <w:bottom w:val="none" w:color="000000" w:sz="4" w:space="0"/>
              <w:right w:val="single" w:color="000000" w:sz="4" w:space="0"/>
            </w:tcBorders>
            <w:tcW w:w="2540" w:type="dxa"/>
            <w:vAlign w:val="top"/>
            <w:textDirection w:val="lrTb"/>
            <w:noWrap w:val="false"/>
          </w:tcPr>
          <w:p>
            <w:pPr>
              <w:pStyle w:val="1135"/>
              <w:jc w:val="center"/>
              <w:tabs>
                <w:tab w:val="left" w:pos="708" w:leader="none"/>
                <w:tab w:val="center" w:pos="4677" w:leader="none"/>
                <w:tab w:val="right" w:pos="9355" w:leader="none"/>
              </w:tabs>
              <w:rPr>
                <w:sz w:val="20"/>
                <w:szCs w:val="20"/>
                <w:lang w:eastAsia="en-US"/>
              </w:rPr>
            </w:pPr>
            <w:r>
              <w:rPr>
                <w:sz w:val="20"/>
                <w:szCs w:val="20"/>
                <w:lang w:eastAsia="en-US"/>
              </w:rPr>
              <w:t xml:space="preserve">2750 руб. в месяц</w:t>
            </w:r>
            <w:r>
              <w:rPr>
                <w:sz w:val="20"/>
                <w:szCs w:val="20"/>
                <w:lang w:eastAsia="en-US"/>
              </w:rPr>
            </w:r>
            <w:r>
              <w:rPr>
                <w:sz w:val="20"/>
                <w:szCs w:val="20"/>
                <w:lang w:eastAsia="en-US"/>
              </w:rPr>
            </w:r>
          </w:p>
        </w:tc>
        <w:tc>
          <w:tcPr>
            <w:tcBorders>
              <w:left w:val="single" w:color="000000" w:sz="4" w:space="0"/>
              <w:bottom w:val="none" w:color="000000" w:sz="4" w:space="0"/>
              <w:right w:val="single" w:color="000000" w:sz="4" w:space="0"/>
            </w:tcBorders>
            <w:tcW w:w="3541" w:type="dxa"/>
            <w:vAlign w:val="top"/>
            <w:vMerge w:val="continue"/>
            <w:textDirection w:val="lrTb"/>
            <w:noWrap w:val="false"/>
          </w:tcPr>
          <w:p>
            <w:pPr>
              <w:pStyle w:val="1135"/>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35"/>
              <w:jc w:val="both"/>
              <w:tabs>
                <w:tab w:val="left" w:pos="708" w:leader="none"/>
                <w:tab w:val="center" w:pos="4677" w:leader="none"/>
                <w:tab w:val="right" w:pos="9355" w:leader="none"/>
              </w:tabs>
              <w:rPr>
                <w:lang w:eastAsia="en-US"/>
              </w:rPr>
            </w:pPr>
            <w:r>
              <w:rPr>
                <w:lang w:eastAsia="en-US"/>
              </w:rPr>
            </w:r>
            <w:r>
              <w:rPr>
                <w:lang w:eastAsia="en-US"/>
              </w:rPr>
            </w:r>
            <w:r>
              <w:rPr>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35"/>
              <w:jc w:val="both"/>
              <w:tabs>
                <w:tab w:val="left" w:pos="708" w:leader="none"/>
                <w:tab w:val="center" w:pos="4677" w:leader="none"/>
                <w:tab w:val="right" w:pos="9355" w:leader="none"/>
              </w:tabs>
              <w:rPr>
                <w:sz w:val="20"/>
                <w:szCs w:val="20"/>
                <w:lang w:eastAsia="en-US"/>
              </w:rPr>
            </w:pPr>
            <w:r>
              <w:rPr>
                <w:sz w:val="20"/>
                <w:szCs w:val="20"/>
                <w:lang w:eastAsia="en-US"/>
              </w:rPr>
              <w:t xml:space="preserve">- при совокупном среднедневном остатке до 100 000 долларов США (включительно) и при условии использования клиентом системы дистанционного банковского обслуживания</w:t>
            </w:r>
            <w:r>
              <w:rPr>
                <w:sz w:val="20"/>
                <w:szCs w:val="20"/>
                <w:lang w:eastAsia="en-US"/>
              </w:rPr>
            </w:r>
            <w:r>
              <w:rPr>
                <w:sz w:val="20"/>
                <w:szCs w:val="20"/>
                <w:lang w:eastAsia="en-US"/>
              </w:rPr>
            </w:r>
          </w:p>
        </w:tc>
        <w:tc>
          <w:tcPr>
            <w:gridSpan w:val="2"/>
            <w:tcBorders>
              <w:top w:val="none" w:color="000000" w:sz="4" w:space="0"/>
              <w:left w:val="single" w:color="000000" w:sz="4" w:space="0"/>
              <w:bottom w:val="none" w:color="000000" w:sz="4" w:space="0"/>
              <w:right w:val="single" w:color="000000" w:sz="4" w:space="0"/>
            </w:tcBorders>
            <w:tcW w:w="2540" w:type="dxa"/>
            <w:vAlign w:val="top"/>
            <w:textDirection w:val="lrTb"/>
            <w:noWrap w:val="false"/>
          </w:tcPr>
          <w:p>
            <w:pPr>
              <w:pStyle w:val="1135"/>
              <w:jc w:val="center"/>
              <w:tabs>
                <w:tab w:val="left" w:pos="708" w:leader="none"/>
                <w:tab w:val="center" w:pos="4677" w:leader="none"/>
                <w:tab w:val="right" w:pos="9355" w:leader="none"/>
              </w:tabs>
              <w:rPr>
                <w:sz w:val="20"/>
                <w:szCs w:val="20"/>
                <w:lang w:eastAsia="en-US"/>
              </w:rPr>
            </w:pPr>
            <w:r>
              <w:rPr>
                <w:sz w:val="20"/>
                <w:szCs w:val="20"/>
                <w:lang w:eastAsia="en-US"/>
              </w:rPr>
              <w:t xml:space="preserve">900 руб.</w:t>
              <w:br w:type="textWrapping" w:clear="all"/>
              <w:t xml:space="preserve">в месяц</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541" w:type="dxa"/>
            <w:vAlign w:val="top"/>
            <w:textDirection w:val="lrTb"/>
            <w:noWrap w:val="false"/>
          </w:tcPr>
          <w:p>
            <w:pPr>
              <w:pStyle w:val="1135"/>
              <w:jc w:val="both"/>
              <w:tabs>
                <w:tab w:val="left" w:pos="708" w:leader="none"/>
                <w:tab w:val="center" w:pos="4677" w:leader="none"/>
                <w:tab w:val="right" w:pos="9355" w:leader="none"/>
              </w:tabs>
              <w:rPr>
                <w:sz w:val="20"/>
                <w:szCs w:val="20"/>
                <w:lang w:eastAsia="en-US"/>
              </w:rPr>
            </w:pPr>
            <w:r>
              <w:rPr>
                <w:sz w:val="20"/>
                <w:szCs w:val="20"/>
                <w:lang w:eastAsia="en-US"/>
              </w:rPr>
              <w:t xml:space="preserve">Кроме месяца, в котором установлена система дистанционного банковского обслуживания.</w:t>
            </w:r>
            <w:r>
              <w:rPr>
                <w:sz w:val="20"/>
                <w:szCs w:val="20"/>
                <w:lang w:eastAsia="en-US"/>
              </w:rPr>
            </w:r>
            <w:r>
              <w:rPr>
                <w:sz w:val="20"/>
                <w:szCs w:val="20"/>
                <w:lang w:eastAsia="en-US"/>
              </w:rPr>
            </w:r>
          </w:p>
          <w:p>
            <w:pPr>
              <w:pStyle w:val="1135"/>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В случае</w:t>
            </w:r>
            <w:r>
              <w:rPr>
                <w:sz w:val="20"/>
                <w:szCs w:val="20"/>
                <w:lang w:eastAsia="en-US"/>
              </w:rPr>
              <w:t xml:space="preserve">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1.2.3.2 Тарифов в размере, пред</w:t>
            </w:r>
            <w:r>
              <w:rPr>
                <w:sz w:val="20"/>
                <w:szCs w:val="20"/>
                <w:lang w:eastAsia="en-US"/>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sz w:val="20"/>
                <w:szCs w:val="20"/>
                <w:lang w:eastAsia="en-US"/>
              </w:rPr>
            </w:r>
            <w:r>
              <w:rPr>
                <w:sz w:val="20"/>
                <w:szCs w:val="20"/>
                <w:lang w:eastAsia="en-US"/>
              </w:rPr>
            </w:r>
          </w:p>
          <w:p>
            <w:pPr>
              <w:pStyle w:val="1135"/>
              <w:jc w:val="both"/>
              <w:tabs>
                <w:tab w:val="left" w:pos="708" w:leader="none"/>
                <w:tab w:val="center" w:pos="4677" w:leader="none"/>
                <w:tab w:val="right" w:pos="9355" w:leader="none"/>
              </w:tabs>
              <w:rPr>
                <w:sz w:val="20"/>
                <w:szCs w:val="20"/>
                <w:lang w:eastAsia="en-US"/>
              </w:rPr>
            </w:pPr>
            <w:r>
              <w:rPr>
                <w:sz w:val="20"/>
                <w:szCs w:val="20"/>
                <w:lang w:eastAsia="en-US"/>
              </w:rPr>
              <w:t xml:space="preserve">  В случае возобновления Банком использования Клиентом системы дистанционного банковского обслуживания «Свой бизнес» на д</w:t>
            </w:r>
            <w:r>
              <w:rPr>
                <w:sz w:val="20"/>
                <w:szCs w:val="20"/>
                <w:lang w:eastAsia="en-US"/>
              </w:rPr>
              <w:t xml:space="preserve">ату взимания комиссионного вознаграждения по п. 1.2.3.2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740"/>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135"/>
              <w:jc w:val="both"/>
              <w:tabs>
                <w:tab w:val="left" w:pos="708" w:leader="none"/>
                <w:tab w:val="center" w:pos="4677" w:leader="none"/>
                <w:tab w:val="right" w:pos="9355" w:leader="none"/>
              </w:tabs>
              <w:rPr>
                <w:lang w:eastAsia="en-US"/>
              </w:rPr>
            </w:pPr>
            <w:r>
              <w:rPr>
                <w:lang w:eastAsia="en-US"/>
              </w:rPr>
            </w:r>
            <w:r>
              <w:rPr>
                <w:lang w:eastAsia="en-US"/>
              </w:rPr>
            </w:r>
            <w:r>
              <w:rPr>
                <w:lang w:eastAsia="en-US"/>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135"/>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при отсутствии операций по счету в течение календарного месяца, но не более 3 (трех) календарных месяцев подряд</w:t>
            </w:r>
            <w:r>
              <w:rPr>
                <w:sz w:val="20"/>
                <w:szCs w:val="20"/>
                <w:lang w:eastAsia="en-US"/>
              </w:rPr>
            </w:r>
            <w:r>
              <w:rPr>
                <w:sz w:val="20"/>
                <w:szCs w:val="20"/>
                <w:lang w:eastAsia="en-US"/>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pStyle w:val="1135"/>
              <w:jc w:val="both"/>
              <w:tabs>
                <w:tab w:val="left" w:pos="708" w:leader="none"/>
                <w:tab w:val="center" w:pos="4677" w:leader="none"/>
                <w:tab w:val="right" w:pos="9355" w:leader="none"/>
              </w:tabs>
              <w:rPr>
                <w:sz w:val="20"/>
                <w:szCs w:val="20"/>
                <w:lang w:eastAsia="en-US"/>
              </w:rPr>
            </w:pPr>
            <w:r>
              <w:rPr>
                <w:sz w:val="20"/>
                <w:szCs w:val="20"/>
                <w:lang w:eastAsia="en-US"/>
              </w:rPr>
              <w:t xml:space="preserve">- при совокупном среднедневном остатке более 100 000 долларов США</w:t>
            </w:r>
            <w:r>
              <w:rPr>
                <w:sz w:val="20"/>
                <w:szCs w:val="20"/>
                <w:lang w:eastAsia="en-US"/>
              </w:rPr>
            </w:r>
            <w:r>
              <w:rPr>
                <w:sz w:val="20"/>
                <w:szCs w:val="20"/>
                <w:lang w:eastAsia="en-US"/>
              </w:rPr>
            </w:r>
          </w:p>
          <w:p>
            <w:pPr>
              <w:rPr>
                <w:sz w:val="20"/>
                <w:szCs w:val="20"/>
              </w:rPr>
            </w:pPr>
            <w:r>
              <w:rPr>
                <w:sz w:val="20"/>
                <w:szCs w:val="20"/>
              </w:rPr>
            </w:r>
            <w:r>
              <w:rPr>
                <w:sz w:val="20"/>
                <w:szCs w:val="20"/>
              </w:rPr>
            </w:r>
            <w:r>
              <w:rPr>
                <w:sz w:val="20"/>
                <w:szCs w:val="20"/>
              </w:rPr>
            </w:r>
          </w:p>
        </w:tc>
        <w:tc>
          <w:tcPr>
            <w:gridSpan w:val="2"/>
            <w:tcBorders>
              <w:top w:val="none" w:color="000000" w:sz="4" w:space="0"/>
              <w:left w:val="single" w:color="000000" w:sz="4" w:space="0"/>
              <w:bottom w:val="single" w:color="000000" w:sz="4" w:space="0"/>
              <w:right w:val="single" w:color="000000" w:sz="4" w:space="0"/>
            </w:tcBorders>
            <w:tcW w:w="2540" w:type="dxa"/>
            <w:vAlign w:val="top"/>
            <w:textDirection w:val="lrTb"/>
            <w:noWrap w:val="false"/>
          </w:tcPr>
          <w:p>
            <w:pPr>
              <w:pStyle w:val="1135"/>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lang w:eastAsia="en-US"/>
              </w:rPr>
              <w:t xml:space="preserve">0,6% от совокупного среднедневного остатка </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541" w:type="dxa"/>
            <w:vAlign w:val="top"/>
            <w:textDirection w:val="lrTb"/>
            <w:noWrap w:val="false"/>
          </w:tcPr>
          <w:p>
            <w:pPr>
              <w:pStyle w:val="1135"/>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Не признаются операциями по счету:</w:t>
            </w:r>
            <w:r>
              <w:rPr>
                <w:sz w:val="20"/>
                <w:szCs w:val="20"/>
                <w:lang w:eastAsia="en-US"/>
              </w:rPr>
            </w:r>
            <w:r>
              <w:rPr>
                <w:sz w:val="20"/>
                <w:szCs w:val="20"/>
                <w:lang w:eastAsia="en-US"/>
              </w:rPr>
            </w:r>
          </w:p>
          <w:p>
            <w:pPr>
              <w:pStyle w:val="1135"/>
              <w:jc w:val="both"/>
              <w:tabs>
                <w:tab w:val="left" w:pos="708" w:leader="none"/>
                <w:tab w:val="center" w:pos="4677" w:leader="none"/>
                <w:tab w:val="right" w:pos="9355" w:leader="none"/>
              </w:tabs>
              <w:rPr>
                <w:sz w:val="20"/>
                <w:szCs w:val="20"/>
                <w:lang w:eastAsia="en-US"/>
              </w:rPr>
            </w:pPr>
            <w:r>
              <w:rPr>
                <w:sz w:val="20"/>
                <w:szCs w:val="20"/>
                <w:lang w:eastAsia="en-US"/>
              </w:rPr>
              <w:t xml:space="preserve">- причисление процентов к счету;</w:t>
            </w:r>
            <w:r>
              <w:rPr>
                <w:sz w:val="20"/>
                <w:szCs w:val="20"/>
                <w:lang w:eastAsia="en-US"/>
              </w:rPr>
            </w:r>
            <w:r>
              <w:rPr>
                <w:sz w:val="20"/>
                <w:szCs w:val="20"/>
                <w:lang w:eastAsia="en-US"/>
              </w:rPr>
            </w:r>
          </w:p>
          <w:p>
            <w:pPr>
              <w:pStyle w:val="1135"/>
              <w:jc w:val="both"/>
              <w:tabs>
                <w:tab w:val="left" w:pos="708" w:leader="none"/>
                <w:tab w:val="center" w:pos="4677" w:leader="none"/>
                <w:tab w:val="right" w:pos="9355" w:leader="none"/>
              </w:tabs>
              <w:rPr>
                <w:sz w:val="20"/>
                <w:szCs w:val="20"/>
                <w:lang w:eastAsia="en-US"/>
              </w:rPr>
            </w:pPr>
            <w:r>
              <w:rPr>
                <w:sz w:val="20"/>
                <w:szCs w:val="20"/>
                <w:lang w:eastAsia="en-US"/>
              </w:rPr>
              <w:t xml:space="preserve">- взимание комиссий Банка; </w:t>
            </w:r>
            <w:r>
              <w:rPr>
                <w:sz w:val="20"/>
                <w:szCs w:val="20"/>
                <w:lang w:eastAsia="en-US"/>
              </w:rPr>
            </w:r>
            <w:r>
              <w:rPr>
                <w:sz w:val="20"/>
                <w:szCs w:val="20"/>
                <w:lang w:eastAsia="en-US"/>
              </w:rPr>
            </w:r>
          </w:p>
          <w:p>
            <w:pPr>
              <w:pStyle w:val="1135"/>
              <w:jc w:val="both"/>
              <w:tabs>
                <w:tab w:val="left" w:pos="708" w:leader="none"/>
                <w:tab w:val="center" w:pos="4677" w:leader="none"/>
                <w:tab w:val="right" w:pos="9355" w:leader="none"/>
              </w:tabs>
              <w:rPr>
                <w:sz w:val="20"/>
                <w:szCs w:val="20"/>
                <w:highlight w:val="none"/>
                <w:lang w:eastAsia="en-US"/>
              </w:rPr>
            </w:pPr>
            <w:r>
              <w:rPr>
                <w:sz w:val="20"/>
                <w:szCs w:val="20"/>
                <w:lang w:eastAsia="en-US"/>
              </w:rPr>
              <w:t xml:space="preserve">- зачисление/списание со счета ошибочно зачисленных Банком денежных средств;</w:t>
            </w:r>
            <w:r>
              <w:rPr>
                <w:sz w:val="20"/>
                <w:szCs w:val="20"/>
                <w:highlight w:val="none"/>
                <w:lang w:eastAsia="en-US"/>
              </w:rPr>
            </w:r>
            <w:r>
              <w:rPr>
                <w:sz w:val="20"/>
                <w:szCs w:val="20"/>
                <w:highlight w:val="none"/>
                <w:lang w:eastAsia="en-US"/>
              </w:rPr>
            </w:r>
          </w:p>
          <w:p>
            <w:pPr>
              <w:jc w:val="both"/>
              <w:tabs>
                <w:tab w:val="left" w:pos="708" w:leader="none"/>
                <w:tab w:val="center" w:pos="4677" w:leader="none"/>
                <w:tab w:val="right" w:pos="9355" w:leader="none"/>
              </w:tabs>
              <w:rPr>
                <w:sz w:val="20"/>
                <w:szCs w:val="20"/>
                <w:lang w:eastAsia="en-US"/>
              </w:rPr>
            </w:pPr>
            <w:r>
              <w:rPr>
                <w:sz w:val="20"/>
                <w:szCs w:val="20"/>
                <w:highlight w:val="none"/>
                <w:lang w:eastAsia="en-US"/>
              </w:rPr>
            </w:r>
            <w:r>
              <w:rPr>
                <w:rFonts w:ascii="Times New Roman" w:hAnsi="Times New Roman"/>
                <w:sz w:val="20"/>
                <w:szCs w:val="20"/>
              </w:rPr>
              <w:t xml:space="preserve">-</w:t>
            </w:r>
            <w:r>
              <w:rPr>
                <w:rFonts w:ascii="Times New Roman" w:hAnsi="Times New Roman"/>
                <w:sz w:val="20"/>
                <w:szCs w:val="20"/>
              </w:rPr>
              <w:t xml:space="preserve"> </w:t>
            </w:r>
            <w:r>
              <w:rPr>
                <w:rFonts w:ascii="Times New Roman" w:hAnsi="Times New Roman"/>
                <w:sz w:val="20"/>
                <w:szCs w:val="20"/>
              </w:rPr>
              <w:t xml:space="preserve">зачисление</w:t>
            </w:r>
            <w:r>
              <w:rPr>
                <w:rFonts w:ascii="Times New Roman" w:hAnsi="Times New Roman"/>
                <w:sz w:val="20"/>
                <w:szCs w:val="20"/>
              </w:rPr>
              <w:t xml:space="preserve"> денежных</w:t>
            </w:r>
            <w:r>
              <w:rPr>
                <w:rFonts w:ascii="Times New Roman" w:hAnsi="Times New Roman"/>
                <w:sz w:val="20"/>
                <w:szCs w:val="20"/>
              </w:rPr>
              <w:t xml:space="preserve"> средств </w:t>
            </w:r>
            <w:r>
              <w:rPr>
                <w:rFonts w:ascii="Times New Roman" w:hAnsi="Times New Roman"/>
                <w:sz w:val="20"/>
                <w:szCs w:val="20"/>
              </w:rPr>
              <w:t xml:space="preserve">с целью</w:t>
            </w:r>
            <w:r>
              <w:rPr>
                <w:rFonts w:ascii="Times New Roman" w:hAnsi="Times New Roman"/>
                <w:sz w:val="20"/>
                <w:szCs w:val="20"/>
              </w:rPr>
              <w:t xml:space="preserve"> погашения деб</w:t>
            </w:r>
            <w:r>
              <w:rPr>
                <w:rFonts w:ascii="Times New Roman" w:hAnsi="Times New Roman"/>
                <w:sz w:val="20"/>
                <w:szCs w:val="20"/>
              </w:rPr>
              <w:t xml:space="preserve">и</w:t>
            </w:r>
            <w:r>
              <w:rPr>
                <w:rFonts w:ascii="Times New Roman" w:hAnsi="Times New Roman"/>
                <w:sz w:val="20"/>
                <w:szCs w:val="20"/>
              </w:rPr>
              <w:t xml:space="preserve">торской задолженности по оплате комиссий перед Банком</w:t>
            </w:r>
            <w:r>
              <w:rPr>
                <w:rFonts w:ascii="Times New Roman" w:hAnsi="Times New Roman"/>
                <w:sz w:val="20"/>
                <w:szCs w:val="20"/>
                <w:highlight w:val="none"/>
                <w14:ligatures w14:val="none"/>
              </w:rPr>
              <w:t xml:space="preserve"> </w:t>
            </w:r>
            <w:r>
              <w:rPr>
                <w:rFonts w:ascii="Times New Roman" w:hAnsi="Times New Roman"/>
                <w:sz w:val="20"/>
                <w:szCs w:val="20"/>
              </w:rPr>
              <w:t xml:space="preserve">(применяется, если в поле «Назначение платежа» </w:t>
            </w:r>
            <w:r>
              <w:rPr>
                <w:rFonts w:ascii="Times New Roman" w:hAnsi="Times New Roman"/>
                <w:sz w:val="20"/>
                <w:szCs w:val="20"/>
              </w:rPr>
              <w:t xml:space="preserve">расчетного документа/в объявлении на взнос наличными </w:t>
            </w:r>
            <w:r>
              <w:rPr>
                <w:rFonts w:ascii="Times New Roman" w:hAnsi="Times New Roman"/>
                <w:sz w:val="20"/>
                <w:szCs w:val="20"/>
              </w:rPr>
              <w:t xml:space="preserve">указывается четкая информация о цели </w:t>
            </w:r>
            <w:r>
              <w:rPr>
                <w:rFonts w:ascii="Times New Roman" w:hAnsi="Times New Roman"/>
                <w:sz w:val="20"/>
                <w:szCs w:val="20"/>
              </w:rPr>
              <w:t xml:space="preserve">пополнения </w:t>
            </w:r>
            <w:r>
              <w:rPr>
                <w:rFonts w:ascii="Times New Roman" w:hAnsi="Times New Roman"/>
                <w:sz w:val="20"/>
                <w:szCs w:val="20"/>
              </w:rPr>
              <w:t xml:space="preserve">с</w:t>
            </w:r>
            <w:r>
              <w:rPr>
                <w:rFonts w:ascii="Times New Roman" w:hAnsi="Times New Roman"/>
                <w:sz w:val="20"/>
                <w:szCs w:val="20"/>
              </w:rPr>
              <w:t xml:space="preserve">чета </w:t>
            </w:r>
            <w:r>
              <w:rPr>
                <w:rFonts w:ascii="Times New Roman" w:hAnsi="Times New Roman"/>
                <w:sz w:val="20"/>
                <w:szCs w:val="20"/>
              </w:rPr>
              <w:t xml:space="preserve">(для погашения дебиторской задолженности по оплате комиссии перед Банком))</w:t>
            </w:r>
            <w:r>
              <w:rPr>
                <w:rFonts w:ascii="Times New Roman" w:hAnsi="Times New Roman"/>
                <w:sz w:val="20"/>
                <w:szCs w:val="20"/>
              </w:rPr>
              <w:t xml:space="preserve">.</w:t>
            </w:r>
            <w:r>
              <w:rPr>
                <w:sz w:val="20"/>
                <w:szCs w:val="20"/>
                <w:lang w:eastAsia="en-US"/>
              </w:rPr>
            </w:r>
            <w:r>
              <w:rPr>
                <w:sz w:val="20"/>
                <w:szCs w:val="20"/>
                <w:lang w:eastAsia="en-US"/>
              </w:rPr>
            </w:r>
          </w:p>
          <w:p>
            <w:pPr>
              <w:pStyle w:val="1135"/>
              <w:jc w:val="both"/>
              <w:tabs>
                <w:tab w:val="left" w:pos="708" w:leader="none"/>
                <w:tab w:val="center" w:pos="4677" w:leader="none"/>
                <w:tab w:val="right" w:pos="9355" w:leader="none"/>
              </w:tabs>
              <w:rPr>
                <w:sz w:val="20"/>
                <w:szCs w:val="20"/>
                <w:lang w:eastAsia="en-US"/>
              </w:rPr>
            </w:pPr>
            <w:r>
              <w:rPr>
                <w:sz w:val="20"/>
                <w:szCs w:val="20"/>
                <w:lang w:eastAsia="en-US"/>
              </w:rPr>
              <w:t xml:space="preserve">Перечисление/выдача остатка денежных средств при закрытии счета признается операцией по счету.</w:t>
            </w:r>
            <w:r>
              <w:rPr>
                <w:sz w:val="20"/>
                <w:szCs w:val="20"/>
                <w:lang w:eastAsia="en-US"/>
              </w:rPr>
            </w:r>
            <w:r>
              <w:rPr>
                <w:sz w:val="20"/>
                <w:szCs w:val="20"/>
                <w:lang w:eastAsia="en-US"/>
              </w:rPr>
            </w:r>
          </w:p>
          <w:p>
            <w:pPr>
              <w:pStyle w:val="1135"/>
              <w:jc w:val="both"/>
              <w:tabs>
                <w:tab w:val="left" w:pos="708" w:leader="none"/>
                <w:tab w:val="center" w:pos="4677" w:leader="none"/>
                <w:tab w:val="right" w:pos="9355" w:leader="none"/>
              </w:tabs>
              <w:rPr>
                <w:sz w:val="20"/>
                <w:szCs w:val="20"/>
                <w:lang w:eastAsia="en-US"/>
              </w:rPr>
            </w:pPr>
            <w:r>
              <w:rPr>
                <w:sz w:val="20"/>
                <w:szCs w:val="20"/>
                <w:lang w:eastAsia="en-US"/>
              </w:rPr>
              <w:t xml:space="preserve">Начиная с 4 (четвертого) календарного месяца при отсутствии операций по счету комиссия взимается в установленном размере согласно п. 1.2.3.2 Тарифов, но н</w:t>
            </w:r>
            <w:r>
              <w:rPr>
                <w:sz w:val="20"/>
                <w:szCs w:val="20"/>
                <w:lang w:eastAsia="en-US"/>
              </w:rPr>
              <w:t xml:space="preserve">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r>
              <w:rPr>
                <w:sz w:val="20"/>
                <w:szCs w:val="20"/>
                <w:lang w:eastAsia="en-US"/>
              </w:rPr>
            </w:r>
            <w:r>
              <w:rPr>
                <w:sz w:val="20"/>
                <w:szCs w:val="20"/>
                <w:lang w:eastAsia="en-US"/>
              </w:rPr>
            </w:r>
          </w:p>
          <w:p>
            <w:pPr>
              <w:rPr>
                <w:sz w:val="20"/>
                <w:szCs w:val="20"/>
              </w:rPr>
            </w:pPr>
            <w:r>
              <w:rPr>
                <w:sz w:val="20"/>
                <w:szCs w:val="20"/>
              </w:rPr>
            </w:r>
            <w:r>
              <w:rPr>
                <w:sz w:val="20"/>
                <w:szCs w:val="20"/>
              </w:rPr>
            </w:r>
            <w:r>
              <w:rPr>
                <w:sz w:val="20"/>
                <w:szCs w:val="20"/>
              </w:rPr>
            </w:r>
          </w:p>
          <w:p>
            <w:pPr>
              <w:pStyle w:val="1135"/>
              <w:jc w:val="both"/>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независимо от наличия/отсутствия операций в течение календарного месяца.</w:t>
            </w:r>
            <w:r>
              <w:rPr>
                <w:sz w:val="20"/>
                <w:szCs w:val="20"/>
                <w:lang w:eastAsia="en-US"/>
              </w:rPr>
            </w:r>
            <w:r>
              <w:rPr>
                <w:sz w:val="20"/>
                <w:szCs w:val="20"/>
                <w:lang w:eastAsia="en-US"/>
              </w:rPr>
            </w:r>
          </w:p>
          <w:p>
            <w:pPr>
              <w:pStyle w:val="1135"/>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35"/>
              <w:jc w:val="both"/>
              <w:tabs>
                <w:tab w:val="left" w:pos="708" w:leader="none"/>
                <w:tab w:val="center" w:pos="4677" w:leader="none"/>
                <w:tab w:val="right" w:pos="9355" w:leader="none"/>
              </w:tabs>
              <w:rPr>
                <w:sz w:val="20"/>
                <w:szCs w:val="20"/>
              </w:rPr>
            </w:pPr>
            <w:r>
              <w:rPr>
                <w:sz w:val="20"/>
                <w:szCs w:val="20"/>
              </w:rPr>
              <w:t xml:space="preserve">Комиссия взимается по ставке тарифа, действующей на дату начисления комиссии.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74"/>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35"/>
              <w:jc w:val="both"/>
              <w:tabs>
                <w:tab w:val="left" w:pos="708" w:leader="none"/>
                <w:tab w:val="center" w:pos="4677" w:leader="none"/>
                <w:tab w:val="right" w:pos="9355" w:leader="none"/>
              </w:tabs>
              <w:rPr>
                <w:sz w:val="20"/>
                <w:szCs w:val="20"/>
                <w:lang w:eastAsia="en-US"/>
              </w:rPr>
            </w:pPr>
            <w:r>
              <w:rPr>
                <w:sz w:val="20"/>
                <w:szCs w:val="20"/>
                <w:lang w:eastAsia="en-US"/>
              </w:rPr>
              <w:t xml:space="preserve">1.2.3.3</w:t>
            </w:r>
            <w:r>
              <w:rPr>
                <w:sz w:val="20"/>
                <w:szCs w:val="20"/>
                <w:lang w:eastAsia="en-US"/>
              </w:rPr>
            </w:r>
            <w:r>
              <w:rPr>
                <w:sz w:val="20"/>
                <w:szCs w:val="20"/>
                <w:lang w:eastAsia="en-US"/>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135"/>
              <w:ind w:left="-52" w:firstLine="52"/>
              <w:jc w:val="both"/>
              <w:spacing w:before="40" w:after="40"/>
              <w:rPr>
                <w:bCs/>
                <w:sz w:val="20"/>
                <w:szCs w:val="20"/>
              </w:rPr>
            </w:pPr>
            <w:r>
              <w:rPr>
                <w:sz w:val="20"/>
                <w:szCs w:val="20"/>
              </w:rPr>
              <w:t xml:space="preserve">Ведение счета в отдельных иностранных валютах**:</w:t>
            </w:r>
            <w:r>
              <w:rPr>
                <w:bCs/>
                <w:sz w:val="20"/>
                <w:szCs w:val="20"/>
              </w:rPr>
            </w:r>
            <w:r>
              <w:rPr>
                <w:bCs/>
                <w:sz w:val="20"/>
                <w:szCs w:val="20"/>
              </w:rPr>
            </w:r>
          </w:p>
          <w:p>
            <w:pPr>
              <w:pStyle w:val="1135"/>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gridSpan w:val="2"/>
            <w:tcBorders>
              <w:top w:val="single" w:color="000000" w:sz="4" w:space="0"/>
              <w:left w:val="single" w:color="000000" w:sz="4" w:space="0"/>
              <w:bottom w:val="none" w:color="000000" w:sz="4" w:space="0"/>
              <w:right w:val="single" w:color="000000" w:sz="4" w:space="0"/>
            </w:tcBorders>
            <w:tcW w:w="2540" w:type="dxa"/>
            <w:vAlign w:val="top"/>
            <w:textDirection w:val="lrTb"/>
            <w:noWrap w:val="false"/>
          </w:tcPr>
          <w:p>
            <w:pPr>
              <w:pStyle w:val="1135"/>
              <w:jc w:val="center"/>
              <w:spacing w:before="40" w:after="40"/>
              <w:rPr>
                <w:bCs/>
                <w:sz w:val="20"/>
                <w:szCs w:val="20"/>
              </w:rPr>
            </w:pPr>
            <w:r>
              <w:rPr>
                <w:sz w:val="20"/>
                <w:szCs w:val="20"/>
                <w:lang w:eastAsia="en-US"/>
              </w:rPr>
              <w:t xml:space="preserve">0,25% от совокупного среднедневного остатка</w:t>
            </w:r>
            <w:r>
              <w:rPr>
                <w:bCs/>
                <w:sz w:val="20"/>
                <w:szCs w:val="20"/>
              </w:rPr>
            </w:r>
            <w:r>
              <w:rPr>
                <w:bCs/>
                <w:sz w:val="20"/>
                <w:szCs w:val="20"/>
              </w:rPr>
            </w:r>
          </w:p>
          <w:p>
            <w:pPr>
              <w:pStyle w:val="1135"/>
              <w:jc w:val="center"/>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single" w:color="000000" w:sz="4" w:space="0"/>
              <w:left w:val="single" w:color="000000" w:sz="4" w:space="0"/>
              <w:bottom w:val="none" w:color="000000" w:sz="4" w:space="0"/>
              <w:right w:val="single" w:color="000000" w:sz="4" w:space="0"/>
            </w:tcBorders>
            <w:tcW w:w="3541" w:type="dxa"/>
            <w:vAlign w:val="top"/>
            <w:textDirection w:val="lrTb"/>
            <w:noWrap w:val="false"/>
          </w:tcPr>
          <w:p>
            <w:pPr>
              <w:pStyle w:val="1135"/>
              <w:jc w:val="both"/>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с расчетного счета в соответствующей иностранной валюте.</w:t>
            </w:r>
            <w:r>
              <w:rPr>
                <w:sz w:val="20"/>
                <w:szCs w:val="20"/>
                <w:lang w:eastAsia="en-US"/>
              </w:rPr>
            </w:r>
            <w:r>
              <w:rPr>
                <w:sz w:val="20"/>
                <w:szCs w:val="20"/>
                <w:lang w:eastAsia="en-US"/>
              </w:rPr>
            </w:r>
          </w:p>
          <w:p>
            <w:pPr>
              <w:pStyle w:val="1135"/>
              <w:jc w:val="both"/>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ежемесячно в последний рабочий день месяца/в день закрытия счета, включая месяц, в котором открыт счет.</w:t>
            </w:r>
            <w:r>
              <w:rPr>
                <w:sz w:val="20"/>
                <w:szCs w:val="20"/>
                <w:lang w:eastAsia="en-US"/>
              </w:rPr>
            </w:r>
            <w:r>
              <w:rPr>
                <w:sz w:val="20"/>
                <w:szCs w:val="20"/>
                <w:lang w:eastAsia="en-US"/>
              </w:rPr>
            </w:r>
          </w:p>
          <w:p>
            <w:pPr>
              <w:pStyle w:val="1135"/>
              <w:jc w:val="both"/>
              <w:tabs>
                <w:tab w:val="left" w:pos="708" w:leader="none"/>
                <w:tab w:val="center" w:pos="4677" w:leader="none"/>
                <w:tab w:val="right" w:pos="9355" w:leader="none"/>
              </w:tabs>
              <w:rPr>
                <w:sz w:val="20"/>
                <w:szCs w:val="20"/>
              </w:rPr>
            </w:pPr>
            <w:r>
              <w:rPr>
                <w:sz w:val="20"/>
                <w:szCs w:val="20"/>
                <w:lang w:eastAsia="en-US"/>
              </w:rPr>
              <w:t xml:space="preserve">Комиссия взимается независимо от наличия/отсутствия операций в течение календарного месяца</w:t>
            </w:r>
            <w:r>
              <w:rPr>
                <w:sz w:val="20"/>
                <w:szCs w:val="20"/>
              </w:rPr>
              <w:t xml:space="preserve">.</w:t>
            </w:r>
            <w:r>
              <w:rPr>
                <w:sz w:val="20"/>
                <w:szCs w:val="20"/>
              </w:rPr>
            </w:r>
            <w:r>
              <w:rPr>
                <w:sz w:val="20"/>
                <w:szCs w:val="20"/>
              </w:rPr>
            </w:r>
          </w:p>
          <w:p>
            <w:pPr>
              <w:pStyle w:val="1135"/>
              <w:jc w:val="both"/>
              <w:tabs>
                <w:tab w:val="left" w:pos="708" w:leader="none"/>
                <w:tab w:val="center" w:pos="4677" w:leader="none"/>
                <w:tab w:val="right" w:pos="9355" w:leader="none"/>
              </w:tabs>
              <w:rPr>
                <w:sz w:val="20"/>
                <w:szCs w:val="20"/>
              </w:rPr>
            </w:pPr>
            <w:r>
              <w:rPr>
                <w:sz w:val="20"/>
                <w:szCs w:val="20"/>
              </w:rPr>
              <w:t xml:space="preserve">Комиссия взимается по ставке тарифа, действующей на дату начисления комиссии.</w:t>
            </w:r>
            <w:r>
              <w:rPr>
                <w:sz w:val="20"/>
                <w:szCs w:val="20"/>
              </w:rPr>
            </w:r>
            <w:r>
              <w:rPr>
                <w:sz w:val="20"/>
                <w:szCs w:val="20"/>
              </w:rPr>
            </w:r>
          </w:p>
          <w:p>
            <w:pPr>
              <w:pStyle w:val="1135"/>
              <w:jc w:val="both"/>
              <w:tabs>
                <w:tab w:val="left" w:pos="708" w:leader="none"/>
                <w:tab w:val="center" w:pos="4677" w:leader="none"/>
                <w:tab w:val="right" w:pos="9355" w:leader="none"/>
              </w:tabs>
              <w:rPr>
                <w:sz w:val="20"/>
                <w:szCs w:val="20"/>
                <w:lang w:eastAsia="en-US"/>
              </w:rPr>
            </w:pPr>
            <w:r>
              <w:rPr>
                <w:sz w:val="20"/>
                <w:szCs w:val="20"/>
                <w:lang w:eastAsia="en-US"/>
              </w:rPr>
              <w:t xml:space="preserve">Комиссия не взимается если совокупный среднедневной остаток равен нулю.</w:t>
            </w:r>
            <w:r>
              <w:rPr>
                <w:sz w:val="20"/>
                <w:szCs w:val="20"/>
                <w:lang w:eastAsia="en-US"/>
              </w:rPr>
            </w:r>
            <w:r>
              <w:rPr>
                <w:sz w:val="20"/>
                <w:szCs w:val="20"/>
                <w:lang w:eastAsia="en-US"/>
              </w:rPr>
            </w:r>
          </w:p>
          <w:p>
            <w:pPr>
              <w:pStyle w:val="1135"/>
              <w:jc w:val="both"/>
              <w:tabs>
                <w:tab w:val="left" w:pos="708" w:leader="none"/>
                <w:tab w:val="center" w:pos="4677" w:leader="none"/>
                <w:tab w:val="right" w:pos="9355" w:leader="none"/>
              </w:tabs>
              <w:rPr>
                <w:sz w:val="20"/>
                <w:szCs w:val="20"/>
              </w:rPr>
            </w:pPr>
            <w:r>
              <w:rPr>
                <w:sz w:val="20"/>
                <w:szCs w:val="20"/>
              </w:rPr>
              <w:t xml:space="preserve">При отсутствии на расчетном счете в ино</w:t>
            </w:r>
            <w:r>
              <w:rPr>
                <w:sz w:val="20"/>
                <w:szCs w:val="20"/>
              </w:rPr>
              <w:t xml:space="preserve">странной валюте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r>
              <w:rPr>
                <w:sz w:val="20"/>
                <w:szCs w:val="20"/>
              </w:rPr>
            </w:r>
            <w:r>
              <w:rPr>
                <w:sz w:val="20"/>
                <w:szCs w:val="20"/>
              </w:rPr>
            </w:r>
          </w:p>
          <w:p>
            <w:pPr>
              <w:pStyle w:val="1135"/>
              <w:jc w:val="both"/>
              <w:tabs>
                <w:tab w:val="left" w:pos="708" w:leader="none"/>
                <w:tab w:val="center" w:pos="4677" w:leader="none"/>
                <w:tab w:val="right" w:pos="9355" w:leader="none"/>
              </w:tabs>
              <w:rPr>
                <w:sz w:val="20"/>
                <w:szCs w:val="20"/>
              </w:rPr>
            </w:pPr>
            <w:r>
              <w:rPr>
                <w:sz w:val="20"/>
                <w:szCs w:val="20"/>
                <w:lang w:eastAsia="en-US"/>
              </w:rPr>
              <w:t xml:space="preserve">При расчете совокупного среднедневного остатка учитываются остатки на расчетном счете в иностранной валюте и соответствующем ему транзитном счете.</w:t>
            </w:r>
            <w:r>
              <w:rPr>
                <w:sz w:val="20"/>
                <w:szCs w:val="20"/>
              </w:rPr>
            </w:r>
            <w:r>
              <w:rPr>
                <w:sz w:val="20"/>
                <w:szCs w:val="20"/>
              </w:rPr>
            </w:r>
          </w:p>
          <w:p>
            <w:pPr>
              <w:pStyle w:val="1135"/>
              <w:jc w:val="both"/>
              <w:tabs>
                <w:tab w:val="left" w:pos="708" w:leader="none"/>
                <w:tab w:val="center" w:pos="4677" w:leader="none"/>
                <w:tab w:val="right" w:pos="9355" w:leader="none"/>
              </w:tabs>
              <w:rPr>
                <w:sz w:val="20"/>
                <w:szCs w:val="20"/>
              </w:rPr>
            </w:pPr>
            <w:r>
              <w:rPr>
                <w:sz w:val="20"/>
                <w:szCs w:val="20"/>
                <w:lang w:eastAsia="en-US"/>
              </w:rPr>
              <w:t xml:space="preserve">Совокупный среднедневной остаток рассчитывается как отношение суммы остатков денежных средств на расчетном и соответствующем ему транзитном счетах Клиента в иностранной валюте на начало каждого календарного дня в течение расчетного месяца к количеству</w:t>
            </w:r>
            <w:r>
              <w:rPr>
                <w:sz w:val="20"/>
                <w:szCs w:val="20"/>
                <w:lang w:eastAsia="en-US"/>
              </w:rPr>
              <w:t xml:space="preserve">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w:t>
            </w:r>
            <w:r>
              <w:rPr>
                <w:sz w:val="20"/>
                <w:szCs w:val="20"/>
                <w:lang w:eastAsia="en-US"/>
              </w:rPr>
              <w:t xml:space="preserve">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35"/>
              <w:ind w:left="-52" w:firstLine="52"/>
              <w:jc w:val="center"/>
              <w:spacing w:before="40" w:after="40"/>
              <w:rPr>
                <w:bCs/>
                <w:sz w:val="20"/>
                <w:szCs w:val="20"/>
              </w:rPr>
            </w:pPr>
            <w:r>
              <w:rPr>
                <w:bCs/>
                <w:sz w:val="20"/>
                <w:szCs w:val="20"/>
              </w:rPr>
              <w:t xml:space="preserve">1.2.4.</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35"/>
              <w:ind w:left="-52" w:firstLine="52"/>
              <w:jc w:val="both"/>
              <w:spacing w:before="40" w:after="40"/>
              <w:rPr>
                <w:bCs/>
                <w:sz w:val="20"/>
                <w:szCs w:val="20"/>
              </w:rPr>
            </w:pPr>
            <w:r>
              <w:rPr>
                <w:bCs/>
                <w:sz w:val="20"/>
                <w:szCs w:val="20"/>
              </w:rPr>
              <w:t xml:space="preserve">Начисление процентов на остатки средств по текущему счету </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135"/>
              <w:jc w:val="center"/>
              <w:spacing w:before="40" w:after="40"/>
              <w:rPr>
                <w:bCs/>
                <w:sz w:val="20"/>
                <w:szCs w:val="20"/>
              </w:rPr>
            </w:pPr>
            <w:r>
              <w:rPr>
                <w:bCs/>
                <w:sz w:val="20"/>
                <w:szCs w:val="20"/>
              </w:rPr>
              <w:t xml:space="preserve">По согласованию сторон</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35"/>
              <w:jc w:val="both"/>
              <w:spacing w:before="40" w:after="40"/>
              <w:rPr>
                <w:bCs/>
                <w:sz w:val="20"/>
                <w:szCs w:val="20"/>
              </w:rPr>
            </w:pPr>
            <w:r>
              <w:rPr>
                <w:bCs/>
                <w:sz w:val="20"/>
                <w:szCs w:val="20"/>
              </w:rPr>
              <w:t xml:space="preserve">Оформляется дополнительным соглашением к договору банковского счета</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35"/>
              <w:jc w:val="center"/>
              <w:spacing w:before="40"/>
              <w:rPr>
                <w:sz w:val="20"/>
                <w:szCs w:val="20"/>
              </w:rPr>
            </w:pPr>
            <w:r>
              <w:rPr>
                <w:sz w:val="20"/>
                <w:szCs w:val="20"/>
              </w:rPr>
              <w:t xml:space="preserve">1.2.5.</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35"/>
              <w:spacing w:before="40"/>
              <w:rPr>
                <w:sz w:val="20"/>
                <w:szCs w:val="20"/>
              </w:rPr>
            </w:pPr>
            <w:r>
              <w:rPr>
                <w:sz w:val="20"/>
                <w:szCs w:val="20"/>
              </w:rPr>
              <w:t xml:space="preserve">Переводы денежных средств со счета клиента</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135"/>
              <w:jc w:val="center"/>
              <w:spacing w:before="40"/>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35"/>
              <w:jc w:val="both"/>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35"/>
              <w:jc w:val="center"/>
              <w:spacing w:before="40"/>
              <w:rPr>
                <w:sz w:val="20"/>
                <w:szCs w:val="20"/>
              </w:rPr>
            </w:pPr>
            <w:r>
              <w:rPr>
                <w:sz w:val="20"/>
                <w:szCs w:val="20"/>
              </w:rPr>
              <w:t xml:space="preserve">1.2.5.1.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35"/>
              <w:spacing w:before="40"/>
              <w:rPr>
                <w:sz w:val="20"/>
                <w:szCs w:val="20"/>
              </w:rPr>
            </w:pPr>
            <w:r>
              <w:rPr>
                <w:sz w:val="20"/>
                <w:szCs w:val="20"/>
                <w:lang w:eastAsia="en-US"/>
              </w:rPr>
              <w:t xml:space="preserve">На счета, открытые в других кредитных организациях</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135"/>
              <w:jc w:val="center"/>
              <w:rPr>
                <w:sz w:val="20"/>
                <w:szCs w:val="20"/>
              </w:rPr>
            </w:pPr>
            <w:r>
              <w:rPr>
                <w:sz w:val="20"/>
                <w:szCs w:val="20"/>
              </w:rPr>
              <w:t xml:space="preserve">0,33%</w:t>
            </w:r>
            <w:r>
              <w:rPr>
                <w:sz w:val="20"/>
                <w:szCs w:val="20"/>
              </w:rPr>
            </w:r>
            <w:r>
              <w:rPr>
                <w:sz w:val="20"/>
                <w:szCs w:val="20"/>
              </w:rPr>
            </w:r>
          </w:p>
          <w:p>
            <w:pPr>
              <w:pStyle w:val="1135"/>
              <w:jc w:val="center"/>
              <w:rPr>
                <w:sz w:val="20"/>
                <w:szCs w:val="20"/>
              </w:rPr>
            </w:pPr>
            <w:r>
              <w:rPr>
                <w:sz w:val="20"/>
                <w:szCs w:val="20"/>
              </w:rPr>
              <w:t xml:space="preserve">минимум </w:t>
            </w:r>
            <w:r>
              <w:rPr>
                <w:sz w:val="20"/>
                <w:szCs w:val="20"/>
              </w:rPr>
            </w:r>
            <w:r>
              <w:rPr>
                <w:sz w:val="20"/>
                <w:szCs w:val="20"/>
              </w:rPr>
            </w:r>
          </w:p>
          <w:p>
            <w:pPr>
              <w:pStyle w:val="1135"/>
              <w:jc w:val="center"/>
              <w:rPr>
                <w:sz w:val="20"/>
                <w:szCs w:val="20"/>
              </w:rPr>
            </w:pPr>
            <w:r>
              <w:rPr>
                <w:sz w:val="20"/>
                <w:szCs w:val="20"/>
              </w:rPr>
              <w:t xml:space="preserve">25 долл. США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35"/>
              <w:jc w:val="both"/>
              <w:rPr>
                <w:bCs/>
                <w:sz w:val="20"/>
                <w:szCs w:val="20"/>
              </w:rPr>
            </w:pPr>
            <w:r>
              <w:rPr>
                <w:sz w:val="20"/>
                <w:szCs w:val="20"/>
              </w:rPr>
              <w:t xml:space="preserve">Банк вправе отказать в приеме к исполнению расчетного документа</w:t>
            </w:r>
            <w:r>
              <w:rPr>
                <w:color w:val="000000"/>
                <w:sz w:val="20"/>
                <w:szCs w:val="20"/>
              </w:rPr>
              <w:t xml:space="preserve">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w:t>
            </w:r>
            <w:r>
              <w:rPr>
                <w:sz w:val="20"/>
                <w:szCs w:val="20"/>
              </w:rPr>
              <w:t xml:space="preserve">.</w:t>
            </w:r>
            <w:r>
              <w:rPr>
                <w:bCs/>
                <w:sz w:val="20"/>
                <w:szCs w:val="20"/>
              </w:rPr>
              <w:t xml:space="preserve"> </w:t>
            </w:r>
            <w:r>
              <w:rPr>
                <w:bCs/>
                <w:sz w:val="20"/>
                <w:szCs w:val="20"/>
              </w:rPr>
            </w:r>
            <w:r>
              <w:rPr>
                <w:bCs/>
                <w:sz w:val="20"/>
                <w:szCs w:val="20"/>
              </w:rPr>
            </w:r>
          </w:p>
          <w:p>
            <w:pPr>
              <w:pStyle w:val="1135"/>
              <w:jc w:val="both"/>
              <w:rPr>
                <w:bCs/>
                <w:sz w:val="20"/>
                <w:szCs w:val="20"/>
              </w:rPr>
            </w:pPr>
            <w:r>
              <w:rPr>
                <w:bCs/>
                <w:sz w:val="20"/>
                <w:szCs w:val="20"/>
              </w:rPr>
              <w:t xml:space="preserve">Услуга оказывается при наличии технической возможности у Банка.</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center"/>
            <w:textDirection w:val="lrTb"/>
            <w:noWrap w:val="false"/>
          </w:tcPr>
          <w:p>
            <w:pPr>
              <w:pStyle w:val="1135"/>
              <w:jc w:val="center"/>
              <w:spacing w:before="40"/>
              <w:rPr>
                <w:sz w:val="20"/>
                <w:szCs w:val="20"/>
              </w:rPr>
            </w:pPr>
            <w:r>
              <w:rPr>
                <w:sz w:val="20"/>
                <w:szCs w:val="20"/>
              </w:rPr>
              <w:t xml:space="preserve">1.2.5.1.1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108" w:type="dxa"/>
            <w:vAlign w:val="center"/>
            <w:textDirection w:val="lrTb"/>
            <w:noWrap w:val="false"/>
          </w:tcPr>
          <w:p>
            <w:pPr>
              <w:pStyle w:val="1135"/>
              <w:spacing w:before="40"/>
              <w:rPr>
                <w:sz w:val="20"/>
                <w:szCs w:val="20"/>
                <w:lang w:eastAsia="en-US"/>
              </w:rPr>
            </w:pPr>
            <w:r>
              <w:rPr>
                <w:sz w:val="20"/>
                <w:szCs w:val="20"/>
              </w:rPr>
              <w:t xml:space="preserve">Переводы в долларах США с гарантированным получением бенефициаром первоначальной суммы платежа без вычета комиссий банков-посредников</w:t>
            </w:r>
            <w:r>
              <w:rPr>
                <w:sz w:val="20"/>
                <w:szCs w:val="20"/>
                <w:lang w:eastAsia="en-US"/>
              </w:rPr>
            </w:r>
            <w:r>
              <w:rPr>
                <w:sz w:val="20"/>
                <w:szCs w:val="20"/>
                <w:lang w:eastAsia="en-US"/>
              </w:rPr>
            </w:r>
          </w:p>
        </w:tc>
        <w:tc>
          <w:tcPr>
            <w:gridSpan w:val="2"/>
            <w:tcBorders>
              <w:top w:val="single" w:color="000000" w:sz="4" w:space="0"/>
              <w:left w:val="single" w:color="000000" w:sz="4" w:space="0"/>
              <w:bottom w:val="single" w:color="000000" w:sz="4" w:space="0"/>
              <w:right w:val="single" w:color="000000" w:sz="4" w:space="0"/>
            </w:tcBorders>
            <w:tcW w:w="2540" w:type="dxa"/>
            <w:vAlign w:val="center"/>
            <w:textDirection w:val="lrTb"/>
            <w:noWrap w:val="false"/>
          </w:tcPr>
          <w:p>
            <w:pPr>
              <w:pStyle w:val="1135"/>
              <w:jc w:val="center"/>
              <w:rPr>
                <w:sz w:val="20"/>
                <w:szCs w:val="20"/>
              </w:rPr>
            </w:pPr>
            <w:r>
              <w:rPr>
                <w:sz w:val="20"/>
                <w:szCs w:val="20"/>
              </w:rPr>
              <w:t xml:space="preserve">20 долл. США </w:t>
              <w:br w:type="textWrapping" w:clear="all"/>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1" w:type="dxa"/>
            <w:vAlign w:val="center"/>
            <w:textDirection w:val="lrTb"/>
            <w:noWrap w:val="false"/>
          </w:tcPr>
          <w:p>
            <w:pPr>
              <w:pStyle w:val="1135"/>
              <w:ind w:left="34"/>
              <w:rPr>
                <w:sz w:val="20"/>
                <w:szCs w:val="20"/>
              </w:rPr>
            </w:pPr>
            <w:r>
              <w:rPr>
                <w:sz w:val="20"/>
                <w:szCs w:val="20"/>
              </w:rPr>
              <w:t xml:space="preserve">Комиссия Банка взимается в день совершения операции отдельно от суммы перевода.</w:t>
            </w:r>
            <w:r>
              <w:rPr>
                <w:sz w:val="20"/>
                <w:szCs w:val="20"/>
              </w:rPr>
            </w:r>
            <w:r>
              <w:rPr>
                <w:sz w:val="20"/>
                <w:szCs w:val="20"/>
              </w:rPr>
            </w:r>
          </w:p>
          <w:p>
            <w:pPr>
              <w:pStyle w:val="1135"/>
              <w:ind w:left="34"/>
              <w:rPr>
                <w:sz w:val="20"/>
                <w:szCs w:val="20"/>
              </w:rPr>
            </w:pPr>
            <w:r>
              <w:rPr>
                <w:sz w:val="20"/>
                <w:szCs w:val="20"/>
              </w:rPr>
              <w:t xml:space="preserve">Комиссия взимается дополнительно к комиссии, указанной в п. 1.2.5.1 настоящих Тарифов.</w:t>
            </w:r>
            <w:r>
              <w:rPr>
                <w:sz w:val="20"/>
                <w:szCs w:val="20"/>
              </w:rPr>
            </w:r>
            <w:r>
              <w:rPr>
                <w:sz w:val="20"/>
                <w:szCs w:val="20"/>
              </w:rPr>
            </w:r>
          </w:p>
          <w:p>
            <w:pPr>
              <w:pStyle w:val="1135"/>
              <w:ind w:left="34"/>
              <w:tabs>
                <w:tab w:val="left" w:pos="301" w:leader="none"/>
              </w:tabs>
              <w:rPr>
                <w:sz w:val="20"/>
                <w:szCs w:val="20"/>
              </w:rPr>
            </w:pPr>
            <w:r>
              <w:rPr>
                <w:sz w:val="20"/>
                <w:szCs w:val="20"/>
              </w:rPr>
              <w:t xml:space="preserve">Услуга предоставляется при одновременном выполнении следующих условий:</w:t>
            </w:r>
            <w:r>
              <w:rPr>
                <w:sz w:val="20"/>
                <w:szCs w:val="20"/>
              </w:rPr>
            </w:r>
            <w:r>
              <w:rPr>
                <w:sz w:val="20"/>
                <w:szCs w:val="20"/>
              </w:rPr>
            </w:r>
          </w:p>
          <w:p>
            <w:pPr>
              <w:pStyle w:val="1135"/>
              <w:numPr>
                <w:ilvl w:val="0"/>
                <w:numId w:val="38"/>
              </w:numPr>
              <w:ind w:left="340" w:hanging="283"/>
              <w:jc w:val="both"/>
              <w:tabs>
                <w:tab w:val="left" w:pos="340" w:leader="none"/>
              </w:tabs>
              <w:rPr>
                <w:sz w:val="20"/>
                <w:szCs w:val="20"/>
              </w:rPr>
            </w:pPr>
            <w:r>
              <w:rPr>
                <w:sz w:val="20"/>
                <w:szCs w:val="20"/>
              </w:rPr>
              <w:t xml:space="preserve">Валюта перевода – доллары США.</w:t>
            </w:r>
            <w:r>
              <w:rPr>
                <w:sz w:val="20"/>
                <w:szCs w:val="20"/>
              </w:rPr>
            </w:r>
            <w:r>
              <w:rPr>
                <w:sz w:val="20"/>
                <w:szCs w:val="20"/>
              </w:rPr>
            </w:r>
          </w:p>
          <w:p>
            <w:pPr>
              <w:pStyle w:val="1135"/>
              <w:numPr>
                <w:ilvl w:val="0"/>
                <w:numId w:val="38"/>
              </w:numPr>
              <w:ind w:left="340" w:hanging="283"/>
              <w:jc w:val="both"/>
              <w:tabs>
                <w:tab w:val="left" w:pos="340" w:leader="none"/>
              </w:tabs>
              <w:rPr>
                <w:sz w:val="20"/>
                <w:szCs w:val="20"/>
              </w:rPr>
            </w:pPr>
            <w:r>
              <w:rPr>
                <w:sz w:val="20"/>
                <w:szCs w:val="20"/>
              </w:rPr>
              <w:t xml:space="preserve">Счет бенефициара открыт в кредитной организации, которая не находится на территории США.</w:t>
            </w:r>
            <w:r>
              <w:rPr>
                <w:sz w:val="20"/>
                <w:szCs w:val="20"/>
              </w:rPr>
            </w:r>
            <w:r>
              <w:rPr>
                <w:sz w:val="20"/>
                <w:szCs w:val="20"/>
              </w:rPr>
            </w:r>
          </w:p>
          <w:p>
            <w:pPr>
              <w:pStyle w:val="1135"/>
              <w:numPr>
                <w:ilvl w:val="0"/>
                <w:numId w:val="38"/>
              </w:numPr>
              <w:ind w:left="340" w:hanging="283"/>
              <w:jc w:val="both"/>
              <w:tabs>
                <w:tab w:val="left" w:pos="340" w:leader="none"/>
              </w:tabs>
              <w:rPr>
                <w:bCs/>
                <w:sz w:val="20"/>
                <w:szCs w:val="20"/>
              </w:rPr>
            </w:pPr>
            <w:r>
              <w:rPr>
                <w:sz w:val="20"/>
                <w:szCs w:val="20"/>
              </w:rPr>
              <w:t xml:space="preserve">Наличие в платежном поручении инструкции «OUR» в поле «71» и инструкции «/PPRO/» в поле «70» или «72».</w:t>
            </w:r>
            <w:r>
              <w:rPr>
                <w:bCs/>
                <w:sz w:val="20"/>
                <w:szCs w:val="20"/>
              </w:rPr>
            </w:r>
            <w:r>
              <w:rPr>
                <w:bCs/>
                <w:sz w:val="20"/>
                <w:szCs w:val="20"/>
              </w:rPr>
            </w:r>
          </w:p>
          <w:p>
            <w:pPr>
              <w:pStyle w:val="1135"/>
              <w:ind w:left="57"/>
              <w:jc w:val="both"/>
              <w:tabs>
                <w:tab w:val="left" w:pos="340" w:leader="none"/>
              </w:tabs>
              <w:rPr>
                <w:bCs/>
                <w:sz w:val="20"/>
                <w:szCs w:val="20"/>
              </w:rPr>
            </w:pPr>
            <w:r>
              <w:rPr>
                <w:bCs/>
                <w:sz w:val="20"/>
                <w:szCs w:val="20"/>
              </w:rPr>
              <w:t xml:space="preserve">Услуга оказывается при наличии технической возможности у Банка.</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35"/>
              <w:jc w:val="center"/>
              <w:spacing w:before="40"/>
              <w:rPr>
                <w:sz w:val="20"/>
                <w:szCs w:val="20"/>
              </w:rPr>
            </w:pPr>
            <w:r>
              <w:rPr>
                <w:sz w:val="20"/>
                <w:szCs w:val="20"/>
              </w:rPr>
              <w:t xml:space="preserve">1.2.5.2.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35"/>
              <w:spacing w:before="40"/>
              <w:rPr>
                <w:sz w:val="20"/>
                <w:szCs w:val="20"/>
              </w:rPr>
            </w:pPr>
            <w:r>
              <w:rPr>
                <w:sz w:val="20"/>
                <w:szCs w:val="20"/>
                <w:lang w:eastAsia="en-US"/>
              </w:rPr>
              <w:t xml:space="preserve">На счета, открытые в </w:t>
              <w:br w:type="textWrapping" w:clear="all"/>
              <w:t xml:space="preserve">АО «Россельхозбанк»</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135"/>
              <w:jc w:val="center"/>
              <w:spacing w:before="40"/>
              <w:rPr>
                <w:sz w:val="20"/>
                <w:szCs w:val="20"/>
              </w:rPr>
            </w:pP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35"/>
              <w:jc w:val="both"/>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35"/>
              <w:ind w:left="-52" w:firstLine="52"/>
              <w:jc w:val="center"/>
              <w:spacing w:before="40" w:after="40"/>
              <w:rPr>
                <w:bCs/>
                <w:sz w:val="20"/>
                <w:szCs w:val="20"/>
              </w:rPr>
            </w:pPr>
            <w:r>
              <w:rPr>
                <w:bCs/>
                <w:sz w:val="20"/>
                <w:szCs w:val="20"/>
              </w:rPr>
              <w:t xml:space="preserve">1.2.6.</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135"/>
              <w:ind w:left="-51"/>
              <w:jc w:val="both"/>
              <w:spacing w:before="40" w:after="40"/>
              <w:rPr>
                <w:bCs/>
                <w:sz w:val="20"/>
                <w:szCs w:val="20"/>
              </w:rPr>
            </w:pPr>
            <w:r>
              <w:rPr>
                <w:sz w:val="20"/>
                <w:szCs w:val="20"/>
              </w:rPr>
              <w:t xml:space="preserve">Направление запроса в банк-корреспондент на проведение розыска платежа </w:t>
              <w:br w:type="textWrapping" w:clear="all"/>
              <w:t xml:space="preserve">по заявлению Клиента по переводам в иностранной валюте давностью</w:t>
            </w:r>
            <w:r>
              <w:rPr>
                <w:bCs/>
                <w:sz w:val="20"/>
                <w:szCs w:val="20"/>
              </w:rPr>
              <w:t xml:space="preserve">:</w:t>
            </w:r>
            <w:r>
              <w:rPr>
                <w:bCs/>
                <w:sz w:val="20"/>
                <w:szCs w:val="20"/>
              </w:rPr>
            </w:r>
            <w:r>
              <w:rPr>
                <w:bCs/>
                <w:sz w:val="20"/>
                <w:szCs w:val="20"/>
              </w:rPr>
            </w:r>
          </w:p>
        </w:tc>
        <w:tc>
          <w:tcPr>
            <w:gridSpan w:val="2"/>
            <w:tcBorders>
              <w:top w:val="single" w:color="000000" w:sz="4" w:space="0"/>
              <w:left w:val="single" w:color="000000" w:sz="4" w:space="0"/>
              <w:bottom w:val="none" w:color="000000" w:sz="4" w:space="0"/>
              <w:right w:val="single" w:color="000000" w:sz="4" w:space="0"/>
            </w:tcBorders>
            <w:tcW w:w="2540" w:type="dxa"/>
            <w:vAlign w:val="top"/>
            <w:textDirection w:val="lrTb"/>
            <w:noWrap w:val="false"/>
          </w:tcPr>
          <w:p>
            <w:pPr>
              <w:pStyle w:val="1135"/>
              <w:jc w:val="center"/>
              <w:spacing w:before="40" w:after="40"/>
              <w:rPr>
                <w:b/>
                <w:bCs/>
                <w:i/>
                <w:sz w:val="20"/>
                <w:szCs w:val="20"/>
              </w:rPr>
            </w:pPr>
            <w:r>
              <w:rPr>
                <w:b/>
                <w:bCs/>
                <w:i/>
                <w:sz w:val="20"/>
                <w:szCs w:val="20"/>
              </w:rPr>
            </w:r>
            <w:r>
              <w:rPr>
                <w:b/>
                <w:bCs/>
                <w:i/>
                <w:sz w:val="20"/>
                <w:szCs w:val="20"/>
              </w:rPr>
            </w:r>
            <w:r>
              <w:rPr>
                <w:b/>
                <w:bCs/>
                <w:i/>
                <w:sz w:val="20"/>
                <w:szCs w:val="20"/>
              </w:rPr>
            </w:r>
          </w:p>
        </w:tc>
        <w:tc>
          <w:tcPr>
            <w:tcBorders>
              <w:top w:val="single" w:color="000000" w:sz="4" w:space="0"/>
              <w:left w:val="single" w:color="000000" w:sz="4" w:space="0"/>
              <w:right w:val="single" w:color="000000" w:sz="4" w:space="0"/>
            </w:tcBorders>
            <w:tcW w:w="3541" w:type="dxa"/>
            <w:vAlign w:val="top"/>
            <w:vMerge w:val="restart"/>
            <w:textDirection w:val="lrTb"/>
            <w:noWrap w:val="false"/>
          </w:tcPr>
          <w:p>
            <w:pPr>
              <w:pStyle w:val="1135"/>
              <w:spacing w:before="40"/>
              <w:rPr>
                <w:b/>
                <w:bCs/>
                <w:i/>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
                <w:bCs/>
                <w:i/>
                <w:sz w:val="20"/>
                <w:szCs w:val="20"/>
              </w:rPr>
            </w:r>
            <w:r>
              <w:rPr>
                <w:b/>
                <w:bCs/>
                <w:i/>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35"/>
              <w:ind w:left="-52" w:firstLine="52"/>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35"/>
              <w:ind w:left="-51" w:firstLine="51"/>
              <w:jc w:val="both"/>
              <w:spacing w:before="40" w:after="40"/>
              <w:rPr>
                <w:bCs/>
                <w:sz w:val="20"/>
                <w:szCs w:val="20"/>
              </w:rPr>
            </w:pPr>
            <w:r>
              <w:rPr>
                <w:bCs/>
                <w:sz w:val="20"/>
                <w:szCs w:val="20"/>
              </w:rPr>
              <w:t xml:space="preserve">- до трех месяцев</w:t>
            </w:r>
            <w:r>
              <w:rPr>
                <w:bCs/>
                <w:sz w:val="20"/>
                <w:szCs w:val="20"/>
              </w:rPr>
            </w:r>
            <w:r>
              <w:rPr>
                <w:bCs/>
                <w:sz w:val="20"/>
                <w:szCs w:val="20"/>
              </w:rPr>
            </w:r>
          </w:p>
        </w:tc>
        <w:tc>
          <w:tcPr>
            <w:gridSpan w:val="2"/>
            <w:tcBorders>
              <w:top w:val="none" w:color="000000" w:sz="4" w:space="0"/>
              <w:left w:val="single" w:color="000000" w:sz="4" w:space="0"/>
              <w:bottom w:val="none" w:color="000000" w:sz="4" w:space="0"/>
              <w:right w:val="single" w:color="000000" w:sz="4" w:space="0"/>
            </w:tcBorders>
            <w:tcW w:w="2540" w:type="dxa"/>
            <w:vAlign w:val="top"/>
            <w:textDirection w:val="lrTb"/>
            <w:noWrap w:val="false"/>
          </w:tcPr>
          <w:p>
            <w:pPr>
              <w:pStyle w:val="1135"/>
              <w:jc w:val="center"/>
              <w:spacing w:before="40" w:after="40"/>
              <w:rPr>
                <w:b/>
                <w:bCs/>
                <w:i/>
                <w:sz w:val="20"/>
                <w:szCs w:val="20"/>
              </w:rPr>
            </w:pPr>
            <w:r>
              <w:rPr>
                <w:bCs/>
                <w:sz w:val="20"/>
                <w:szCs w:val="20"/>
              </w:rPr>
              <w:t xml:space="preserve">35 долл. США за каждый перевод</w:t>
            </w:r>
            <w:r>
              <w:rPr>
                <w:b/>
                <w:bCs/>
                <w:i/>
                <w:sz w:val="20"/>
                <w:szCs w:val="20"/>
              </w:rPr>
            </w:r>
            <w:r>
              <w:rPr>
                <w:b/>
                <w:bCs/>
                <w:i/>
                <w:sz w:val="20"/>
                <w:szCs w:val="20"/>
              </w:rPr>
            </w:r>
          </w:p>
        </w:tc>
        <w:tc>
          <w:tcPr>
            <w:tcBorders>
              <w:left w:val="single" w:color="000000" w:sz="4" w:space="0"/>
              <w:right w:val="single" w:color="000000" w:sz="4" w:space="0"/>
            </w:tcBorders>
            <w:tcW w:w="3541" w:type="dxa"/>
            <w:vAlign w:val="top"/>
            <w:vMerge w:val="continue"/>
            <w:textDirection w:val="lrTb"/>
            <w:noWrap w:val="false"/>
          </w:tcPr>
          <w:p>
            <w:pPr>
              <w:pStyle w:val="1135"/>
              <w:ind w:left="-52" w:firstLine="52"/>
              <w:spacing w:before="40"/>
              <w:rPr>
                <w:b/>
                <w:bCs/>
                <w:i/>
                <w:sz w:val="20"/>
                <w:szCs w:val="20"/>
              </w:rPr>
            </w:pPr>
            <w:r>
              <w:rPr>
                <w:b/>
                <w:bCs/>
                <w:i/>
                <w:sz w:val="20"/>
                <w:szCs w:val="20"/>
              </w:rPr>
            </w:r>
            <w:r>
              <w:rPr>
                <w:b/>
                <w:bCs/>
                <w:i/>
                <w:sz w:val="20"/>
                <w:szCs w:val="20"/>
              </w:rPr>
            </w:r>
            <w:r>
              <w:rPr>
                <w:b/>
                <w:bCs/>
                <w:i/>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135"/>
              <w:ind w:left="-52" w:firstLine="52"/>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135"/>
              <w:ind w:left="-51" w:firstLine="51"/>
              <w:jc w:val="both"/>
              <w:spacing w:before="40" w:after="40"/>
              <w:rPr>
                <w:bCs/>
                <w:sz w:val="20"/>
                <w:szCs w:val="20"/>
              </w:rPr>
            </w:pPr>
            <w:r>
              <w:rPr>
                <w:bCs/>
                <w:sz w:val="20"/>
                <w:szCs w:val="20"/>
              </w:rPr>
              <w:t xml:space="preserve">- свыше трех месяцев</w:t>
            </w:r>
            <w:r>
              <w:rPr>
                <w:bCs/>
                <w:sz w:val="20"/>
                <w:szCs w:val="20"/>
              </w:rPr>
            </w:r>
            <w:r>
              <w:rPr>
                <w:bCs/>
                <w:sz w:val="20"/>
                <w:szCs w:val="20"/>
              </w:rPr>
            </w:r>
          </w:p>
        </w:tc>
        <w:tc>
          <w:tcPr>
            <w:gridSpan w:val="2"/>
            <w:tcBorders>
              <w:top w:val="none" w:color="000000" w:sz="4" w:space="0"/>
              <w:left w:val="single" w:color="000000" w:sz="4" w:space="0"/>
              <w:bottom w:val="single" w:color="000000" w:sz="4" w:space="0"/>
              <w:right w:val="single" w:color="000000" w:sz="4" w:space="0"/>
            </w:tcBorders>
            <w:tcW w:w="2540" w:type="dxa"/>
            <w:vAlign w:val="top"/>
            <w:textDirection w:val="lrTb"/>
            <w:noWrap w:val="false"/>
          </w:tcPr>
          <w:p>
            <w:pPr>
              <w:pStyle w:val="1135"/>
              <w:jc w:val="center"/>
              <w:spacing w:before="40" w:after="40"/>
              <w:rPr>
                <w:b/>
                <w:bCs/>
                <w:i/>
                <w:sz w:val="20"/>
                <w:szCs w:val="20"/>
              </w:rPr>
            </w:pPr>
            <w:r>
              <w:rPr>
                <w:bCs/>
                <w:sz w:val="20"/>
                <w:szCs w:val="20"/>
              </w:rPr>
              <w:t xml:space="preserve">50 долл. США за каждый перевод</w:t>
            </w:r>
            <w:r>
              <w:rPr>
                <w:b/>
                <w:bCs/>
                <w:i/>
                <w:sz w:val="20"/>
                <w:szCs w:val="20"/>
              </w:rPr>
            </w:r>
            <w:r>
              <w:rPr>
                <w:b/>
                <w:bCs/>
                <w:i/>
                <w:sz w:val="20"/>
                <w:szCs w:val="20"/>
              </w:rPr>
            </w:r>
          </w:p>
        </w:tc>
        <w:tc>
          <w:tcPr>
            <w:tcBorders>
              <w:left w:val="single" w:color="000000" w:sz="4" w:space="0"/>
              <w:bottom w:val="single" w:color="000000" w:sz="4" w:space="0"/>
              <w:right w:val="single" w:color="000000" w:sz="4" w:space="0"/>
            </w:tcBorders>
            <w:tcW w:w="3541" w:type="dxa"/>
            <w:vAlign w:val="top"/>
            <w:vMerge w:val="continue"/>
            <w:textDirection w:val="lrTb"/>
            <w:noWrap w:val="false"/>
          </w:tcPr>
          <w:p>
            <w:pPr>
              <w:pStyle w:val="1135"/>
              <w:ind w:left="-52" w:firstLine="52"/>
              <w:spacing w:before="40"/>
              <w:rPr>
                <w:b/>
                <w:bCs/>
                <w:i/>
                <w:sz w:val="20"/>
                <w:szCs w:val="20"/>
              </w:rPr>
            </w:pPr>
            <w:r>
              <w:rPr>
                <w:b/>
                <w:bCs/>
                <w:i/>
                <w:sz w:val="20"/>
                <w:szCs w:val="20"/>
              </w:rPr>
            </w:r>
            <w:r>
              <w:rPr>
                <w:b/>
                <w:bCs/>
                <w:i/>
                <w:sz w:val="20"/>
                <w:szCs w:val="20"/>
              </w:rPr>
            </w:r>
            <w:r>
              <w:rPr>
                <w:b/>
                <w:bCs/>
                <w:i/>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35"/>
              <w:ind w:left="-52" w:firstLine="52"/>
              <w:jc w:val="center"/>
              <w:spacing w:before="40" w:after="40"/>
              <w:rPr>
                <w:bCs/>
                <w:sz w:val="20"/>
                <w:szCs w:val="20"/>
              </w:rPr>
            </w:pPr>
            <w:r>
              <w:rPr>
                <w:bCs/>
                <w:sz w:val="20"/>
                <w:szCs w:val="20"/>
              </w:rPr>
              <w:t xml:space="preserve">1.2.7.</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35"/>
              <w:ind w:left="-51" w:firstLine="51"/>
              <w:jc w:val="both"/>
              <w:spacing w:before="40" w:after="40"/>
              <w:rPr>
                <w:bCs/>
                <w:sz w:val="20"/>
                <w:szCs w:val="20"/>
              </w:rPr>
            </w:pPr>
            <w:r>
              <w:rPr>
                <w:iCs/>
                <w:sz w:val="20"/>
                <w:szCs w:val="20"/>
              </w:rPr>
              <w:t xml:space="preserve">Отзыв (аннулирование),</w:t>
            </w:r>
            <w:r>
              <w:rPr>
                <w:bCs/>
                <w:sz w:val="20"/>
                <w:szCs w:val="20"/>
              </w:rPr>
              <w:t xml:space="preserve"> возврат перевода</w:t>
            </w:r>
            <w:r>
              <w:rPr>
                <w:iCs/>
                <w:sz w:val="20"/>
                <w:szCs w:val="20"/>
              </w:rPr>
              <w:t xml:space="preserve"> по письменному заявлению клиента</w:t>
            </w:r>
            <w:r>
              <w:rPr>
                <w:bCs/>
                <w:sz w:val="20"/>
                <w:szCs w:val="20"/>
              </w:rPr>
              <w:t xml:space="preserve"> </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135"/>
              <w:jc w:val="center"/>
              <w:spacing w:before="40" w:after="40"/>
              <w:rPr>
                <w:bCs/>
                <w:sz w:val="20"/>
                <w:szCs w:val="20"/>
              </w:rPr>
            </w:pPr>
            <w:r>
              <w:rPr>
                <w:bCs/>
                <w:sz w:val="20"/>
                <w:szCs w:val="20"/>
              </w:rPr>
              <w:t xml:space="preserve">50 долл. США</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35"/>
              <w:ind w:left="-52"/>
              <w:spacing w:before="40"/>
              <w:rPr>
                <w:bCs/>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35"/>
              <w:ind w:left="-52" w:firstLine="52"/>
              <w:jc w:val="center"/>
              <w:spacing w:before="120" w:after="120"/>
              <w:rPr>
                <w:bCs/>
                <w:sz w:val="20"/>
                <w:szCs w:val="20"/>
              </w:rPr>
            </w:pPr>
            <w:r>
              <w:rPr>
                <w:bCs/>
                <w:sz w:val="20"/>
                <w:szCs w:val="20"/>
              </w:rPr>
              <w:t xml:space="preserve">1.3.</w:t>
            </w:r>
            <w:r>
              <w:rPr>
                <w:bCs/>
                <w:sz w:val="20"/>
                <w:szCs w:val="20"/>
              </w:rPr>
            </w:r>
            <w:r>
              <w:rPr>
                <w:bCs/>
                <w:sz w:val="20"/>
                <w:szCs w:val="20"/>
              </w:rPr>
            </w:r>
          </w:p>
        </w:tc>
        <w:tc>
          <w:tcPr>
            <w:gridSpan w:val="4"/>
            <w:tcBorders>
              <w:top w:val="single" w:color="000000" w:sz="4" w:space="0"/>
              <w:left w:val="single" w:color="000000" w:sz="4" w:space="0"/>
              <w:bottom w:val="single" w:color="000000" w:sz="4" w:space="0"/>
              <w:right w:val="single" w:color="000000" w:sz="4" w:space="0"/>
            </w:tcBorders>
            <w:tcW w:w="9189" w:type="dxa"/>
            <w:vAlign w:val="top"/>
            <w:textDirection w:val="lrTb"/>
            <w:noWrap w:val="false"/>
          </w:tcPr>
          <w:p>
            <w:pPr>
              <w:pStyle w:val="1135"/>
              <w:jc w:val="both"/>
              <w:spacing w:before="120"/>
              <w:rPr>
                <w:bCs/>
                <w:sz w:val="20"/>
                <w:szCs w:val="20"/>
              </w:rPr>
            </w:pPr>
            <w:r>
              <w:rPr>
                <w:bCs/>
                <w:sz w:val="20"/>
                <w:szCs w:val="20"/>
              </w:rPr>
              <w:t xml:space="preserve">Предоставление дополнительных услуг по счетам, открытым в Банке</w:t>
            </w:r>
            <w:r>
              <w:rPr>
                <w:bCs/>
                <w:sz w:val="20"/>
                <w:szCs w:val="20"/>
              </w:rPr>
            </w:r>
            <w:r>
              <w:rPr>
                <w:bCs/>
                <w:sz w:val="20"/>
                <w:szCs w:val="20"/>
              </w:rPr>
            </w:r>
          </w:p>
          <w:p>
            <w:pPr>
              <w:pStyle w:val="1135"/>
              <w:jc w:val="both"/>
              <w:spacing w:after="120"/>
              <w:rPr>
                <w:bCs/>
                <w:sz w:val="20"/>
                <w:szCs w:val="20"/>
              </w:rPr>
            </w:pPr>
            <w:r>
              <w:rPr>
                <w:bCs/>
                <w:sz w:val="20"/>
                <w:szCs w:val="20"/>
              </w:rPr>
              <w:t xml:space="preserve">(в рублях Российской Федерации и иностранной валюте)</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35"/>
              <w:jc w:val="center"/>
              <w:spacing w:before="40" w:after="40"/>
              <w:rPr>
                <w:bCs/>
                <w:sz w:val="20"/>
                <w:szCs w:val="20"/>
              </w:rPr>
            </w:pPr>
            <w:r>
              <w:rPr>
                <w:bCs/>
                <w:sz w:val="20"/>
                <w:szCs w:val="20"/>
              </w:rPr>
              <w:t xml:space="preserve">1.3.1.</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35"/>
              <w:jc w:val="both"/>
              <w:spacing w:before="40"/>
              <w:rPr>
                <w:bCs/>
                <w:sz w:val="20"/>
                <w:szCs w:val="20"/>
              </w:rPr>
            </w:pPr>
            <w:r>
              <w:rPr>
                <w:bCs/>
                <w:sz w:val="20"/>
                <w:szCs w:val="20"/>
              </w:rPr>
              <w:t xml:space="preserve">Предоставление выписки по счету</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135"/>
              <w:jc w:val="center"/>
              <w:spacing w:before="40" w:after="40"/>
              <w:rPr>
                <w:bCs/>
                <w:sz w:val="20"/>
                <w:szCs w:val="20"/>
              </w:rPr>
            </w:pPr>
            <w:r>
              <w:rPr>
                <w:sz w:val="20"/>
                <w:szCs w:val="20"/>
              </w:rPr>
              <w:t xml:space="preserve">Не взимается</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35"/>
              <w:spacing w:before="40"/>
              <w:rPr>
                <w:b/>
                <w:bCs/>
                <w:i/>
                <w:sz w:val="20"/>
                <w:szCs w:val="20"/>
              </w:rPr>
            </w:pPr>
            <w:r>
              <w:rPr>
                <w:b/>
                <w:bCs/>
                <w:i/>
                <w:sz w:val="20"/>
                <w:szCs w:val="20"/>
              </w:rPr>
            </w:r>
            <w:r>
              <w:rPr>
                <w:b/>
                <w:bCs/>
                <w:i/>
                <w:sz w:val="20"/>
                <w:szCs w:val="20"/>
              </w:rPr>
            </w:r>
            <w:r>
              <w:rPr>
                <w:b/>
                <w:bCs/>
                <w:i/>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35"/>
              <w:jc w:val="center"/>
              <w:spacing w:before="40" w:after="40"/>
              <w:rPr>
                <w:bCs/>
                <w:sz w:val="20"/>
                <w:szCs w:val="20"/>
              </w:rPr>
            </w:pPr>
            <w:r>
              <w:rPr>
                <w:bCs/>
                <w:sz w:val="20"/>
                <w:szCs w:val="20"/>
              </w:rPr>
              <w:t xml:space="preserve">1.3.2.</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35"/>
              <w:jc w:val="both"/>
              <w:spacing w:before="40" w:after="40"/>
              <w:rPr>
                <w:bCs/>
                <w:sz w:val="20"/>
                <w:szCs w:val="20"/>
              </w:rPr>
            </w:pPr>
            <w:r>
              <w:rPr>
                <w:bCs/>
                <w:sz w:val="20"/>
                <w:szCs w:val="20"/>
              </w:rPr>
              <w:t xml:space="preserve">Выдача справки об открытии счета в момент его открытия </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135"/>
              <w:jc w:val="center"/>
              <w:spacing w:before="40" w:after="40"/>
              <w:rPr>
                <w:bCs/>
                <w:sz w:val="20"/>
                <w:szCs w:val="20"/>
              </w:rPr>
            </w:pPr>
            <w:r>
              <w:rPr>
                <w:sz w:val="20"/>
                <w:szCs w:val="20"/>
              </w:rPr>
              <w:t xml:space="preserve">Не взимается</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35"/>
              <w:rPr>
                <w:b/>
                <w:bCs/>
                <w:i/>
                <w:sz w:val="20"/>
                <w:szCs w:val="20"/>
              </w:rPr>
            </w:pPr>
            <w:r>
              <w:rPr>
                <w:b/>
                <w:bCs/>
                <w:i/>
                <w:sz w:val="20"/>
                <w:szCs w:val="20"/>
              </w:rPr>
            </w:r>
            <w:r>
              <w:rPr>
                <w:b/>
                <w:bCs/>
                <w:i/>
                <w:sz w:val="20"/>
                <w:szCs w:val="20"/>
              </w:rPr>
            </w:r>
            <w:r>
              <w:rPr>
                <w:b/>
                <w:bCs/>
                <w:i/>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35"/>
              <w:jc w:val="center"/>
              <w:spacing w:before="40"/>
              <w:rPr>
                <w:bCs/>
                <w:sz w:val="20"/>
                <w:szCs w:val="20"/>
              </w:rPr>
            </w:pPr>
            <w:r>
              <w:rPr>
                <w:bCs/>
                <w:sz w:val="20"/>
                <w:szCs w:val="20"/>
              </w:rPr>
              <w:t xml:space="preserve">1.3.3.</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135"/>
              <w:ind w:left="74"/>
              <w:jc w:val="both"/>
              <w:spacing w:before="40"/>
              <w:rPr>
                <w:bCs/>
                <w:sz w:val="20"/>
                <w:szCs w:val="20"/>
              </w:rPr>
            </w:pPr>
            <w:r>
              <w:rPr>
                <w:bCs/>
                <w:sz w:val="20"/>
                <w:szCs w:val="20"/>
              </w:rPr>
              <w:t xml:space="preserve">Выдача справки по письменному заявлению клиента</w:t>
            </w:r>
            <w:r>
              <w:rPr>
                <w:bCs/>
                <w:sz w:val="20"/>
                <w:szCs w:val="20"/>
              </w:rPr>
            </w:r>
            <w:r>
              <w:rPr>
                <w:bCs/>
                <w:sz w:val="20"/>
                <w:szCs w:val="20"/>
              </w:rPr>
            </w:r>
          </w:p>
        </w:tc>
        <w:tc>
          <w:tcPr>
            <w:gridSpan w:val="2"/>
            <w:tcBorders>
              <w:top w:val="single" w:color="000000" w:sz="4" w:space="0"/>
              <w:left w:val="single" w:color="000000" w:sz="4" w:space="0"/>
              <w:bottom w:val="none" w:color="000000" w:sz="4" w:space="0"/>
              <w:right w:val="single" w:color="000000" w:sz="4" w:space="0"/>
            </w:tcBorders>
            <w:tcW w:w="2540" w:type="dxa"/>
            <w:vAlign w:val="top"/>
            <w:textDirection w:val="lrTb"/>
            <w:noWrap w:val="false"/>
          </w:tcPr>
          <w:p>
            <w:pPr>
              <w:pStyle w:val="1135"/>
              <w:ind w:left="-108"/>
              <w:jc w:val="center"/>
              <w:spacing w:before="40"/>
              <w:rPr>
                <w:bCs/>
                <w:sz w:val="20"/>
                <w:szCs w:val="20"/>
              </w:rPr>
            </w:pPr>
            <w:r>
              <w:rPr>
                <w:bCs/>
                <w:sz w:val="20"/>
                <w:szCs w:val="20"/>
              </w:rPr>
              <w:t xml:space="preserve">500 руб. </w:t>
              <w:br w:type="textWrapping" w:clear="all"/>
              <w:t xml:space="preserve">за документ</w:t>
            </w:r>
            <w:r>
              <w:rPr>
                <w:bCs/>
                <w:sz w:val="20"/>
                <w:szCs w:val="20"/>
              </w:rPr>
            </w:r>
            <w:r>
              <w:rPr>
                <w:bCs/>
                <w:sz w:val="20"/>
                <w:szCs w:val="20"/>
              </w:rPr>
            </w:r>
          </w:p>
        </w:tc>
        <w:tc>
          <w:tcPr>
            <w:tcBorders>
              <w:top w:val="single" w:color="000000" w:sz="4" w:space="0"/>
              <w:left w:val="single" w:color="000000" w:sz="4" w:space="0"/>
              <w:right w:val="single" w:color="000000" w:sz="4" w:space="0"/>
            </w:tcBorders>
            <w:tcW w:w="3541" w:type="dxa"/>
            <w:vAlign w:val="top"/>
            <w:vMerge w:val="restart"/>
            <w:textDirection w:val="lrTb"/>
            <w:noWrap w:val="false"/>
          </w:tcPr>
          <w:p>
            <w:pPr>
              <w:pStyle w:val="1135"/>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135"/>
              <w:jc w:val="center"/>
              <w:spacing w:before="40"/>
              <w:rPr>
                <w:bCs/>
              </w:rPr>
            </w:pPr>
            <w:r>
              <w:rPr>
                <w:bCs/>
              </w:rPr>
            </w:r>
            <w:r>
              <w:rPr>
                <w:bCs/>
              </w:rPr>
            </w:r>
            <w:r>
              <w:rPr>
                <w:bCs/>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135"/>
              <w:ind w:left="74"/>
              <w:jc w:val="both"/>
              <w:spacing w:before="40"/>
              <w:rPr>
                <w:bCs/>
                <w:sz w:val="20"/>
                <w:szCs w:val="20"/>
              </w:rPr>
            </w:pPr>
            <w:r>
              <w:rPr>
                <w:bCs/>
                <w:sz w:val="20"/>
                <w:szCs w:val="20"/>
              </w:rPr>
              <w:t xml:space="preserve">Выдача справки по письменному заявлению клиента п</w:t>
            </w:r>
            <w:r>
              <w:rPr>
                <w:sz w:val="20"/>
                <w:szCs w:val="20"/>
              </w:rPr>
              <w:t xml:space="preserve">о счету крестьянского (фермерского) хозяйства (с целью оформления субсидии на возмещение затрат по уплате процентов по кредиту)</w:t>
            </w:r>
            <w:r>
              <w:rPr>
                <w:bCs/>
                <w:sz w:val="20"/>
                <w:szCs w:val="20"/>
              </w:rPr>
            </w:r>
            <w:r>
              <w:rPr>
                <w:bCs/>
                <w:sz w:val="20"/>
                <w:szCs w:val="20"/>
              </w:rPr>
            </w:r>
          </w:p>
        </w:tc>
        <w:tc>
          <w:tcPr>
            <w:gridSpan w:val="2"/>
            <w:tcBorders>
              <w:top w:val="none" w:color="000000" w:sz="4" w:space="0"/>
              <w:left w:val="single" w:color="000000" w:sz="4" w:space="0"/>
              <w:bottom w:val="single" w:color="000000" w:sz="4" w:space="0"/>
              <w:right w:val="single" w:color="000000" w:sz="4" w:space="0"/>
            </w:tcBorders>
            <w:tcW w:w="2540" w:type="dxa"/>
            <w:vAlign w:val="top"/>
            <w:textDirection w:val="lrTb"/>
            <w:noWrap w:val="false"/>
          </w:tcPr>
          <w:p>
            <w:pPr>
              <w:pStyle w:val="1135"/>
              <w:ind w:left="-108"/>
              <w:jc w:val="center"/>
              <w:spacing w:before="40"/>
              <w:rPr>
                <w:bCs/>
                <w:sz w:val="20"/>
                <w:szCs w:val="20"/>
              </w:rPr>
            </w:pPr>
            <w:r>
              <w:rPr>
                <w:bCs/>
                <w:sz w:val="20"/>
                <w:szCs w:val="20"/>
              </w:rPr>
              <w:t xml:space="preserve">200 руб. </w:t>
              <w:br w:type="textWrapping" w:clear="all"/>
              <w:t xml:space="preserve">за документ</w:t>
            </w:r>
            <w:r>
              <w:rPr>
                <w:bCs/>
                <w:sz w:val="20"/>
                <w:szCs w:val="20"/>
              </w:rPr>
            </w:r>
            <w:r>
              <w:rPr>
                <w:bCs/>
                <w:sz w:val="20"/>
                <w:szCs w:val="20"/>
              </w:rPr>
            </w:r>
          </w:p>
        </w:tc>
        <w:tc>
          <w:tcPr>
            <w:tcBorders>
              <w:left w:val="single" w:color="000000" w:sz="4" w:space="0"/>
              <w:bottom w:val="single" w:color="000000" w:sz="4" w:space="0"/>
              <w:right w:val="single" w:color="000000" w:sz="4" w:space="0"/>
            </w:tcBorders>
            <w:tcW w:w="3541" w:type="dxa"/>
            <w:vAlign w:val="top"/>
            <w:vMerge w:val="continue"/>
            <w:textDirection w:val="lrTb"/>
            <w:noWrap w:val="false"/>
          </w:tcPr>
          <w:p>
            <w:pPr>
              <w:pStyle w:val="1135"/>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35"/>
              <w:jc w:val="center"/>
              <w:spacing w:before="40"/>
              <w:rPr>
                <w:bCs/>
                <w:sz w:val="20"/>
                <w:szCs w:val="20"/>
              </w:rPr>
            </w:pPr>
            <w:r>
              <w:rPr>
                <w:sz w:val="20"/>
                <w:szCs w:val="20"/>
              </w:rPr>
              <w:t xml:space="preserve">1.3.3.1</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35"/>
              <w:ind w:left="74"/>
              <w:jc w:val="both"/>
              <w:spacing w:before="40"/>
              <w:rPr>
                <w:bCs/>
                <w:sz w:val="20"/>
                <w:szCs w:val="20"/>
              </w:rPr>
            </w:pPr>
            <w:r>
              <w:rPr>
                <w:color w:val="000000"/>
                <w:sz w:val="20"/>
                <w:szCs w:val="20"/>
              </w:rPr>
              <w:t xml:space="preserve">Срочная выдача справки по письменному заявлению клиента при обращении в офис Банка</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2540" w:type="dxa"/>
            <w:vAlign w:val="center"/>
            <w:textDirection w:val="lrTb"/>
            <w:noWrap w:val="false"/>
          </w:tcPr>
          <w:p>
            <w:pPr>
              <w:pStyle w:val="1135"/>
              <w:ind w:left="-108"/>
              <w:jc w:val="center"/>
              <w:spacing w:before="40"/>
              <w:rPr>
                <w:bCs/>
                <w:sz w:val="20"/>
                <w:szCs w:val="20"/>
              </w:rPr>
            </w:pPr>
            <w:r>
              <w:rPr>
                <w:sz w:val="20"/>
                <w:szCs w:val="20"/>
              </w:rPr>
              <w:t xml:space="preserve">500 руб. за документ</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35"/>
              <w:jc w:val="both"/>
              <w:spacing w:after="120"/>
              <w:rPr>
                <w:color w:val="000000"/>
                <w:sz w:val="20"/>
                <w:szCs w:val="20"/>
              </w:rPr>
            </w:pPr>
            <w:r>
              <w:rPr>
                <w:color w:val="000000"/>
                <w:sz w:val="20"/>
                <w:szCs w:val="20"/>
              </w:rPr>
              <w:t xml:space="preserve">Выдача справки осуществляется в день обращения клиента в офис Банка, при наличии технической возможности у Банка.</w:t>
            </w:r>
            <w:r>
              <w:rPr>
                <w:color w:val="000000"/>
                <w:sz w:val="20"/>
                <w:szCs w:val="20"/>
              </w:rPr>
            </w:r>
            <w:r>
              <w:rPr>
                <w:color w:val="000000"/>
                <w:sz w:val="20"/>
                <w:szCs w:val="20"/>
              </w:rPr>
            </w:r>
          </w:p>
          <w:p>
            <w:pPr>
              <w:pStyle w:val="1135"/>
              <w:jc w:val="both"/>
              <w:spacing w:after="120"/>
              <w:rPr>
                <w:color w:val="000000"/>
                <w:sz w:val="20"/>
                <w:szCs w:val="20"/>
              </w:rPr>
            </w:pPr>
            <w:r>
              <w:rPr>
                <w:color w:val="000000"/>
                <w:sz w:val="20"/>
                <w:szCs w:val="20"/>
              </w:rPr>
              <w:t xml:space="preserve">Комиссионное вознаграждение взимается Банком дополнительно к комиссии, указанной в п. 1.3.3.</w:t>
            </w:r>
            <w:r>
              <w:rPr>
                <w:color w:val="000000"/>
                <w:sz w:val="20"/>
                <w:szCs w:val="20"/>
              </w:rPr>
            </w:r>
            <w:r>
              <w:rPr>
                <w:color w:val="000000"/>
                <w:sz w:val="20"/>
                <w:szCs w:val="20"/>
              </w:rPr>
            </w:r>
          </w:p>
          <w:p>
            <w:pPr>
              <w:pStyle w:val="1135"/>
              <w:rPr>
                <w:bCs/>
                <w:sz w:val="20"/>
                <w:szCs w:val="20"/>
              </w:rPr>
            </w:pPr>
            <w:r>
              <w:rPr>
                <w:color w:val="000000"/>
                <w:sz w:val="20"/>
                <w:szCs w:val="20"/>
              </w:rPr>
              <w:t xml:space="preserve">Услуга облагается НДС, сумма которого взимается дополнительно.</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35"/>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1.3.4.</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35"/>
              <w:spacing w:before="40"/>
              <w:rPr>
                <w:sz w:val="20"/>
                <w:szCs w:val="20"/>
              </w:rPr>
            </w:pPr>
            <w:r>
              <w:rPr>
                <w:sz w:val="20"/>
                <w:szCs w:val="20"/>
              </w:rPr>
              <w:t xml:space="preserve">Выполнение запросов об операциях по счету для аудиторских фирм клиента</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135"/>
              <w:jc w:val="center"/>
              <w:spacing w:before="40"/>
              <w:rPr>
                <w:sz w:val="20"/>
                <w:szCs w:val="20"/>
              </w:rPr>
            </w:pPr>
            <w:r>
              <w:rPr>
                <w:sz w:val="20"/>
                <w:szCs w:val="20"/>
              </w:rPr>
              <w:t xml:space="preserve">2000 руб. </w:t>
              <w:br w:type="textWrapping" w:clear="all"/>
              <w:t xml:space="preserve">за каждый запрос</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35"/>
              <w:jc w:val="both"/>
              <w:spacing w:before="40"/>
              <w:tabs>
                <w:tab w:val="left" w:pos="708" w:leader="none"/>
                <w:tab w:val="center" w:pos="4677" w:leader="none"/>
                <w:tab w:val="right" w:pos="9355" w:leader="none"/>
              </w:tabs>
              <w:rPr>
                <w:sz w:val="20"/>
                <w:szCs w:val="20"/>
                <w:lang w:eastAsia="en-US"/>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35"/>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1.3.5.</w:t>
            </w:r>
            <w:r>
              <w:rPr>
                <w:sz w:val="20"/>
                <w:szCs w:val="20"/>
                <w:lang w:eastAsia="en-US"/>
              </w:rPr>
            </w:r>
            <w:r>
              <w:rPr>
                <w:sz w:val="20"/>
                <w:szCs w:val="20"/>
                <w:lang w:eastAsia="en-US"/>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135"/>
              <w:spacing w:before="40"/>
              <w:rPr>
                <w:sz w:val="20"/>
                <w:szCs w:val="20"/>
              </w:rPr>
            </w:pPr>
            <w:r>
              <w:rPr>
                <w:sz w:val="20"/>
                <w:szCs w:val="20"/>
              </w:rPr>
              <w:t xml:space="preserve">Выдача дубликата выписки по счету по заявлению клиента:</w:t>
            </w:r>
            <w:r>
              <w:rPr>
                <w:sz w:val="20"/>
                <w:szCs w:val="20"/>
              </w:rPr>
            </w:r>
            <w:r>
              <w:rPr>
                <w:sz w:val="20"/>
                <w:szCs w:val="20"/>
              </w:rPr>
            </w:r>
          </w:p>
        </w:tc>
        <w:tc>
          <w:tcPr>
            <w:gridSpan w:val="2"/>
            <w:tcBorders>
              <w:top w:val="single" w:color="000000" w:sz="4" w:space="0"/>
              <w:left w:val="single" w:color="000000" w:sz="4" w:space="0"/>
              <w:bottom w:val="none" w:color="000000" w:sz="4" w:space="0"/>
              <w:right w:val="single" w:color="000000" w:sz="4" w:space="0"/>
            </w:tcBorders>
            <w:tcW w:w="2540" w:type="dxa"/>
            <w:vAlign w:val="top"/>
            <w:textDirection w:val="lrTb"/>
            <w:noWrap w:val="false"/>
          </w:tcPr>
          <w:p>
            <w:pPr>
              <w:pStyle w:val="1135"/>
              <w:jc w:val="center"/>
              <w:spacing w:before="40"/>
              <w:rPr>
                <w:sz w:val="20"/>
                <w:szCs w:val="20"/>
              </w:rPr>
            </w:pPr>
            <w:r>
              <w:rPr>
                <w:sz w:val="20"/>
                <w:szCs w:val="20"/>
              </w:rPr>
              <w:t xml:space="preserve">200 руб. за один лист, но не более 2000 руб.</w:t>
            </w:r>
            <w:r>
              <w:rPr>
                <w:sz w:val="20"/>
                <w:szCs w:val="20"/>
              </w:rPr>
            </w:r>
            <w:r>
              <w:rPr>
                <w:sz w:val="20"/>
                <w:szCs w:val="20"/>
              </w:rPr>
            </w:r>
          </w:p>
        </w:tc>
        <w:tc>
          <w:tcPr>
            <w:tcBorders>
              <w:top w:val="single" w:color="000000" w:sz="4" w:space="0"/>
              <w:left w:val="single" w:color="000000" w:sz="4" w:space="0"/>
              <w:right w:val="single" w:color="000000" w:sz="4" w:space="0"/>
            </w:tcBorders>
            <w:tcW w:w="3541" w:type="dxa"/>
            <w:vAlign w:val="top"/>
            <w:vMerge w:val="restart"/>
            <w:textDirection w:val="lrTb"/>
            <w:noWrap w:val="false"/>
          </w:tcPr>
          <w:p>
            <w:pPr>
              <w:pStyle w:val="1135"/>
              <w:jc w:val="both"/>
              <w:spacing w:before="40"/>
              <w:tabs>
                <w:tab w:val="left" w:pos="708" w:leader="none"/>
                <w:tab w:val="center" w:pos="4677" w:leader="none"/>
                <w:tab w:val="right" w:pos="9355" w:leader="none"/>
              </w:tabs>
              <w:rPr>
                <w:sz w:val="20"/>
                <w:szCs w:val="20"/>
                <w:lang w:eastAsia="en-US"/>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135"/>
              <w:jc w:val="center"/>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135"/>
              <w:jc w:val="both"/>
              <w:tabs>
                <w:tab w:val="left" w:pos="708" w:leader="none"/>
                <w:tab w:val="center" w:pos="4677" w:leader="none"/>
                <w:tab w:val="right" w:pos="9355" w:leader="none"/>
              </w:tabs>
              <w:rPr>
                <w:sz w:val="20"/>
                <w:szCs w:val="20"/>
                <w:lang w:eastAsia="en-US"/>
              </w:rPr>
            </w:pPr>
            <w:r>
              <w:rPr>
                <w:sz w:val="20"/>
                <w:szCs w:val="20"/>
                <w:lang w:eastAsia="en-US"/>
              </w:rPr>
              <w:t xml:space="preserve">- по счету крестьянского (фермерского) хозяйства (с целью оформления субсидии на возмещение затрат по уплате процентов по кредиту)</w:t>
            </w:r>
            <w:r>
              <w:rPr>
                <w:sz w:val="20"/>
                <w:szCs w:val="20"/>
                <w:lang w:eastAsia="en-US"/>
              </w:rPr>
            </w:r>
            <w:r>
              <w:rPr>
                <w:sz w:val="20"/>
                <w:szCs w:val="20"/>
                <w:lang w:eastAsia="en-US"/>
              </w:rPr>
            </w:r>
          </w:p>
        </w:tc>
        <w:tc>
          <w:tcPr>
            <w:gridSpan w:val="2"/>
            <w:tcBorders>
              <w:top w:val="none" w:color="000000" w:sz="4" w:space="0"/>
              <w:left w:val="single" w:color="000000" w:sz="4" w:space="0"/>
              <w:bottom w:val="single" w:color="000000" w:sz="4" w:space="0"/>
              <w:right w:val="single" w:color="000000" w:sz="4" w:space="0"/>
            </w:tcBorders>
            <w:tcW w:w="2540" w:type="dxa"/>
            <w:vAlign w:val="top"/>
            <w:textDirection w:val="lrTb"/>
            <w:noWrap w:val="false"/>
          </w:tcPr>
          <w:p>
            <w:pPr>
              <w:pStyle w:val="1135"/>
              <w:jc w:val="center"/>
              <w:tabs>
                <w:tab w:val="left" w:pos="708" w:leader="none"/>
                <w:tab w:val="center" w:pos="4677" w:leader="none"/>
                <w:tab w:val="right" w:pos="9355" w:leader="none"/>
              </w:tabs>
              <w:rPr>
                <w:sz w:val="20"/>
                <w:szCs w:val="20"/>
                <w:lang w:eastAsia="en-US"/>
              </w:rPr>
            </w:pPr>
            <w:r>
              <w:rPr>
                <w:sz w:val="20"/>
                <w:szCs w:val="20"/>
              </w:rPr>
              <w:t xml:space="preserve">100 руб. за один лист, </w:t>
              <w:br w:type="textWrapping" w:clear="all"/>
              <w:t xml:space="preserve">но не более 500 руб.</w:t>
            </w:r>
            <w:r>
              <w:rPr>
                <w:sz w:val="20"/>
                <w:szCs w:val="20"/>
                <w:lang w:eastAsia="en-US"/>
              </w:rPr>
            </w:r>
            <w:r>
              <w:rPr>
                <w:sz w:val="20"/>
                <w:szCs w:val="20"/>
                <w:lang w:eastAsia="en-US"/>
              </w:rPr>
            </w:r>
          </w:p>
        </w:tc>
        <w:tc>
          <w:tcPr>
            <w:tcBorders>
              <w:left w:val="single" w:color="000000" w:sz="4" w:space="0"/>
              <w:bottom w:val="single" w:color="000000" w:sz="4" w:space="0"/>
              <w:right w:val="single" w:color="000000" w:sz="4" w:space="0"/>
            </w:tcBorders>
            <w:tcW w:w="3541" w:type="dxa"/>
            <w:vAlign w:val="top"/>
            <w:vMerge w:val="continue"/>
            <w:textDirection w:val="lrTb"/>
            <w:noWrap w:val="false"/>
          </w:tcPr>
          <w:p>
            <w:pPr>
              <w:pStyle w:val="1135"/>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35"/>
              <w:jc w:val="center"/>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1.3.6.</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35"/>
              <w:spacing w:before="40" w:after="40"/>
              <w:rPr>
                <w:sz w:val="20"/>
                <w:szCs w:val="20"/>
              </w:rPr>
            </w:pPr>
            <w:r>
              <w:rPr>
                <w:sz w:val="20"/>
                <w:szCs w:val="20"/>
              </w:rPr>
              <w:t xml:space="preserve">Предоставление дубликатов счетов-фактур</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135"/>
              <w:jc w:val="center"/>
              <w:spacing w:before="40" w:after="40"/>
              <w:rPr>
                <w:sz w:val="20"/>
                <w:szCs w:val="20"/>
              </w:rPr>
            </w:pPr>
            <w:r>
              <w:rPr>
                <w:sz w:val="20"/>
                <w:szCs w:val="20"/>
              </w:rPr>
              <w:t xml:space="preserve">250 руб. за документ</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35"/>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Услуга облагается НДС, сумма которого взимается дополнительно</w:t>
            </w:r>
            <w:r>
              <w:rPr>
                <w:sz w:val="20"/>
                <w:szCs w:val="20"/>
                <w:lang w:eastAsia="en-US"/>
              </w:rPr>
            </w:r>
            <w:r>
              <w:rPr>
                <w:sz w:val="20"/>
                <w:szCs w:val="20"/>
                <w:lang w:eastAsia="en-US"/>
              </w:rPr>
            </w:r>
          </w:p>
          <w:p>
            <w:pPr>
              <w:pStyle w:val="1135"/>
              <w:spacing w:before="40" w:after="40"/>
              <w:tabs>
                <w:tab w:val="left" w:pos="708" w:leader="none"/>
                <w:tab w:val="center" w:pos="4677" w:leader="none"/>
                <w:tab w:val="right" w:pos="9355" w:leader="none"/>
              </w:tabs>
              <w:rPr>
                <w:sz w:val="20"/>
                <w:szCs w:val="20"/>
                <w:lang w:eastAsia="en-US"/>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35"/>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1.3.7.</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35"/>
              <w:spacing w:before="40"/>
              <w:rPr>
                <w:sz w:val="20"/>
                <w:szCs w:val="20"/>
              </w:rPr>
            </w:pPr>
            <w:r>
              <w:rPr>
                <w:sz w:val="20"/>
                <w:szCs w:val="20"/>
              </w:rPr>
              <w:t xml:space="preserve">Выдача бумажной копии электронного платежного документа, полученного Банком по системе дистанционного банковского обслуживания (по заявлению клиента)</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135"/>
              <w:jc w:val="center"/>
              <w:spacing w:before="40"/>
              <w:rPr>
                <w:sz w:val="20"/>
                <w:szCs w:val="20"/>
              </w:rPr>
            </w:pPr>
            <w:r>
              <w:rPr>
                <w:sz w:val="20"/>
                <w:szCs w:val="20"/>
              </w:rPr>
              <w:t xml:space="preserve">50 руб.</w:t>
              <w:br w:type="textWrapping" w:clear="all"/>
              <w:t xml:space="preserve">за один лист</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35"/>
              <w:jc w:val="both"/>
              <w:tabs>
                <w:tab w:val="left" w:pos="708" w:leader="none"/>
                <w:tab w:val="center" w:pos="4677" w:leader="none"/>
                <w:tab w:val="right" w:pos="9355" w:leader="none"/>
              </w:tabs>
              <w:rPr>
                <w:sz w:val="20"/>
                <w:szCs w:val="20"/>
                <w:lang w:eastAsia="en-US"/>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35"/>
              <w:jc w:val="center"/>
              <w:spacing w:before="40"/>
              <w:rPr>
                <w:bCs/>
                <w:sz w:val="20"/>
                <w:szCs w:val="20"/>
              </w:rPr>
            </w:pPr>
            <w:r>
              <w:rPr>
                <w:bCs/>
                <w:sz w:val="20"/>
                <w:szCs w:val="20"/>
              </w:rPr>
              <w:t xml:space="preserve">1.3.8.</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135"/>
              <w:jc w:val="both"/>
              <w:spacing w:before="40" w:after="40"/>
              <w:rPr>
                <w:bCs/>
                <w:sz w:val="20"/>
                <w:szCs w:val="20"/>
              </w:rPr>
            </w:pPr>
            <w:r>
              <w:rPr>
                <w:bCs/>
                <w:sz w:val="20"/>
                <w:szCs w:val="20"/>
              </w:rPr>
              <w:t xml:space="preserve">Выдача копии платежного документа по заявлению клиента</w:t>
            </w:r>
            <w:r>
              <w:rPr>
                <w:bCs/>
                <w:sz w:val="20"/>
                <w:szCs w:val="20"/>
              </w:rPr>
            </w:r>
            <w:r>
              <w:rPr>
                <w:bCs/>
                <w:sz w:val="20"/>
                <w:szCs w:val="20"/>
              </w:rPr>
            </w:r>
          </w:p>
          <w:p>
            <w:pPr>
              <w:pStyle w:val="1135"/>
              <w:jc w:val="both"/>
              <w:spacing w:before="40"/>
              <w:rPr>
                <w:sz w:val="20"/>
                <w:szCs w:val="20"/>
              </w:rPr>
            </w:pPr>
            <w:r>
              <w:rPr>
                <w:bCs/>
                <w:sz w:val="20"/>
                <w:szCs w:val="20"/>
              </w:rPr>
              <w:t xml:space="preserve">Выдача копии платежного документа по заявлению клиента по счету крестьянского (фермерского) хозяйства (с целью оформления субсидии на возмещение затрат по уплате процентов по кредиту):</w:t>
            </w:r>
            <w:r>
              <w:rPr>
                <w:bCs/>
                <w:color w:val="000000"/>
                <w:sz w:val="20"/>
                <w:szCs w:val="20"/>
              </w:rPr>
              <w:t xml:space="preserve"> </w:t>
            </w:r>
            <w:r>
              <w:rPr>
                <w:sz w:val="20"/>
                <w:szCs w:val="20"/>
              </w:rPr>
            </w:r>
            <w:r>
              <w:rPr>
                <w:sz w:val="20"/>
                <w:szCs w:val="20"/>
              </w:rPr>
            </w:r>
          </w:p>
        </w:tc>
        <w:tc>
          <w:tcPr>
            <w:gridSpan w:val="2"/>
            <w:tcBorders>
              <w:top w:val="single" w:color="000000" w:sz="4" w:space="0"/>
              <w:left w:val="single" w:color="000000" w:sz="4" w:space="0"/>
              <w:bottom w:val="none" w:color="000000" w:sz="4" w:space="0"/>
              <w:right w:val="single" w:color="000000" w:sz="4" w:space="0"/>
            </w:tcBorders>
            <w:tcW w:w="2540" w:type="dxa"/>
            <w:vAlign w:val="top"/>
            <w:textDirection w:val="lrTb"/>
            <w:noWrap w:val="false"/>
          </w:tcPr>
          <w:p>
            <w:pPr>
              <w:pStyle w:val="1135"/>
              <w:jc w:val="center"/>
              <w:spacing w:before="40"/>
              <w:rPr>
                <w:bCs/>
                <w:sz w:val="20"/>
                <w:szCs w:val="20"/>
              </w:rPr>
            </w:pPr>
            <w:r>
              <w:rPr>
                <w:rFonts w:eastAsia="Arial Unicode MS"/>
                <w:iCs/>
                <w:color w:val="000000"/>
                <w:sz w:val="20"/>
                <w:szCs w:val="20"/>
              </w:rPr>
              <w:t xml:space="preserve">300 руб. за документ</w:t>
            </w:r>
            <w:r>
              <w:rPr>
                <w:bCs/>
                <w:sz w:val="20"/>
                <w:szCs w:val="20"/>
              </w:rPr>
            </w:r>
            <w:r>
              <w:rPr>
                <w:bCs/>
                <w:sz w:val="20"/>
                <w:szCs w:val="20"/>
              </w:rPr>
            </w:r>
          </w:p>
        </w:tc>
        <w:tc>
          <w:tcPr>
            <w:tcBorders>
              <w:top w:val="single" w:color="000000" w:sz="4" w:space="0"/>
              <w:left w:val="single" w:color="000000" w:sz="4" w:space="0"/>
              <w:right w:val="single" w:color="000000" w:sz="4" w:space="0"/>
            </w:tcBorders>
            <w:tcW w:w="3541" w:type="dxa"/>
            <w:vAlign w:val="top"/>
            <w:vMerge w:val="restart"/>
            <w:textDirection w:val="lrTb"/>
            <w:noWrap w:val="false"/>
          </w:tcPr>
          <w:p>
            <w:pPr>
              <w:pStyle w:val="1135"/>
              <w:spacing w:before="40"/>
              <w:rPr>
                <w:bCs/>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35"/>
              <w:jc w:val="center"/>
              <w:spacing w:before="40"/>
              <w:rPr>
                <w:bCs/>
              </w:rPr>
            </w:pPr>
            <w:r>
              <w:rPr>
                <w:bCs/>
              </w:rPr>
            </w:r>
            <w:r>
              <w:rPr>
                <w:bCs/>
              </w:rPr>
            </w:r>
            <w:r>
              <w:rPr>
                <w:bC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35"/>
              <w:ind w:left="11"/>
              <w:jc w:val="both"/>
              <w:rPr>
                <w:bCs/>
                <w:sz w:val="20"/>
                <w:szCs w:val="20"/>
              </w:rPr>
            </w:pPr>
            <w:r>
              <w:rPr>
                <w:bCs/>
                <w:color w:val="000000"/>
                <w:sz w:val="20"/>
                <w:szCs w:val="20"/>
              </w:rPr>
              <w:t xml:space="preserve">- давностью до трех месяцев</w:t>
            </w:r>
            <w:r>
              <w:rPr>
                <w:bCs/>
                <w:sz w:val="20"/>
                <w:szCs w:val="20"/>
              </w:rPr>
            </w:r>
            <w:r>
              <w:rPr>
                <w:bCs/>
                <w:sz w:val="20"/>
                <w:szCs w:val="20"/>
              </w:rPr>
            </w:r>
          </w:p>
        </w:tc>
        <w:tc>
          <w:tcPr>
            <w:gridSpan w:val="2"/>
            <w:tcBorders>
              <w:top w:val="none" w:color="000000" w:sz="4" w:space="0"/>
              <w:left w:val="single" w:color="000000" w:sz="4" w:space="0"/>
              <w:bottom w:val="none" w:color="000000" w:sz="4" w:space="0"/>
              <w:right w:val="single" w:color="000000" w:sz="4" w:space="0"/>
            </w:tcBorders>
            <w:tcW w:w="2540" w:type="dxa"/>
            <w:vAlign w:val="top"/>
            <w:textDirection w:val="lrTb"/>
            <w:noWrap w:val="false"/>
          </w:tcPr>
          <w:p>
            <w:pPr>
              <w:pStyle w:val="1135"/>
              <w:jc w:val="center"/>
              <w:rPr>
                <w:bCs/>
                <w:sz w:val="20"/>
                <w:szCs w:val="20"/>
              </w:rPr>
            </w:pPr>
            <w:r>
              <w:rPr>
                <w:rFonts w:eastAsia="Arial Unicode MS"/>
                <w:iCs/>
                <w:color w:val="000000"/>
                <w:sz w:val="20"/>
                <w:szCs w:val="20"/>
              </w:rPr>
              <w:t xml:space="preserve">50 руб. за документ</w:t>
            </w:r>
            <w:r>
              <w:rPr>
                <w:bCs/>
                <w:sz w:val="20"/>
                <w:szCs w:val="20"/>
              </w:rPr>
            </w:r>
            <w:r>
              <w:rPr>
                <w:bCs/>
                <w:sz w:val="20"/>
                <w:szCs w:val="20"/>
              </w:rPr>
            </w:r>
          </w:p>
        </w:tc>
        <w:tc>
          <w:tcPr>
            <w:tcBorders>
              <w:left w:val="single" w:color="000000" w:sz="4" w:space="0"/>
              <w:right w:val="single" w:color="000000" w:sz="4" w:space="0"/>
            </w:tcBorders>
            <w:tcW w:w="3541" w:type="dxa"/>
            <w:vAlign w:val="top"/>
            <w:vMerge w:val="continue"/>
            <w:textDirection w:val="lrTb"/>
            <w:noWrap w:val="false"/>
          </w:tcPr>
          <w:p>
            <w:pPr>
              <w:pStyle w:val="1135"/>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35"/>
              <w:jc w:val="center"/>
              <w:spacing w:before="40"/>
              <w:rPr>
                <w:bCs/>
              </w:rPr>
            </w:pPr>
            <w:r>
              <w:rPr>
                <w:bCs/>
              </w:rPr>
            </w:r>
            <w:r>
              <w:rPr>
                <w:bCs/>
              </w:rPr>
            </w:r>
            <w:r>
              <w:rPr>
                <w:bC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35"/>
              <w:ind w:left="11"/>
              <w:jc w:val="both"/>
              <w:rPr>
                <w:sz w:val="20"/>
                <w:szCs w:val="20"/>
              </w:rPr>
            </w:pPr>
            <w:r>
              <w:rPr>
                <w:bCs/>
                <w:color w:val="000000"/>
                <w:sz w:val="20"/>
                <w:szCs w:val="20"/>
              </w:rPr>
              <w:t xml:space="preserve">- давностью свыше трех месяцев</w:t>
            </w:r>
            <w:r>
              <w:rPr>
                <w:sz w:val="20"/>
                <w:szCs w:val="20"/>
              </w:rPr>
            </w:r>
            <w:r>
              <w:rPr>
                <w:sz w:val="20"/>
                <w:szCs w:val="20"/>
              </w:rPr>
            </w:r>
          </w:p>
        </w:tc>
        <w:tc>
          <w:tcPr>
            <w:gridSpan w:val="2"/>
            <w:tcBorders>
              <w:top w:val="none" w:color="000000" w:sz="4" w:space="0"/>
              <w:left w:val="single" w:color="000000" w:sz="4" w:space="0"/>
              <w:bottom w:val="none" w:color="000000" w:sz="4" w:space="0"/>
              <w:right w:val="single" w:color="000000" w:sz="4" w:space="0"/>
            </w:tcBorders>
            <w:tcW w:w="2540" w:type="dxa"/>
            <w:vAlign w:val="top"/>
            <w:textDirection w:val="lrTb"/>
            <w:noWrap w:val="false"/>
          </w:tcPr>
          <w:p>
            <w:pPr>
              <w:pStyle w:val="1135"/>
              <w:jc w:val="center"/>
              <w:rPr>
                <w:bCs/>
                <w:sz w:val="20"/>
                <w:szCs w:val="20"/>
              </w:rPr>
            </w:pPr>
            <w:r>
              <w:rPr>
                <w:rFonts w:eastAsia="Arial Unicode MS"/>
                <w:iCs/>
                <w:color w:val="000000"/>
                <w:sz w:val="20"/>
                <w:szCs w:val="20"/>
              </w:rPr>
              <w:t xml:space="preserve">100 руб. за документ</w:t>
            </w:r>
            <w:r>
              <w:rPr>
                <w:bCs/>
                <w:sz w:val="20"/>
                <w:szCs w:val="20"/>
              </w:rPr>
            </w:r>
            <w:r>
              <w:rPr>
                <w:bCs/>
                <w:sz w:val="20"/>
                <w:szCs w:val="20"/>
              </w:rPr>
            </w:r>
          </w:p>
        </w:tc>
        <w:tc>
          <w:tcPr>
            <w:tcBorders>
              <w:left w:val="single" w:color="000000" w:sz="4" w:space="0"/>
              <w:bottom w:val="none" w:color="000000" w:sz="4" w:space="0"/>
              <w:right w:val="single" w:color="000000" w:sz="4" w:space="0"/>
            </w:tcBorders>
            <w:tcW w:w="3541" w:type="dxa"/>
            <w:vAlign w:val="top"/>
            <w:vMerge w:val="continue"/>
            <w:textDirection w:val="lrTb"/>
            <w:noWrap w:val="false"/>
          </w:tcPr>
          <w:p>
            <w:pPr>
              <w:pStyle w:val="1135"/>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35"/>
              <w:jc w:val="center"/>
              <w:spacing w:before="40"/>
              <w:rPr>
                <w:bCs/>
                <w:sz w:val="20"/>
                <w:szCs w:val="20"/>
              </w:rPr>
            </w:pPr>
            <w:r>
              <w:rPr>
                <w:bCs/>
                <w:sz w:val="20"/>
                <w:szCs w:val="20"/>
              </w:rPr>
              <w:t xml:space="preserve">1.3.9.</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135"/>
              <w:jc w:val="both"/>
              <w:spacing w:before="40"/>
              <w:rPr>
                <w:bCs/>
                <w:sz w:val="20"/>
                <w:szCs w:val="20"/>
              </w:rPr>
            </w:pPr>
            <w:r>
              <w:rPr>
                <w:bCs/>
                <w:sz w:val="20"/>
                <w:szCs w:val="20"/>
              </w:rPr>
              <w:t xml:space="preserve">Оформление Банком карточки с образцами подписей и оттиска печати, подтверждение подлинности подписи (при наличии в Банке расчетного /текущего счета клиента)</w:t>
            </w:r>
            <w:r>
              <w:rPr>
                <w:bCs/>
                <w:sz w:val="20"/>
                <w:szCs w:val="20"/>
              </w:rPr>
            </w:r>
            <w:r>
              <w:rPr>
                <w:bCs/>
                <w:sz w:val="20"/>
                <w:szCs w:val="20"/>
              </w:rPr>
            </w:r>
          </w:p>
        </w:tc>
        <w:tc>
          <w:tcPr>
            <w:gridSpan w:val="2"/>
            <w:tcBorders>
              <w:top w:val="single" w:color="000000" w:sz="4" w:space="0"/>
              <w:left w:val="single" w:color="000000" w:sz="4" w:space="0"/>
              <w:bottom w:val="none" w:color="000000" w:sz="4" w:space="0"/>
              <w:right w:val="single" w:color="000000" w:sz="4" w:space="0"/>
            </w:tcBorders>
            <w:tcW w:w="2540" w:type="dxa"/>
            <w:vAlign w:val="top"/>
            <w:textDirection w:val="lrTb"/>
            <w:noWrap w:val="false"/>
          </w:tcPr>
          <w:p>
            <w:pPr>
              <w:pStyle w:val="1135"/>
              <w:jc w:val="center"/>
              <w:spacing w:before="40"/>
              <w:rPr>
                <w:bCs/>
                <w:sz w:val="20"/>
                <w:szCs w:val="20"/>
              </w:rPr>
            </w:pPr>
            <w:r>
              <w:rPr>
                <w:bCs/>
                <w:sz w:val="20"/>
                <w:szCs w:val="20"/>
              </w:rPr>
              <w:t xml:space="preserve">400 руб.</w:t>
              <w:br w:type="textWrapping" w:clear="all"/>
              <w:t xml:space="preserve">за одну подпись</w:t>
            </w:r>
            <w:r>
              <w:rPr>
                <w:bCs/>
                <w:sz w:val="20"/>
                <w:szCs w:val="20"/>
              </w:rPr>
            </w:r>
            <w:r>
              <w:rPr>
                <w:bCs/>
                <w:sz w:val="20"/>
                <w:szCs w:val="20"/>
              </w:rPr>
            </w:r>
          </w:p>
        </w:tc>
        <w:tc>
          <w:tcPr>
            <w:tcBorders>
              <w:top w:val="single" w:color="000000" w:sz="4" w:space="0"/>
              <w:left w:val="single" w:color="000000" w:sz="4" w:space="0"/>
              <w:right w:val="single" w:color="000000" w:sz="4" w:space="0"/>
            </w:tcBorders>
            <w:tcW w:w="3541" w:type="dxa"/>
            <w:vAlign w:val="top"/>
            <w:vMerge w:val="restart"/>
            <w:textDirection w:val="lrTb"/>
            <w:noWrap w:val="false"/>
          </w:tcPr>
          <w:p>
            <w:pPr>
              <w:pStyle w:val="1135"/>
              <w:jc w:val="both"/>
              <w:spacing w:before="40"/>
              <w:rPr>
                <w:bCs/>
                <w:sz w:val="20"/>
                <w:szCs w:val="20"/>
              </w:rPr>
            </w:pPr>
            <w:r>
              <w:rPr>
                <w:bCs/>
                <w:sz w:val="20"/>
                <w:szCs w:val="20"/>
              </w:rPr>
              <w:t xml:space="preserve">Услуга облагается НДС, сумма которого взимается дополнительно</w:t>
            </w:r>
            <w:r>
              <w:rPr>
                <w:bCs/>
                <w:sz w:val="20"/>
                <w:szCs w:val="20"/>
              </w:rPr>
            </w:r>
            <w:r>
              <w:rPr>
                <w:bCs/>
                <w:sz w:val="20"/>
                <w:szCs w:val="20"/>
              </w:rPr>
            </w:r>
          </w:p>
          <w:p>
            <w:pPr>
              <w:pStyle w:val="1135"/>
              <w:jc w:val="both"/>
              <w:spacing w:before="40"/>
              <w:rPr>
                <w:bCs/>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35"/>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35"/>
              <w:jc w:val="both"/>
              <w:rPr>
                <w:bCs/>
                <w:sz w:val="20"/>
                <w:szCs w:val="20"/>
              </w:rPr>
            </w:pPr>
            <w:r>
              <w:rPr>
                <w:bCs/>
                <w:sz w:val="20"/>
                <w:szCs w:val="20"/>
              </w:rPr>
              <w:t xml:space="preserve">- государственным и бюджетным учреждениям, не имеющим расчетного счета в Банке</w:t>
            </w:r>
            <w:r>
              <w:rPr>
                <w:bCs/>
                <w:sz w:val="20"/>
                <w:szCs w:val="20"/>
              </w:rPr>
            </w:r>
            <w:r>
              <w:rPr>
                <w:bCs/>
                <w:sz w:val="20"/>
                <w:szCs w:val="20"/>
              </w:rPr>
            </w:r>
          </w:p>
        </w:tc>
        <w:tc>
          <w:tcPr>
            <w:gridSpan w:val="2"/>
            <w:tcBorders>
              <w:top w:val="none" w:color="000000" w:sz="4" w:space="0"/>
              <w:left w:val="single" w:color="000000" w:sz="4" w:space="0"/>
              <w:bottom w:val="none" w:color="000000" w:sz="4" w:space="0"/>
              <w:right w:val="single" w:color="000000" w:sz="4" w:space="0"/>
            </w:tcBorders>
            <w:tcW w:w="2540" w:type="dxa"/>
            <w:vAlign w:val="top"/>
            <w:textDirection w:val="lrTb"/>
            <w:noWrap w:val="false"/>
          </w:tcPr>
          <w:p>
            <w:pPr>
              <w:pStyle w:val="1135"/>
              <w:jc w:val="center"/>
              <w:rPr>
                <w:bCs/>
                <w:sz w:val="20"/>
                <w:szCs w:val="20"/>
              </w:rPr>
            </w:pPr>
            <w:r>
              <w:rPr>
                <w:sz w:val="20"/>
                <w:szCs w:val="20"/>
              </w:rPr>
              <w:t xml:space="preserve">Не взимается</w:t>
            </w:r>
            <w:r>
              <w:rPr>
                <w:bCs/>
                <w:sz w:val="20"/>
                <w:szCs w:val="20"/>
              </w:rPr>
            </w:r>
            <w:r>
              <w:rPr>
                <w:bCs/>
                <w:sz w:val="20"/>
                <w:szCs w:val="20"/>
              </w:rPr>
            </w:r>
          </w:p>
        </w:tc>
        <w:tc>
          <w:tcPr>
            <w:tcBorders>
              <w:left w:val="single" w:color="000000" w:sz="4" w:space="0"/>
              <w:right w:val="single" w:color="000000" w:sz="4" w:space="0"/>
            </w:tcBorders>
            <w:tcW w:w="3541" w:type="dxa"/>
            <w:vAlign w:val="top"/>
            <w:vMerge w:val="continue"/>
            <w:textDirection w:val="lrTb"/>
            <w:noWrap w:val="false"/>
          </w:tcPr>
          <w:p>
            <w:pPr>
              <w:pStyle w:val="1135"/>
              <w:spacing w:before="120" w:after="40"/>
              <w:rPr>
                <w:bCs/>
                <w:i/>
                <w:sz w:val="20"/>
                <w:szCs w:val="20"/>
              </w:rPr>
            </w:pPr>
            <w:r>
              <w:rPr>
                <w:bCs/>
                <w:i/>
                <w:sz w:val="20"/>
                <w:szCs w:val="20"/>
              </w:rPr>
            </w:r>
            <w:r>
              <w:rPr>
                <w:bCs/>
                <w:i/>
                <w:sz w:val="20"/>
                <w:szCs w:val="20"/>
              </w:rPr>
            </w:r>
            <w:r>
              <w:rPr>
                <w:bCs/>
                <w:i/>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135"/>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135"/>
              <w:jc w:val="both"/>
              <w:rPr>
                <w:bCs/>
                <w:sz w:val="20"/>
                <w:szCs w:val="20"/>
              </w:rPr>
            </w:pPr>
            <w:r>
              <w:rPr>
                <w:bCs/>
                <w:sz w:val="20"/>
                <w:szCs w:val="20"/>
              </w:rPr>
              <w:t xml:space="preserve">- для клиентов, включенных в региональную адресную программу по проведению капитального ремонта много-кв</w:t>
            </w:r>
            <w:r>
              <w:rPr>
                <w:bCs/>
                <w:sz w:val="20"/>
                <w:szCs w:val="20"/>
              </w:rPr>
              <w:t xml:space="preserve">артирных домов, переселения граждан из аварийного жилищного фонда в соответствии с Федеральным законом от 21.07.2007 № 185-ФЗ </w:t>
              <w:br/>
              <w:t xml:space="preserve">«О Фонде содействия реформированию жилищно-коммунального хозяйства» в рамках заключенных договоров специального банковского счета</w:t>
            </w:r>
            <w:r>
              <w:rPr>
                <w:bCs/>
                <w:sz w:val="20"/>
                <w:szCs w:val="20"/>
              </w:rPr>
            </w:r>
            <w:r>
              <w:rPr>
                <w:bCs/>
                <w:sz w:val="20"/>
                <w:szCs w:val="20"/>
              </w:rPr>
            </w:r>
          </w:p>
        </w:tc>
        <w:tc>
          <w:tcPr>
            <w:gridSpan w:val="2"/>
            <w:tcBorders>
              <w:top w:val="none" w:color="000000" w:sz="4" w:space="0"/>
              <w:left w:val="single" w:color="000000" w:sz="4" w:space="0"/>
              <w:bottom w:val="single" w:color="000000" w:sz="4" w:space="0"/>
              <w:right w:val="single" w:color="000000" w:sz="4" w:space="0"/>
            </w:tcBorders>
            <w:tcW w:w="2540" w:type="dxa"/>
            <w:vAlign w:val="top"/>
            <w:textDirection w:val="lrTb"/>
            <w:noWrap w:val="false"/>
          </w:tcPr>
          <w:p>
            <w:pPr>
              <w:pStyle w:val="1135"/>
              <w:jc w:val="center"/>
              <w:rPr>
                <w:bCs/>
                <w:sz w:val="20"/>
                <w:szCs w:val="20"/>
              </w:rPr>
            </w:pPr>
            <w:r>
              <w:rPr>
                <w:bCs/>
                <w:sz w:val="20"/>
                <w:szCs w:val="20"/>
              </w:rPr>
              <w:t xml:space="preserve">Не взимается*</w:t>
            </w:r>
            <w:r>
              <w:rPr>
                <w:bCs/>
                <w:sz w:val="20"/>
                <w:szCs w:val="20"/>
              </w:rPr>
            </w:r>
            <w:r>
              <w:rPr>
                <w:bCs/>
                <w:sz w:val="20"/>
                <w:szCs w:val="20"/>
              </w:rPr>
            </w:r>
          </w:p>
        </w:tc>
        <w:tc>
          <w:tcPr>
            <w:tcBorders>
              <w:left w:val="single" w:color="000000" w:sz="4" w:space="0"/>
              <w:bottom w:val="single" w:color="000000" w:sz="4" w:space="0"/>
              <w:right w:val="single" w:color="000000" w:sz="4" w:space="0"/>
            </w:tcBorders>
            <w:tcW w:w="3541" w:type="dxa"/>
            <w:vAlign w:val="top"/>
            <w:vMerge w:val="continue"/>
            <w:textDirection w:val="lrTb"/>
            <w:noWrap w:val="false"/>
          </w:tcPr>
          <w:p>
            <w:pPr>
              <w:pStyle w:val="1135"/>
              <w:spacing w:before="120" w:after="40"/>
              <w:rPr>
                <w:bCs/>
                <w:i/>
                <w:sz w:val="20"/>
                <w:szCs w:val="20"/>
              </w:rPr>
            </w:pPr>
            <w:r>
              <w:rPr>
                <w:bCs/>
                <w:i/>
                <w:sz w:val="20"/>
                <w:szCs w:val="20"/>
              </w:rPr>
            </w:r>
            <w:r>
              <w:rPr>
                <w:bCs/>
                <w:i/>
                <w:sz w:val="20"/>
                <w:szCs w:val="20"/>
              </w:rPr>
            </w:r>
            <w:r>
              <w:rPr>
                <w:bCs/>
                <w:i/>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35"/>
              <w:jc w:val="center"/>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1.3.10.</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35"/>
              <w:jc w:val="both"/>
              <w:spacing w:before="40" w:after="40"/>
              <w:rPr>
                <w:sz w:val="20"/>
                <w:szCs w:val="20"/>
              </w:rPr>
            </w:pPr>
            <w:r>
              <w:rPr>
                <w:sz w:val="20"/>
                <w:szCs w:val="20"/>
              </w:rPr>
              <w:t xml:space="preserve">Выдача клиенту по его запросу заверенной Банком копии карточки клиента с образцами подписей и оттиска печати</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135"/>
              <w:jc w:val="center"/>
              <w:spacing w:before="40" w:after="40"/>
              <w:rPr>
                <w:sz w:val="20"/>
                <w:szCs w:val="20"/>
              </w:rPr>
            </w:pPr>
            <w:r>
              <w:rPr>
                <w:sz w:val="20"/>
                <w:szCs w:val="20"/>
              </w:rPr>
              <w:t xml:space="preserve">300 руб. </w:t>
              <w:br w:type="textWrapping" w:clear="all"/>
              <w:t xml:space="preserve">за одну копию</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35"/>
              <w:jc w:val="both"/>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Услуга облагается НДС, сумма которого взимается дополнительно</w:t>
            </w:r>
            <w:r>
              <w:rPr>
                <w:sz w:val="20"/>
                <w:szCs w:val="20"/>
                <w:lang w:eastAsia="en-US"/>
              </w:rPr>
            </w:r>
            <w:r>
              <w:rPr>
                <w:sz w:val="20"/>
                <w:szCs w:val="20"/>
                <w:lang w:eastAsia="en-US"/>
              </w:rPr>
            </w:r>
          </w:p>
          <w:p>
            <w:pPr>
              <w:pStyle w:val="1135"/>
              <w:jc w:val="both"/>
              <w:spacing w:before="40" w:after="40"/>
              <w:tabs>
                <w:tab w:val="left" w:pos="708" w:leader="none"/>
                <w:tab w:val="center" w:pos="4677" w:leader="none"/>
                <w:tab w:val="right" w:pos="9355" w:leader="none"/>
              </w:tabs>
              <w:rPr>
                <w:sz w:val="20"/>
                <w:szCs w:val="20"/>
                <w:lang w:eastAsia="en-US"/>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35"/>
              <w:jc w:val="center"/>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1.3.11.</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35"/>
              <w:jc w:val="both"/>
              <w:spacing w:before="40" w:after="40"/>
              <w:rPr>
                <w:sz w:val="20"/>
                <w:szCs w:val="20"/>
              </w:rPr>
            </w:pPr>
            <w:r>
              <w:rPr>
                <w:sz w:val="20"/>
                <w:szCs w:val="20"/>
              </w:rPr>
              <w:t xml:space="preserve">Оформление платежного документа по просьбе клиента</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135"/>
              <w:jc w:val="center"/>
              <w:spacing w:before="40" w:after="40"/>
              <w:rPr>
                <w:sz w:val="20"/>
                <w:szCs w:val="20"/>
              </w:rPr>
            </w:pPr>
            <w:r>
              <w:rPr>
                <w:sz w:val="20"/>
                <w:szCs w:val="20"/>
              </w:rPr>
              <w:t xml:space="preserve">200 руб. </w:t>
              <w:br w:type="textWrapping" w:clear="all"/>
              <w:t xml:space="preserve">за документ</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35"/>
              <w:jc w:val="both"/>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Услуга облагается НДС, сумма которого взимается дополнительно</w:t>
            </w:r>
            <w:r>
              <w:rPr>
                <w:sz w:val="20"/>
                <w:szCs w:val="20"/>
                <w:lang w:eastAsia="en-US"/>
              </w:rPr>
            </w:r>
            <w:r>
              <w:rPr>
                <w:sz w:val="20"/>
                <w:szCs w:val="20"/>
                <w:lang w:eastAsia="en-US"/>
              </w:rPr>
            </w:r>
          </w:p>
          <w:p>
            <w:pPr>
              <w:pStyle w:val="1135"/>
              <w:jc w:val="both"/>
              <w:spacing w:before="40" w:after="40"/>
              <w:tabs>
                <w:tab w:val="left" w:pos="708" w:leader="none"/>
                <w:tab w:val="center" w:pos="4677" w:leader="none"/>
                <w:tab w:val="right" w:pos="9355" w:leader="none"/>
              </w:tabs>
              <w:rPr>
                <w:sz w:val="20"/>
                <w:szCs w:val="20"/>
                <w:lang w:eastAsia="en-US"/>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35"/>
              <w:jc w:val="center"/>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1.3.12.</w:t>
            </w:r>
            <w:r>
              <w:rPr>
                <w:sz w:val="20"/>
                <w:szCs w:val="20"/>
                <w:lang w:eastAsia="en-US"/>
              </w:rPr>
            </w:r>
            <w:r>
              <w:rPr>
                <w:sz w:val="20"/>
                <w:szCs w:val="20"/>
                <w:lang w:eastAsia="en-US"/>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135"/>
              <w:spacing w:before="40" w:after="40"/>
              <w:rPr>
                <w:sz w:val="20"/>
                <w:szCs w:val="20"/>
              </w:rPr>
            </w:pPr>
            <w:r>
              <w:rPr>
                <w:sz w:val="20"/>
                <w:szCs w:val="20"/>
              </w:rPr>
              <w:t xml:space="preserve">Ксерокопирование документов клиента</w:t>
            </w:r>
            <w:r>
              <w:rPr>
                <w:sz w:val="20"/>
                <w:szCs w:val="20"/>
              </w:rPr>
            </w:r>
            <w:r>
              <w:rPr>
                <w:sz w:val="20"/>
                <w:szCs w:val="20"/>
              </w:rPr>
            </w:r>
          </w:p>
        </w:tc>
        <w:tc>
          <w:tcPr>
            <w:gridSpan w:val="2"/>
            <w:tcBorders>
              <w:top w:val="single" w:color="000000" w:sz="4" w:space="0"/>
              <w:left w:val="single" w:color="000000" w:sz="4" w:space="0"/>
              <w:bottom w:val="none" w:color="000000" w:sz="4" w:space="0"/>
              <w:right w:val="single" w:color="000000" w:sz="4" w:space="0"/>
            </w:tcBorders>
            <w:tcW w:w="2540" w:type="dxa"/>
            <w:vAlign w:val="top"/>
            <w:textDirection w:val="lrTb"/>
            <w:noWrap w:val="false"/>
          </w:tcPr>
          <w:p>
            <w:pPr>
              <w:pStyle w:val="1135"/>
              <w:jc w:val="center"/>
              <w:spacing w:before="40" w:after="40"/>
              <w:rPr>
                <w:sz w:val="20"/>
                <w:szCs w:val="20"/>
              </w:rPr>
            </w:pPr>
            <w:r>
              <w:rPr>
                <w:sz w:val="20"/>
                <w:szCs w:val="20"/>
              </w:rPr>
              <w:t xml:space="preserve">50 руб. </w:t>
              <w:br w:type="textWrapping" w:clear="all"/>
              <w:t xml:space="preserve">за один лист с односторонним расположением текста</w:t>
            </w:r>
            <w:r>
              <w:rPr>
                <w:sz w:val="20"/>
                <w:szCs w:val="20"/>
              </w:rPr>
            </w:r>
            <w:r>
              <w:rPr>
                <w:sz w:val="20"/>
                <w:szCs w:val="20"/>
              </w:rPr>
            </w:r>
          </w:p>
        </w:tc>
        <w:tc>
          <w:tcPr>
            <w:tcBorders>
              <w:top w:val="single" w:color="000000" w:sz="4" w:space="0"/>
              <w:left w:val="single" w:color="000000" w:sz="4" w:space="0"/>
              <w:right w:val="single" w:color="000000" w:sz="4" w:space="0"/>
            </w:tcBorders>
            <w:tcW w:w="3541" w:type="dxa"/>
            <w:vAlign w:val="top"/>
            <w:vMerge w:val="restart"/>
            <w:textDirection w:val="lrTb"/>
            <w:noWrap w:val="false"/>
          </w:tcPr>
          <w:p>
            <w:pPr>
              <w:pStyle w:val="1135"/>
              <w:jc w:val="both"/>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Услуга облагается НДС, сумма которого взимается дополнительно</w:t>
            </w:r>
            <w:r>
              <w:rPr>
                <w:sz w:val="20"/>
                <w:szCs w:val="20"/>
                <w:lang w:eastAsia="en-US"/>
              </w:rPr>
            </w:r>
            <w:r>
              <w:rPr>
                <w:sz w:val="20"/>
                <w:szCs w:val="20"/>
                <w:lang w:eastAsia="en-US"/>
              </w:rPr>
            </w:r>
          </w:p>
          <w:p>
            <w:pPr>
              <w:pStyle w:val="1135"/>
              <w:jc w:val="both"/>
              <w:spacing w:before="40" w:after="40"/>
              <w:tabs>
                <w:tab w:val="left" w:pos="708" w:leader="none"/>
                <w:tab w:val="center" w:pos="4677" w:leader="none"/>
                <w:tab w:val="right" w:pos="9355" w:leader="none"/>
              </w:tabs>
              <w:rPr>
                <w:sz w:val="20"/>
                <w:szCs w:val="20"/>
                <w:lang w:eastAsia="en-US"/>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135"/>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135"/>
              <w:jc w:val="both"/>
              <w:rPr>
                <w:sz w:val="20"/>
                <w:szCs w:val="20"/>
              </w:rPr>
            </w:pPr>
            <w:r>
              <w:rPr>
                <w:sz w:val="20"/>
                <w:szCs w:val="20"/>
              </w:rPr>
              <w:t xml:space="preserve">- для открытия банковского счета/счета по депозиту при отсутствии банковского счета клиента в Банке</w:t>
            </w:r>
            <w:r>
              <w:rPr>
                <w:sz w:val="20"/>
                <w:szCs w:val="20"/>
              </w:rPr>
            </w:r>
            <w:r>
              <w:rPr>
                <w:sz w:val="20"/>
                <w:szCs w:val="20"/>
              </w:rPr>
            </w:r>
          </w:p>
        </w:tc>
        <w:tc>
          <w:tcPr>
            <w:gridSpan w:val="2"/>
            <w:tcBorders>
              <w:top w:val="none" w:color="000000" w:sz="4" w:space="0"/>
              <w:left w:val="single" w:color="000000" w:sz="4" w:space="0"/>
              <w:bottom w:val="single" w:color="000000" w:sz="4" w:space="0"/>
              <w:right w:val="single" w:color="000000" w:sz="4" w:space="0"/>
            </w:tcBorders>
            <w:tcW w:w="2540" w:type="dxa"/>
            <w:vAlign w:val="top"/>
            <w:textDirection w:val="lrTb"/>
            <w:noWrap w:val="false"/>
          </w:tcPr>
          <w:p>
            <w:pPr>
              <w:pStyle w:val="1135"/>
              <w:jc w:val="center"/>
              <w:rPr>
                <w:sz w:val="20"/>
                <w:szCs w:val="20"/>
              </w:rPr>
            </w:pPr>
            <w:r>
              <w:rPr>
                <w:sz w:val="20"/>
                <w:szCs w:val="20"/>
              </w:rPr>
              <w:t xml:space="preserve">Не взимается </w:t>
            </w:r>
            <w:r>
              <w:rPr>
                <w:sz w:val="20"/>
                <w:szCs w:val="20"/>
              </w:rPr>
            </w:r>
            <w:r>
              <w:rPr>
                <w:sz w:val="20"/>
                <w:szCs w:val="20"/>
              </w:rPr>
            </w:r>
          </w:p>
        </w:tc>
        <w:tc>
          <w:tcPr>
            <w:tcBorders>
              <w:left w:val="single" w:color="000000" w:sz="4" w:space="0"/>
              <w:bottom w:val="single" w:color="000000" w:sz="4" w:space="0"/>
              <w:right w:val="single" w:color="000000" w:sz="4" w:space="0"/>
            </w:tcBorders>
            <w:tcW w:w="3541" w:type="dxa"/>
            <w:vAlign w:val="top"/>
            <w:vMerge w:val="continue"/>
            <w:textDirection w:val="lrTb"/>
            <w:noWrap w:val="false"/>
          </w:tcPr>
          <w:p>
            <w:pPr>
              <w:pStyle w:val="1135"/>
              <w:jc w:val="both"/>
              <w:spacing w:before="120" w:after="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35"/>
              <w:jc w:val="center"/>
              <w:spacing w:before="40"/>
              <w:rPr>
                <w:bCs/>
                <w:sz w:val="20"/>
                <w:szCs w:val="20"/>
              </w:rPr>
            </w:pPr>
            <w:r>
              <w:rPr>
                <w:bCs/>
                <w:sz w:val="20"/>
                <w:szCs w:val="20"/>
              </w:rPr>
              <w:t xml:space="preserve">1.3.13. </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135"/>
              <w:jc w:val="both"/>
              <w:spacing w:before="40"/>
              <w:rPr>
                <w:bCs/>
                <w:sz w:val="20"/>
                <w:szCs w:val="20"/>
              </w:rPr>
            </w:pPr>
            <w:r>
              <w:rPr>
                <w:sz w:val="20"/>
                <w:szCs w:val="20"/>
              </w:rPr>
              <w:t xml:space="preserve">Установление Банком соответствия оригинала документа клиента его копии</w:t>
            </w:r>
            <w:r>
              <w:rPr>
                <w:bCs/>
                <w:sz w:val="20"/>
                <w:szCs w:val="20"/>
              </w:rPr>
            </w:r>
            <w:r>
              <w:rPr>
                <w:bCs/>
                <w:sz w:val="20"/>
                <w:szCs w:val="20"/>
              </w:rPr>
            </w:r>
          </w:p>
        </w:tc>
        <w:tc>
          <w:tcPr>
            <w:gridSpan w:val="2"/>
            <w:tcBorders>
              <w:top w:val="single" w:color="000000" w:sz="4" w:space="0"/>
              <w:left w:val="single" w:color="000000" w:sz="4" w:space="0"/>
              <w:bottom w:val="none" w:color="000000" w:sz="4" w:space="0"/>
              <w:right w:val="single" w:color="000000" w:sz="4" w:space="0"/>
            </w:tcBorders>
            <w:tcW w:w="2540" w:type="dxa"/>
            <w:vAlign w:val="top"/>
            <w:textDirection w:val="lrTb"/>
            <w:noWrap w:val="false"/>
          </w:tcPr>
          <w:p>
            <w:pPr>
              <w:pStyle w:val="1135"/>
              <w:jc w:val="center"/>
              <w:spacing w:before="40"/>
              <w:rPr>
                <w:bCs/>
                <w:sz w:val="20"/>
                <w:szCs w:val="20"/>
              </w:rPr>
            </w:pPr>
            <w:r>
              <w:rPr>
                <w:sz w:val="20"/>
                <w:szCs w:val="20"/>
              </w:rPr>
              <w:t xml:space="preserve">Не взимается </w:t>
            </w:r>
            <w:r>
              <w:rPr>
                <w:bCs/>
                <w:sz w:val="20"/>
                <w:szCs w:val="20"/>
              </w:rPr>
            </w:r>
            <w:r>
              <w:rPr>
                <w:bCs/>
                <w:sz w:val="20"/>
                <w:szCs w:val="20"/>
              </w:rPr>
            </w:r>
          </w:p>
        </w:tc>
        <w:tc>
          <w:tcPr>
            <w:tcBorders>
              <w:top w:val="single" w:color="000000" w:sz="4" w:space="0"/>
              <w:left w:val="single" w:color="000000" w:sz="4" w:space="0"/>
              <w:right w:val="single" w:color="000000" w:sz="4" w:space="0"/>
            </w:tcBorders>
            <w:tcW w:w="3541" w:type="dxa"/>
            <w:vAlign w:val="top"/>
            <w:vMerge w:val="restart"/>
            <w:textDirection w:val="lrTb"/>
            <w:noWrap w:val="false"/>
          </w:tcPr>
          <w:p>
            <w:pPr>
              <w:pStyle w:val="1135"/>
              <w:jc w:val="both"/>
              <w:spacing w:before="40"/>
              <w:rPr>
                <w:bCs/>
                <w:sz w:val="20"/>
                <w:szCs w:val="20"/>
              </w:rPr>
            </w:pPr>
            <w:r>
              <w:rPr>
                <w:bCs/>
                <w:sz w:val="20"/>
                <w:szCs w:val="20"/>
              </w:rPr>
              <w:t xml:space="preserve">В случае введения тарифа указанная комиссия облагается НДС, сумма которого взимается дополнительно</w:t>
            </w:r>
            <w:r>
              <w:rPr>
                <w:bCs/>
                <w:sz w:val="20"/>
                <w:szCs w:val="20"/>
              </w:rPr>
            </w:r>
            <w:r>
              <w:rPr>
                <w:bCs/>
                <w:sz w:val="20"/>
                <w:szCs w:val="20"/>
              </w:rPr>
            </w:r>
          </w:p>
          <w:p>
            <w:pPr>
              <w:pStyle w:val="1135"/>
              <w:jc w:val="both"/>
              <w:spacing w:before="40"/>
              <w:rPr>
                <w:bCs/>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135"/>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135"/>
              <w:jc w:val="both"/>
              <w:spacing w:before="40"/>
              <w:rPr>
                <w:sz w:val="20"/>
                <w:szCs w:val="20"/>
              </w:rPr>
            </w:pPr>
            <w:r>
              <w:rPr>
                <w:sz w:val="20"/>
                <w:szCs w:val="20"/>
              </w:rPr>
              <w:t xml:space="preserve">Заверение Банком копии документа клиента</w:t>
            </w:r>
            <w:r>
              <w:rPr>
                <w:sz w:val="20"/>
                <w:szCs w:val="20"/>
              </w:rPr>
            </w:r>
            <w:r>
              <w:rPr>
                <w:sz w:val="20"/>
                <w:szCs w:val="20"/>
              </w:rPr>
            </w:r>
          </w:p>
        </w:tc>
        <w:tc>
          <w:tcPr>
            <w:gridSpan w:val="2"/>
            <w:tcBorders>
              <w:top w:val="none" w:color="000000" w:sz="4" w:space="0"/>
              <w:left w:val="single" w:color="000000" w:sz="4" w:space="0"/>
              <w:bottom w:val="single" w:color="000000" w:sz="4" w:space="0"/>
              <w:right w:val="single" w:color="000000" w:sz="4" w:space="0"/>
            </w:tcBorders>
            <w:tcW w:w="2540" w:type="dxa"/>
            <w:vAlign w:val="top"/>
            <w:textDirection w:val="lrTb"/>
            <w:noWrap w:val="false"/>
          </w:tcPr>
          <w:p>
            <w:pPr>
              <w:pStyle w:val="1135"/>
              <w:jc w:val="center"/>
              <w:spacing w:before="40"/>
              <w:rPr>
                <w:bCs/>
                <w:sz w:val="20"/>
                <w:szCs w:val="20"/>
              </w:rPr>
            </w:pPr>
            <w:r>
              <w:rPr>
                <w:sz w:val="20"/>
                <w:szCs w:val="20"/>
              </w:rPr>
              <w:t xml:space="preserve">Не взимается</w:t>
            </w:r>
            <w:r>
              <w:rPr>
                <w:bCs/>
                <w:sz w:val="20"/>
                <w:szCs w:val="20"/>
              </w:rPr>
            </w:r>
            <w:r>
              <w:rPr>
                <w:bCs/>
                <w:sz w:val="20"/>
                <w:szCs w:val="20"/>
              </w:rPr>
            </w:r>
          </w:p>
        </w:tc>
        <w:tc>
          <w:tcPr>
            <w:tcBorders>
              <w:left w:val="single" w:color="000000" w:sz="4" w:space="0"/>
              <w:bottom w:val="single" w:color="000000" w:sz="4" w:space="0"/>
              <w:right w:val="single" w:color="000000" w:sz="4" w:space="0"/>
            </w:tcBorders>
            <w:tcW w:w="3541" w:type="dxa"/>
            <w:vAlign w:val="top"/>
            <w:vMerge w:val="continue"/>
            <w:textDirection w:val="lrTb"/>
            <w:noWrap w:val="false"/>
          </w:tcPr>
          <w:p>
            <w:pPr>
              <w:pStyle w:val="1135"/>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35"/>
              <w:jc w:val="center"/>
              <w:spacing w:before="40"/>
              <w:rPr>
                <w:bCs/>
                <w:sz w:val="20"/>
                <w:szCs w:val="20"/>
              </w:rPr>
            </w:pPr>
            <w:r>
              <w:rPr>
                <w:sz w:val="20"/>
                <w:szCs w:val="20"/>
                <w:lang w:eastAsia="en-US"/>
              </w:rPr>
              <w:t xml:space="preserve">1.3.1</w:t>
            </w:r>
            <w:r>
              <w:rPr>
                <w:sz w:val="20"/>
                <w:szCs w:val="20"/>
                <w:lang w:val="en-US" w:eastAsia="en-US"/>
              </w:rPr>
              <w:t xml:space="preserve">4</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35"/>
              <w:spacing w:after="160"/>
              <w:rPr>
                <w:sz w:val="20"/>
                <w:szCs w:val="20"/>
              </w:rPr>
            </w:pPr>
            <w:r>
              <w:rPr>
                <w:color w:val="000000"/>
                <w:sz w:val="20"/>
                <w:szCs w:val="20"/>
              </w:rPr>
              <w:t xml:space="preserve">Осуществление сопровождения Клиента персональным клиентским менеджером по транзакционным продуктам/услугам, заключающегося в срочном исполнении пис</w:t>
            </w:r>
            <w:r>
              <w:rPr>
                <w:color w:val="000000"/>
                <w:sz w:val="20"/>
                <w:szCs w:val="20"/>
              </w:rPr>
              <w:t xml:space="preserve">ьменных запросов Клиента, содержащих (но не ограничиваясь этим) предоставление выписок по счету в запрашиваемом Клиентом формате, статистических отчетов о движении денежных средств по счету за определенный Клиентом период, копий платежных и иных документов</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135"/>
              <w:jc w:val="center"/>
              <w:spacing w:before="40"/>
              <w:rPr>
                <w:sz w:val="20"/>
                <w:szCs w:val="20"/>
              </w:rPr>
            </w:pPr>
            <w:r>
              <w:rPr>
                <w:sz w:val="20"/>
                <w:szCs w:val="20"/>
                <w:lang w:eastAsia="en-US"/>
              </w:rPr>
              <w:t xml:space="preserve">По согласованию сторон</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35"/>
              <w:tabs>
                <w:tab w:val="left" w:pos="708" w:leader="none"/>
                <w:tab w:val="center" w:pos="4677" w:leader="none"/>
                <w:tab w:val="right" w:pos="9355" w:leader="none"/>
              </w:tabs>
              <w:rPr>
                <w:sz w:val="20"/>
                <w:szCs w:val="20"/>
                <w:lang w:eastAsia="en-US"/>
              </w:rPr>
            </w:pPr>
            <w:r>
              <w:rPr>
                <w:sz w:val="20"/>
                <w:szCs w:val="20"/>
                <w:lang w:eastAsia="en-US"/>
              </w:rPr>
              <w:t xml:space="preserve">Услуга оказывается на основании соответствующего соглашения, заключенного между Банком и Клиентом. </w:t>
            </w:r>
            <w:r>
              <w:rPr>
                <w:sz w:val="20"/>
                <w:szCs w:val="20"/>
                <w:lang w:eastAsia="en-US"/>
              </w:rPr>
            </w:r>
            <w:r>
              <w:rPr>
                <w:sz w:val="20"/>
                <w:szCs w:val="20"/>
                <w:lang w:eastAsia="en-US"/>
              </w:rPr>
            </w:r>
          </w:p>
          <w:p>
            <w:pPr>
              <w:pStyle w:val="1135"/>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в соответствии с порядком и сроками, определенными соглашением Сторон. </w:t>
            </w:r>
            <w:r>
              <w:rPr>
                <w:sz w:val="20"/>
                <w:szCs w:val="20"/>
                <w:lang w:eastAsia="en-US"/>
              </w:rPr>
            </w:r>
            <w:r>
              <w:rPr>
                <w:sz w:val="20"/>
                <w:szCs w:val="20"/>
                <w:lang w:eastAsia="en-US"/>
              </w:rPr>
            </w:r>
          </w:p>
          <w:p>
            <w:pPr>
              <w:pStyle w:val="1135"/>
              <w:tabs>
                <w:tab w:val="left" w:pos="708" w:leader="none"/>
                <w:tab w:val="center" w:pos="4677" w:leader="none"/>
                <w:tab w:val="right" w:pos="9355" w:leader="none"/>
              </w:tabs>
              <w:rPr>
                <w:sz w:val="20"/>
                <w:szCs w:val="20"/>
                <w:lang w:eastAsia="en-US"/>
              </w:rPr>
            </w:pPr>
            <w:r>
              <w:rPr>
                <w:sz w:val="20"/>
                <w:szCs w:val="20"/>
                <w:lang w:eastAsia="en-US"/>
              </w:rPr>
              <w:t xml:space="preserve">Услуга облагается НДС. При предоставлении данной услуги комиссионное вознаграждение по </w:t>
              <w:br w:type="textWrapping" w:clear="all"/>
              <w:t xml:space="preserve">пп. 1.3.1-1.3.3, 1.3.5-1.3.13 Тарифов не взимается.</w:t>
            </w:r>
            <w:r>
              <w:rPr>
                <w:sz w:val="20"/>
                <w:szCs w:val="20"/>
                <w:lang w:eastAsia="en-US"/>
              </w:rPr>
            </w:r>
            <w:r>
              <w:rPr>
                <w:sz w:val="20"/>
                <w:szCs w:val="20"/>
                <w:lang w:eastAsia="en-US"/>
              </w:rPr>
            </w:r>
          </w:p>
          <w:p>
            <w:pPr>
              <w:pStyle w:val="1135"/>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35"/>
              <w:jc w:val="center"/>
              <w:spacing w:before="40"/>
              <w:rPr>
                <w:sz w:val="20"/>
                <w:szCs w:val="20"/>
                <w:lang w:eastAsia="en-US"/>
              </w:rPr>
            </w:pPr>
            <w:r>
              <w:rPr>
                <w:sz w:val="20"/>
                <w:szCs w:val="20"/>
                <w:lang w:eastAsia="en-US"/>
              </w:rPr>
              <w:t xml:space="preserve">1.3.15</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35"/>
              <w:jc w:val="both"/>
              <w:tabs>
                <w:tab w:val="left" w:pos="708" w:leader="none"/>
                <w:tab w:val="center" w:pos="4677" w:leader="none"/>
                <w:tab w:val="right" w:pos="9355" w:leader="none"/>
              </w:tabs>
              <w:rPr>
                <w:sz w:val="20"/>
                <w:szCs w:val="20"/>
                <w:lang w:eastAsia="en-US"/>
              </w:rPr>
            </w:pPr>
            <w:r>
              <w:rPr>
                <w:sz w:val="20"/>
                <w:szCs w:val="20"/>
              </w:rPr>
              <w:t xml:space="preserve">Предоставление услуг по расширенному банковскому сопровождению счета</w:t>
            </w:r>
            <w:r>
              <w:rPr>
                <w:sz w:val="20"/>
                <w:szCs w:val="20"/>
                <w:lang w:eastAsia="en-US"/>
              </w:rPr>
            </w:r>
            <w:r>
              <w:rPr>
                <w:sz w:val="20"/>
                <w:szCs w:val="20"/>
                <w:lang w:eastAsia="en-US"/>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135"/>
              <w:jc w:val="center"/>
              <w:tabs>
                <w:tab w:val="left" w:pos="708" w:leader="none"/>
                <w:tab w:val="center" w:pos="4677" w:leader="none"/>
                <w:tab w:val="right" w:pos="9355" w:leader="none"/>
              </w:tabs>
              <w:rPr>
                <w:sz w:val="20"/>
                <w:szCs w:val="20"/>
                <w:lang w:eastAsia="en-US"/>
              </w:rPr>
            </w:pPr>
            <w:r>
              <w:rPr>
                <w:sz w:val="20"/>
                <w:szCs w:val="20"/>
                <w:lang w:eastAsia="en-US"/>
              </w:rPr>
              <w:t xml:space="preserve">По согласованию сторон</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35"/>
              <w:jc w:val="both"/>
              <w:tabs>
                <w:tab w:val="left" w:pos="708" w:leader="none"/>
                <w:tab w:val="center" w:pos="4677" w:leader="none"/>
                <w:tab w:val="right" w:pos="9355" w:leader="none"/>
              </w:tabs>
              <w:rPr>
                <w:sz w:val="20"/>
                <w:szCs w:val="20"/>
                <w:lang w:eastAsia="en-US"/>
              </w:rPr>
            </w:pPr>
            <w:r>
              <w:rPr>
                <w:sz w:val="20"/>
                <w:szCs w:val="20"/>
                <w:lang w:eastAsia="en-US"/>
              </w:rPr>
              <w:t xml:space="preserve">Услуга оказывается на основании соответствующего договора/соглашения, заключенного Банком и Клиентом.</w:t>
            </w:r>
            <w:r>
              <w:rPr>
                <w:sz w:val="20"/>
                <w:szCs w:val="20"/>
                <w:lang w:eastAsia="en-US"/>
              </w:rPr>
            </w:r>
            <w:r>
              <w:rPr>
                <w:sz w:val="20"/>
                <w:szCs w:val="20"/>
                <w:lang w:eastAsia="en-US"/>
              </w:rPr>
            </w:r>
          </w:p>
          <w:p>
            <w:pPr>
              <w:pStyle w:val="1135"/>
              <w:jc w:val="both"/>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в соответствии с порядком и сроками, определенными договором расширенного банковского сопровождения счета или дополнительным соглашением к нему.</w:t>
            </w:r>
            <w:r>
              <w:rPr>
                <w:sz w:val="20"/>
                <w:szCs w:val="20"/>
                <w:lang w:eastAsia="en-US"/>
              </w:rPr>
            </w:r>
            <w:r>
              <w:rPr>
                <w:sz w:val="20"/>
                <w:szCs w:val="20"/>
                <w:lang w:eastAsia="en-US"/>
              </w:rPr>
            </w:r>
          </w:p>
          <w:p>
            <w:pPr>
              <w:pStyle w:val="1135"/>
              <w:jc w:val="both"/>
              <w:tabs>
                <w:tab w:val="left" w:pos="708" w:leader="none"/>
                <w:tab w:val="center" w:pos="4677" w:leader="none"/>
                <w:tab w:val="right" w:pos="9355" w:leader="none"/>
              </w:tabs>
              <w:rPr>
                <w:sz w:val="20"/>
                <w:szCs w:val="20"/>
                <w:lang w:eastAsia="en-US"/>
              </w:rPr>
            </w:pPr>
            <w:r>
              <w:rPr>
                <w:sz w:val="20"/>
                <w:szCs w:val="20"/>
                <w:lang w:eastAsia="en-US"/>
              </w:rPr>
              <w:t xml:space="preserve">Услуга облагается НДС.</w:t>
            </w:r>
            <w:r>
              <w:rPr>
                <w:sz w:val="20"/>
                <w:szCs w:val="20"/>
                <w:lang w:eastAsia="en-US"/>
              </w:rPr>
            </w:r>
            <w:r>
              <w:rPr>
                <w:sz w:val="20"/>
                <w:szCs w:val="20"/>
                <w:lang w:eastAsia="en-US"/>
              </w:rPr>
            </w:r>
          </w:p>
        </w:tc>
      </w:tr>
    </w:tbl>
    <w:p>
      <w:pPr>
        <w:pStyle w:val="1135"/>
        <w:jc w:val="both"/>
        <w:spacing w:before="120"/>
        <w:tabs>
          <w:tab w:val="left" w:pos="1080" w:leader="none"/>
        </w:tabs>
        <w:rPr>
          <w:sz w:val="20"/>
          <w:szCs w:val="20"/>
        </w:rPr>
      </w:pPr>
      <w:r>
        <w:rPr>
          <w:iCs/>
          <w:sz w:val="20"/>
          <w:szCs w:val="20"/>
        </w:rPr>
        <w:t xml:space="preserve">* </w:t>
      </w:r>
      <w:r>
        <w:rPr>
          <w:sz w:val="20"/>
          <w:szCs w:val="20"/>
        </w:rPr>
        <w:t xml:space="preserve">Срок действия – до 31 декабря 2025 года (включительно).</w:t>
      </w:r>
      <w:r>
        <w:rPr>
          <w:sz w:val="20"/>
          <w:szCs w:val="20"/>
        </w:rPr>
      </w:r>
      <w:r>
        <w:rPr>
          <w:sz w:val="20"/>
          <w:szCs w:val="20"/>
        </w:rPr>
      </w:r>
    </w:p>
    <w:p>
      <w:pPr>
        <w:pStyle w:val="1135"/>
        <w:jc w:val="both"/>
        <w:tabs>
          <w:tab w:val="left" w:pos="1080" w:leader="none"/>
        </w:tabs>
        <w:rPr>
          <w:sz w:val="20"/>
          <w:szCs w:val="20"/>
        </w:rPr>
      </w:pPr>
      <w:r>
        <w:rPr>
          <w:sz w:val="20"/>
          <w:szCs w:val="20"/>
        </w:rPr>
        <w:t xml:space="preserve">** Комиссия по п.1.2.3.3 взимается за ведение счетов в следующих иностранных валютах:</w:t>
      </w:r>
      <w:r>
        <w:rPr>
          <w:sz w:val="20"/>
          <w:szCs w:val="20"/>
        </w:rPr>
      </w:r>
      <w:r>
        <w:rPr>
          <w:sz w:val="20"/>
          <w:szCs w:val="20"/>
        </w:rPr>
      </w:r>
    </w:p>
    <w:p>
      <w:pPr>
        <w:pStyle w:val="1135"/>
        <w:ind w:firstLine="709"/>
        <w:jc w:val="both"/>
        <w:tabs>
          <w:tab w:val="left" w:pos="1080" w:leader="none"/>
        </w:tabs>
        <w:rPr>
          <w:sz w:val="20"/>
          <w:szCs w:val="20"/>
        </w:rPr>
      </w:pPr>
      <w:r>
        <w:rPr>
          <w:sz w:val="20"/>
          <w:szCs w:val="20"/>
        </w:rPr>
        <w:t xml:space="preserve">- Австралийский доллар;</w:t>
      </w:r>
      <w:r>
        <w:rPr>
          <w:sz w:val="20"/>
          <w:szCs w:val="20"/>
        </w:rPr>
      </w:r>
      <w:r>
        <w:rPr>
          <w:sz w:val="20"/>
          <w:szCs w:val="20"/>
        </w:rPr>
      </w:r>
    </w:p>
    <w:p>
      <w:pPr>
        <w:pStyle w:val="1135"/>
        <w:ind w:firstLine="709"/>
        <w:jc w:val="both"/>
        <w:tabs>
          <w:tab w:val="left" w:pos="1080" w:leader="none"/>
        </w:tabs>
        <w:rPr>
          <w:sz w:val="20"/>
          <w:szCs w:val="20"/>
        </w:rPr>
      </w:pPr>
      <w:r>
        <w:rPr>
          <w:sz w:val="20"/>
          <w:szCs w:val="20"/>
        </w:rPr>
        <w:t xml:space="preserve">- Багамский доллар;</w:t>
      </w:r>
      <w:r>
        <w:rPr>
          <w:sz w:val="20"/>
          <w:szCs w:val="20"/>
        </w:rPr>
      </w:r>
      <w:r>
        <w:rPr>
          <w:sz w:val="20"/>
          <w:szCs w:val="20"/>
        </w:rPr>
      </w:r>
    </w:p>
    <w:p>
      <w:pPr>
        <w:pStyle w:val="1135"/>
        <w:ind w:firstLine="709"/>
        <w:jc w:val="both"/>
        <w:tabs>
          <w:tab w:val="left" w:pos="1080" w:leader="none"/>
        </w:tabs>
        <w:rPr>
          <w:sz w:val="20"/>
          <w:szCs w:val="20"/>
        </w:rPr>
      </w:pPr>
      <w:r>
        <w:rPr>
          <w:sz w:val="20"/>
          <w:szCs w:val="20"/>
        </w:rPr>
        <w:t xml:space="preserve">- Болгарский лев;</w:t>
      </w:r>
      <w:r>
        <w:rPr>
          <w:sz w:val="20"/>
          <w:szCs w:val="20"/>
        </w:rPr>
      </w:r>
      <w:r>
        <w:rPr>
          <w:sz w:val="20"/>
          <w:szCs w:val="20"/>
        </w:rPr>
      </w:r>
    </w:p>
    <w:p>
      <w:pPr>
        <w:pStyle w:val="1135"/>
        <w:ind w:firstLine="709"/>
        <w:jc w:val="both"/>
        <w:tabs>
          <w:tab w:val="left" w:pos="1080" w:leader="none"/>
        </w:tabs>
        <w:rPr>
          <w:sz w:val="20"/>
          <w:szCs w:val="20"/>
        </w:rPr>
      </w:pPr>
      <w:r>
        <w:rPr>
          <w:sz w:val="20"/>
          <w:szCs w:val="20"/>
        </w:rPr>
        <w:t xml:space="preserve">- Венгерский форинт;</w:t>
      </w:r>
      <w:r>
        <w:rPr>
          <w:sz w:val="20"/>
          <w:szCs w:val="20"/>
        </w:rPr>
      </w:r>
      <w:r>
        <w:rPr>
          <w:sz w:val="20"/>
          <w:szCs w:val="20"/>
        </w:rPr>
      </w:r>
    </w:p>
    <w:p>
      <w:pPr>
        <w:pStyle w:val="1135"/>
        <w:ind w:firstLine="709"/>
        <w:jc w:val="both"/>
        <w:tabs>
          <w:tab w:val="left" w:pos="1080" w:leader="none"/>
        </w:tabs>
        <w:rPr>
          <w:sz w:val="20"/>
          <w:szCs w:val="20"/>
        </w:rPr>
      </w:pPr>
      <w:r>
        <w:rPr>
          <w:sz w:val="20"/>
          <w:szCs w:val="20"/>
        </w:rPr>
        <w:t xml:space="preserve">- Вон Республики Корея;</w:t>
      </w:r>
      <w:r>
        <w:rPr>
          <w:sz w:val="20"/>
          <w:szCs w:val="20"/>
        </w:rPr>
      </w:r>
      <w:r>
        <w:rPr>
          <w:sz w:val="20"/>
          <w:szCs w:val="20"/>
        </w:rPr>
      </w:r>
    </w:p>
    <w:p>
      <w:pPr>
        <w:pStyle w:val="1135"/>
        <w:ind w:firstLine="709"/>
        <w:jc w:val="both"/>
        <w:tabs>
          <w:tab w:val="left" w:pos="1080" w:leader="none"/>
        </w:tabs>
        <w:rPr>
          <w:sz w:val="20"/>
          <w:szCs w:val="20"/>
        </w:rPr>
      </w:pPr>
      <w:r>
        <w:rPr>
          <w:sz w:val="20"/>
          <w:szCs w:val="20"/>
        </w:rPr>
        <w:t xml:space="preserve">- Гонконгский доллар;</w:t>
      </w:r>
      <w:r>
        <w:rPr>
          <w:sz w:val="20"/>
          <w:szCs w:val="20"/>
        </w:rPr>
      </w:r>
      <w:r>
        <w:rPr>
          <w:sz w:val="20"/>
          <w:szCs w:val="20"/>
        </w:rPr>
      </w:r>
    </w:p>
    <w:p>
      <w:pPr>
        <w:pStyle w:val="1135"/>
        <w:ind w:firstLine="709"/>
        <w:jc w:val="both"/>
        <w:tabs>
          <w:tab w:val="left" w:pos="1080" w:leader="none"/>
        </w:tabs>
        <w:rPr>
          <w:sz w:val="20"/>
          <w:szCs w:val="20"/>
        </w:rPr>
      </w:pPr>
      <w:r>
        <w:rPr>
          <w:sz w:val="20"/>
          <w:szCs w:val="20"/>
        </w:rPr>
        <w:t xml:space="preserve">- Датская крона;</w:t>
      </w:r>
      <w:r>
        <w:rPr>
          <w:sz w:val="20"/>
          <w:szCs w:val="20"/>
        </w:rPr>
      </w:r>
      <w:r>
        <w:rPr>
          <w:sz w:val="20"/>
          <w:szCs w:val="20"/>
        </w:rPr>
      </w:r>
    </w:p>
    <w:p>
      <w:pPr>
        <w:pStyle w:val="1135"/>
        <w:ind w:firstLine="709"/>
        <w:jc w:val="both"/>
        <w:tabs>
          <w:tab w:val="left" w:pos="1080" w:leader="none"/>
        </w:tabs>
        <w:rPr>
          <w:sz w:val="20"/>
          <w:szCs w:val="20"/>
        </w:rPr>
      </w:pPr>
      <w:r>
        <w:rPr>
          <w:sz w:val="20"/>
          <w:szCs w:val="20"/>
        </w:rPr>
        <w:t xml:space="preserve">- Исландская крона;</w:t>
      </w:r>
      <w:r>
        <w:rPr>
          <w:sz w:val="20"/>
          <w:szCs w:val="20"/>
        </w:rPr>
      </w:r>
      <w:r>
        <w:rPr>
          <w:sz w:val="20"/>
          <w:szCs w:val="20"/>
        </w:rPr>
      </w:r>
    </w:p>
    <w:p>
      <w:pPr>
        <w:pStyle w:val="1135"/>
        <w:ind w:firstLine="709"/>
        <w:jc w:val="both"/>
        <w:tabs>
          <w:tab w:val="left" w:pos="1080" w:leader="none"/>
        </w:tabs>
        <w:rPr>
          <w:sz w:val="20"/>
          <w:szCs w:val="20"/>
        </w:rPr>
      </w:pPr>
      <w:r>
        <w:rPr>
          <w:sz w:val="20"/>
          <w:szCs w:val="20"/>
        </w:rPr>
        <w:t xml:space="preserve">- Канадский доллар;</w:t>
      </w:r>
      <w:r>
        <w:rPr>
          <w:sz w:val="20"/>
          <w:szCs w:val="20"/>
        </w:rPr>
      </w:r>
      <w:r>
        <w:rPr>
          <w:sz w:val="20"/>
          <w:szCs w:val="20"/>
        </w:rPr>
      </w:r>
    </w:p>
    <w:p>
      <w:pPr>
        <w:pStyle w:val="1135"/>
        <w:ind w:firstLine="709"/>
        <w:jc w:val="both"/>
        <w:tabs>
          <w:tab w:val="left" w:pos="1080" w:leader="none"/>
        </w:tabs>
        <w:rPr>
          <w:sz w:val="20"/>
          <w:szCs w:val="20"/>
        </w:rPr>
      </w:pPr>
      <w:r>
        <w:rPr>
          <w:sz w:val="20"/>
          <w:szCs w:val="20"/>
        </w:rPr>
        <w:t xml:space="preserve">- Албанский лек;</w:t>
      </w:r>
      <w:r>
        <w:rPr>
          <w:sz w:val="20"/>
          <w:szCs w:val="20"/>
        </w:rPr>
      </w:r>
      <w:r>
        <w:rPr>
          <w:sz w:val="20"/>
          <w:szCs w:val="20"/>
        </w:rPr>
      </w:r>
    </w:p>
    <w:p>
      <w:pPr>
        <w:pStyle w:val="1135"/>
        <w:ind w:firstLine="709"/>
        <w:jc w:val="both"/>
        <w:tabs>
          <w:tab w:val="left" w:pos="1080" w:leader="none"/>
        </w:tabs>
        <w:rPr>
          <w:sz w:val="20"/>
          <w:szCs w:val="20"/>
        </w:rPr>
      </w:pPr>
      <w:r>
        <w:rPr>
          <w:sz w:val="20"/>
          <w:szCs w:val="20"/>
        </w:rPr>
        <w:t xml:space="preserve">- Македонский денар;</w:t>
      </w:r>
      <w:r>
        <w:rPr>
          <w:sz w:val="20"/>
          <w:szCs w:val="20"/>
        </w:rPr>
      </w:r>
      <w:r>
        <w:rPr>
          <w:sz w:val="20"/>
          <w:szCs w:val="20"/>
        </w:rPr>
      </w:r>
    </w:p>
    <w:p>
      <w:pPr>
        <w:pStyle w:val="1135"/>
        <w:ind w:firstLine="709"/>
        <w:jc w:val="both"/>
        <w:tabs>
          <w:tab w:val="left" w:pos="1080" w:leader="none"/>
        </w:tabs>
        <w:rPr>
          <w:sz w:val="20"/>
          <w:szCs w:val="20"/>
        </w:rPr>
      </w:pPr>
      <w:r>
        <w:rPr>
          <w:sz w:val="20"/>
          <w:szCs w:val="20"/>
        </w:rPr>
        <w:t xml:space="preserve">- Новозеландский доллар;</w:t>
      </w:r>
      <w:r>
        <w:rPr>
          <w:sz w:val="20"/>
          <w:szCs w:val="20"/>
        </w:rPr>
      </w:r>
      <w:r>
        <w:rPr>
          <w:sz w:val="20"/>
          <w:szCs w:val="20"/>
        </w:rPr>
      </w:r>
    </w:p>
    <w:p>
      <w:pPr>
        <w:pStyle w:val="1135"/>
        <w:ind w:firstLine="709"/>
        <w:jc w:val="both"/>
        <w:tabs>
          <w:tab w:val="left" w:pos="1080" w:leader="none"/>
        </w:tabs>
        <w:rPr>
          <w:sz w:val="20"/>
          <w:szCs w:val="20"/>
        </w:rPr>
      </w:pPr>
      <w:r>
        <w:rPr>
          <w:sz w:val="20"/>
          <w:szCs w:val="20"/>
        </w:rPr>
        <w:t xml:space="preserve">- Норвежская крона;</w:t>
      </w:r>
      <w:r>
        <w:rPr>
          <w:sz w:val="20"/>
          <w:szCs w:val="20"/>
        </w:rPr>
      </w:r>
      <w:r>
        <w:rPr>
          <w:sz w:val="20"/>
          <w:szCs w:val="20"/>
        </w:rPr>
      </w:r>
    </w:p>
    <w:p>
      <w:pPr>
        <w:pStyle w:val="1135"/>
        <w:ind w:firstLine="709"/>
        <w:jc w:val="both"/>
        <w:tabs>
          <w:tab w:val="left" w:pos="1080" w:leader="none"/>
        </w:tabs>
        <w:rPr>
          <w:sz w:val="20"/>
          <w:szCs w:val="20"/>
        </w:rPr>
      </w:pPr>
      <w:r>
        <w:rPr>
          <w:sz w:val="20"/>
          <w:szCs w:val="20"/>
        </w:rPr>
        <w:t xml:space="preserve">- Польский злотый;</w:t>
      </w:r>
      <w:r>
        <w:rPr>
          <w:sz w:val="20"/>
          <w:szCs w:val="20"/>
        </w:rPr>
      </w:r>
      <w:r>
        <w:rPr>
          <w:sz w:val="20"/>
          <w:szCs w:val="20"/>
        </w:rPr>
      </w:r>
    </w:p>
    <w:p>
      <w:pPr>
        <w:pStyle w:val="1135"/>
        <w:ind w:firstLine="709"/>
        <w:jc w:val="both"/>
        <w:tabs>
          <w:tab w:val="left" w:pos="1080" w:leader="none"/>
        </w:tabs>
        <w:rPr>
          <w:sz w:val="20"/>
          <w:szCs w:val="20"/>
        </w:rPr>
      </w:pPr>
      <w:r>
        <w:rPr>
          <w:sz w:val="20"/>
          <w:szCs w:val="20"/>
        </w:rPr>
        <w:t xml:space="preserve">- Румынский лей;</w:t>
      </w:r>
      <w:r>
        <w:rPr>
          <w:sz w:val="20"/>
          <w:szCs w:val="20"/>
        </w:rPr>
      </w:r>
      <w:r>
        <w:rPr>
          <w:sz w:val="20"/>
          <w:szCs w:val="20"/>
        </w:rPr>
      </w:r>
    </w:p>
    <w:p>
      <w:pPr>
        <w:pStyle w:val="1135"/>
        <w:ind w:firstLine="709"/>
        <w:jc w:val="both"/>
        <w:tabs>
          <w:tab w:val="left" w:pos="1080" w:leader="none"/>
        </w:tabs>
        <w:rPr>
          <w:sz w:val="20"/>
          <w:szCs w:val="20"/>
        </w:rPr>
      </w:pPr>
      <w:r>
        <w:rPr>
          <w:sz w:val="20"/>
          <w:szCs w:val="20"/>
        </w:rPr>
        <w:t xml:space="preserve">- Сингапурский доллар;</w:t>
      </w:r>
      <w:r>
        <w:rPr>
          <w:sz w:val="20"/>
          <w:szCs w:val="20"/>
        </w:rPr>
      </w:r>
      <w:r>
        <w:rPr>
          <w:sz w:val="20"/>
          <w:szCs w:val="20"/>
        </w:rPr>
      </w:r>
    </w:p>
    <w:p>
      <w:pPr>
        <w:pStyle w:val="1135"/>
        <w:ind w:firstLine="709"/>
        <w:jc w:val="both"/>
        <w:tabs>
          <w:tab w:val="left" w:pos="1080" w:leader="none"/>
        </w:tabs>
        <w:rPr>
          <w:sz w:val="20"/>
          <w:szCs w:val="20"/>
        </w:rPr>
      </w:pPr>
      <w:r>
        <w:rPr>
          <w:sz w:val="20"/>
          <w:szCs w:val="20"/>
        </w:rPr>
        <w:t xml:space="preserve">- Украинская гривна;</w:t>
      </w:r>
      <w:r>
        <w:rPr>
          <w:sz w:val="20"/>
          <w:szCs w:val="20"/>
        </w:rPr>
      </w:r>
      <w:r>
        <w:rPr>
          <w:sz w:val="20"/>
          <w:szCs w:val="20"/>
        </w:rPr>
      </w:r>
    </w:p>
    <w:p>
      <w:pPr>
        <w:pStyle w:val="1135"/>
        <w:ind w:firstLine="709"/>
        <w:jc w:val="both"/>
        <w:tabs>
          <w:tab w:val="left" w:pos="1080" w:leader="none"/>
        </w:tabs>
        <w:rPr>
          <w:sz w:val="20"/>
          <w:szCs w:val="20"/>
        </w:rPr>
      </w:pPr>
      <w:r>
        <w:rPr>
          <w:sz w:val="20"/>
          <w:szCs w:val="20"/>
        </w:rPr>
        <w:t xml:space="preserve">- Фунт стерлингов Соединенного королевства;</w:t>
      </w:r>
      <w:r>
        <w:rPr>
          <w:sz w:val="20"/>
          <w:szCs w:val="20"/>
        </w:rPr>
      </w:r>
      <w:r>
        <w:rPr>
          <w:sz w:val="20"/>
          <w:szCs w:val="20"/>
        </w:rPr>
      </w:r>
    </w:p>
    <w:p>
      <w:pPr>
        <w:pStyle w:val="1135"/>
        <w:ind w:firstLine="709"/>
        <w:jc w:val="both"/>
        <w:tabs>
          <w:tab w:val="left" w:pos="1080" w:leader="none"/>
        </w:tabs>
        <w:rPr>
          <w:sz w:val="20"/>
          <w:szCs w:val="20"/>
        </w:rPr>
      </w:pPr>
      <w:r>
        <w:rPr>
          <w:sz w:val="20"/>
          <w:szCs w:val="20"/>
        </w:rPr>
        <w:t xml:space="preserve">- Хорватская куна;</w:t>
      </w:r>
      <w:r>
        <w:rPr>
          <w:sz w:val="20"/>
          <w:szCs w:val="20"/>
        </w:rPr>
      </w:r>
      <w:r>
        <w:rPr>
          <w:sz w:val="20"/>
          <w:szCs w:val="20"/>
        </w:rPr>
      </w:r>
    </w:p>
    <w:p>
      <w:pPr>
        <w:pStyle w:val="1135"/>
        <w:ind w:firstLine="709"/>
        <w:jc w:val="both"/>
        <w:tabs>
          <w:tab w:val="left" w:pos="1080" w:leader="none"/>
        </w:tabs>
        <w:rPr>
          <w:sz w:val="20"/>
          <w:szCs w:val="20"/>
        </w:rPr>
      </w:pPr>
      <w:r>
        <w:rPr>
          <w:sz w:val="20"/>
          <w:szCs w:val="20"/>
        </w:rPr>
        <w:t xml:space="preserve">- Чешская крона;</w:t>
      </w:r>
      <w:r>
        <w:rPr>
          <w:sz w:val="20"/>
          <w:szCs w:val="20"/>
        </w:rPr>
      </w:r>
      <w:r>
        <w:rPr>
          <w:sz w:val="20"/>
          <w:szCs w:val="20"/>
        </w:rPr>
      </w:r>
    </w:p>
    <w:p>
      <w:pPr>
        <w:pStyle w:val="1135"/>
        <w:ind w:firstLine="709"/>
        <w:jc w:val="both"/>
        <w:tabs>
          <w:tab w:val="left" w:pos="1080" w:leader="none"/>
        </w:tabs>
        <w:rPr>
          <w:sz w:val="20"/>
          <w:szCs w:val="20"/>
        </w:rPr>
      </w:pPr>
      <w:r>
        <w:rPr>
          <w:sz w:val="20"/>
          <w:szCs w:val="20"/>
        </w:rPr>
        <w:t xml:space="preserve">- Шведская крона;</w:t>
      </w:r>
      <w:r>
        <w:rPr>
          <w:sz w:val="20"/>
          <w:szCs w:val="20"/>
        </w:rPr>
      </w:r>
      <w:r>
        <w:rPr>
          <w:sz w:val="20"/>
          <w:szCs w:val="20"/>
        </w:rPr>
      </w:r>
    </w:p>
    <w:p>
      <w:pPr>
        <w:pStyle w:val="1135"/>
        <w:ind w:firstLine="709"/>
        <w:jc w:val="both"/>
        <w:tabs>
          <w:tab w:val="left" w:pos="1080" w:leader="none"/>
        </w:tabs>
        <w:rPr>
          <w:sz w:val="20"/>
          <w:szCs w:val="20"/>
        </w:rPr>
      </w:pPr>
      <w:r>
        <w:rPr>
          <w:sz w:val="20"/>
          <w:szCs w:val="20"/>
        </w:rPr>
        <w:t xml:space="preserve">- Швейцарский франк;</w:t>
      </w:r>
      <w:r>
        <w:rPr>
          <w:sz w:val="20"/>
          <w:szCs w:val="20"/>
        </w:rPr>
      </w:r>
      <w:r>
        <w:rPr>
          <w:sz w:val="20"/>
          <w:szCs w:val="20"/>
        </w:rPr>
      </w:r>
    </w:p>
    <w:p>
      <w:pPr>
        <w:pStyle w:val="1135"/>
        <w:ind w:firstLine="709"/>
        <w:jc w:val="both"/>
        <w:tabs>
          <w:tab w:val="left" w:pos="1080" w:leader="none"/>
        </w:tabs>
        <w:rPr>
          <w:sz w:val="20"/>
          <w:szCs w:val="20"/>
        </w:rPr>
      </w:pPr>
      <w:r>
        <w:rPr>
          <w:sz w:val="20"/>
          <w:szCs w:val="20"/>
        </w:rPr>
        <w:t xml:space="preserve">- Японская йена.</w:t>
      </w:r>
      <w:r>
        <w:rPr>
          <w:sz w:val="20"/>
          <w:szCs w:val="20"/>
        </w:rPr>
      </w:r>
      <w:r>
        <w:rPr>
          <w:sz w:val="20"/>
          <w:szCs w:val="20"/>
        </w:rPr>
      </w:r>
    </w:p>
    <w:p>
      <w:pPr>
        <w:pStyle w:val="1135"/>
        <w:spacing w:before="120"/>
        <w:rPr>
          <w:sz w:val="20"/>
          <w:szCs w:val="20"/>
          <w:u w:val="single"/>
        </w:rPr>
      </w:pPr>
      <w:r>
        <w:rPr>
          <w:sz w:val="20"/>
          <w:szCs w:val="20"/>
          <w:u w:val="single"/>
        </w:rPr>
        <w:t xml:space="preserve">Примечание:</w:t>
      </w:r>
      <w:r>
        <w:rPr>
          <w:sz w:val="20"/>
          <w:szCs w:val="20"/>
          <w:u w:val="single"/>
        </w:rPr>
      </w:r>
      <w:r>
        <w:rPr>
          <w:sz w:val="20"/>
          <w:szCs w:val="20"/>
          <w:u w:val="single"/>
        </w:rPr>
      </w:r>
    </w:p>
    <w:p>
      <w:pPr>
        <w:pStyle w:val="1135"/>
        <w:jc w:val="both"/>
        <w:tabs>
          <w:tab w:val="left" w:pos="284" w:leader="none"/>
          <w:tab w:val="left" w:pos="1134" w:leader="none"/>
        </w:tabs>
        <w:rPr>
          <w:bCs/>
          <w:sz w:val="20"/>
          <w:szCs w:val="20"/>
        </w:rPr>
      </w:pPr>
      <w:r>
        <w:rPr>
          <w:sz w:val="20"/>
          <w:szCs w:val="20"/>
        </w:rPr>
        <w:t xml:space="preserve">1.</w:t>
        <w:tab/>
      </w:r>
      <w:r>
        <w:rPr>
          <w:bCs/>
          <w:sz w:val="20"/>
          <w:szCs w:val="20"/>
        </w:rPr>
        <w:t xml:space="preserve">Без взимания комиссии в Банке открываются и обслуживаются:</w:t>
      </w:r>
      <w:r>
        <w:rPr>
          <w:bCs/>
          <w:sz w:val="20"/>
          <w:szCs w:val="20"/>
        </w:rPr>
      </w:r>
      <w:r>
        <w:rPr>
          <w:bCs/>
          <w:sz w:val="20"/>
          <w:szCs w:val="20"/>
        </w:rPr>
      </w:r>
    </w:p>
    <w:p>
      <w:pPr>
        <w:pStyle w:val="1135"/>
        <w:jc w:val="both"/>
        <w:tabs>
          <w:tab w:val="left" w:pos="284" w:leader="none"/>
          <w:tab w:val="left" w:pos="1134" w:leader="none"/>
        </w:tabs>
        <w:rPr>
          <w:bCs/>
          <w:sz w:val="20"/>
          <w:szCs w:val="20"/>
        </w:rPr>
      </w:pPr>
      <w:r>
        <w:rPr>
          <w:bCs/>
          <w:sz w:val="20"/>
          <w:szCs w:val="20"/>
        </w:rPr>
        <w:t xml:space="preserve">- бюджетные счета (счета, открываемые на балансовых позициях 401-404);</w:t>
      </w:r>
      <w:r>
        <w:rPr>
          <w:bCs/>
          <w:sz w:val="20"/>
          <w:szCs w:val="20"/>
        </w:rPr>
      </w:r>
      <w:r>
        <w:rPr>
          <w:bCs/>
          <w:sz w:val="20"/>
          <w:szCs w:val="20"/>
        </w:rPr>
      </w:r>
    </w:p>
    <w:p>
      <w:pPr>
        <w:pStyle w:val="1135"/>
        <w:jc w:val="both"/>
        <w:tabs>
          <w:tab w:val="left" w:pos="284" w:leader="none"/>
          <w:tab w:val="left" w:pos="1134" w:leader="none"/>
        </w:tabs>
        <w:rPr>
          <w:bCs/>
          <w:sz w:val="20"/>
          <w:szCs w:val="20"/>
        </w:rPr>
      </w:pPr>
      <w:r>
        <w:rPr>
          <w:bCs/>
          <w:sz w:val="20"/>
          <w:szCs w:val="20"/>
        </w:rPr>
        <w:t xml:space="preserve">- счета бюджетных учреждений/казенных учреждений/автономных учреждений;</w:t>
      </w:r>
      <w:r>
        <w:rPr>
          <w:bCs/>
          <w:sz w:val="20"/>
          <w:szCs w:val="20"/>
        </w:rPr>
      </w:r>
      <w:r>
        <w:rPr>
          <w:bCs/>
          <w:sz w:val="20"/>
          <w:szCs w:val="20"/>
        </w:rPr>
      </w:r>
    </w:p>
    <w:p>
      <w:pPr>
        <w:pStyle w:val="1135"/>
        <w:jc w:val="both"/>
        <w:tabs>
          <w:tab w:val="left" w:pos="284" w:leader="none"/>
          <w:tab w:val="left" w:pos="1134" w:leader="none"/>
        </w:tabs>
        <w:rPr>
          <w:bCs/>
          <w:sz w:val="20"/>
          <w:szCs w:val="20"/>
        </w:rPr>
      </w:pPr>
      <w:r>
        <w:rPr>
          <w:bCs/>
          <w:sz w:val="20"/>
          <w:szCs w:val="20"/>
        </w:rPr>
        <w:t xml:space="preserve">- депозитные счета нотариусов</w:t>
      </w:r>
      <w:r>
        <w:rPr>
          <w:bCs/>
          <w:sz w:val="20"/>
          <w:szCs w:val="20"/>
        </w:rPr>
      </w:r>
      <w:r>
        <w:rPr>
          <w:bCs/>
          <w:sz w:val="20"/>
          <w:szCs w:val="20"/>
        </w:rPr>
      </w:r>
    </w:p>
    <w:p>
      <w:pPr>
        <w:pStyle w:val="1135"/>
        <w:jc w:val="both"/>
        <w:tabs>
          <w:tab w:val="left" w:pos="284" w:leader="none"/>
          <w:tab w:val="left" w:pos="1134" w:leader="none"/>
        </w:tabs>
        <w:rPr>
          <w:bCs/>
          <w:sz w:val="20"/>
          <w:szCs w:val="20"/>
        </w:rPr>
      </w:pPr>
      <w:r>
        <w:rPr>
          <w:bCs/>
          <w:sz w:val="20"/>
          <w:szCs w:val="20"/>
        </w:rPr>
        <w:t xml:space="preserve">- отдельные счета головного исполнителя;</w:t>
      </w:r>
      <w:r>
        <w:rPr>
          <w:bCs/>
          <w:sz w:val="20"/>
          <w:szCs w:val="20"/>
        </w:rPr>
      </w:r>
      <w:r>
        <w:rPr>
          <w:bCs/>
          <w:sz w:val="20"/>
          <w:szCs w:val="20"/>
        </w:rPr>
      </w:r>
    </w:p>
    <w:p>
      <w:pPr>
        <w:pStyle w:val="1135"/>
        <w:jc w:val="both"/>
        <w:tabs>
          <w:tab w:val="left" w:pos="284" w:leader="none"/>
          <w:tab w:val="left" w:pos="1134" w:leader="none"/>
        </w:tabs>
        <w:rPr>
          <w:bCs/>
          <w:sz w:val="20"/>
          <w:szCs w:val="20"/>
        </w:rPr>
      </w:pPr>
      <w:r>
        <w:rPr>
          <w:bCs/>
          <w:sz w:val="20"/>
          <w:szCs w:val="20"/>
        </w:rPr>
        <w:t xml:space="preserve">- отдельные счета исполнителя государственного оборонного заказа;</w:t>
      </w:r>
      <w:r>
        <w:rPr>
          <w:bCs/>
          <w:sz w:val="20"/>
          <w:szCs w:val="20"/>
        </w:rPr>
      </w:r>
      <w:r>
        <w:rPr>
          <w:bCs/>
          <w:sz w:val="20"/>
          <w:szCs w:val="20"/>
        </w:rPr>
      </w:r>
    </w:p>
    <w:p>
      <w:pPr>
        <w:pStyle w:val="1135"/>
        <w:jc w:val="both"/>
        <w:tabs>
          <w:tab w:val="left" w:pos="284" w:leader="none"/>
          <w:tab w:val="left" w:pos="1134" w:leader="none"/>
        </w:tabs>
        <w:rPr>
          <w:bCs/>
          <w:sz w:val="20"/>
          <w:szCs w:val="20"/>
        </w:rPr>
      </w:pPr>
      <w:r>
        <w:rPr>
          <w:bCs/>
          <w:sz w:val="20"/>
          <w:szCs w:val="20"/>
        </w:rPr>
        <w:t xml:space="preserve">- специальные банковские счета для размещения саморегулируемыми организациями средств компенсационного фонда;</w:t>
      </w:r>
      <w:r>
        <w:rPr>
          <w:bCs/>
          <w:sz w:val="20"/>
          <w:szCs w:val="20"/>
        </w:rPr>
      </w:r>
      <w:r>
        <w:rPr>
          <w:bCs/>
          <w:sz w:val="20"/>
          <w:szCs w:val="20"/>
        </w:rPr>
      </w:r>
    </w:p>
    <w:p>
      <w:pPr>
        <w:pStyle w:val="1135"/>
        <w:jc w:val="both"/>
        <w:tabs>
          <w:tab w:val="left" w:pos="284" w:leader="none"/>
          <w:tab w:val="left" w:pos="1134" w:leader="none"/>
        </w:tabs>
        <w:rPr>
          <w:bCs/>
          <w:sz w:val="20"/>
          <w:szCs w:val="20"/>
        </w:rPr>
      </w:pPr>
      <w:r>
        <w:rPr>
          <w:bCs/>
          <w:sz w:val="20"/>
          <w:szCs w:val="20"/>
        </w:rPr>
        <w:t xml:space="preserve">- специальные банковские счета для размещения саморегулируемыми организациями средств компенсационного фонда возмещения вреда;</w:t>
      </w:r>
      <w:r>
        <w:rPr>
          <w:bCs/>
          <w:sz w:val="20"/>
          <w:szCs w:val="20"/>
        </w:rPr>
      </w:r>
      <w:r>
        <w:rPr>
          <w:bCs/>
          <w:sz w:val="20"/>
          <w:szCs w:val="20"/>
        </w:rPr>
      </w:r>
    </w:p>
    <w:p>
      <w:pPr>
        <w:pStyle w:val="1135"/>
        <w:jc w:val="both"/>
        <w:tabs>
          <w:tab w:val="left" w:pos="284" w:leader="none"/>
          <w:tab w:val="left" w:pos="1134" w:leader="none"/>
        </w:tabs>
        <w:rPr>
          <w:bCs/>
          <w:sz w:val="20"/>
          <w:szCs w:val="20"/>
        </w:rPr>
      </w:pPr>
      <w:r>
        <w:rPr>
          <w:bCs/>
          <w:sz w:val="20"/>
          <w:szCs w:val="20"/>
        </w:rPr>
        <w:t xml:space="preserve">- специальные банковские счета для размещения саморегулируемыми организациями средств компенсационного фонда обеспечения договорных обязательств;</w:t>
      </w:r>
      <w:r>
        <w:rPr>
          <w:bCs/>
          <w:sz w:val="20"/>
          <w:szCs w:val="20"/>
        </w:rPr>
      </w:r>
      <w:r>
        <w:rPr>
          <w:bCs/>
          <w:sz w:val="20"/>
          <w:szCs w:val="20"/>
        </w:rPr>
      </w:r>
    </w:p>
    <w:p>
      <w:pPr>
        <w:pStyle w:val="1135"/>
        <w:jc w:val="both"/>
        <w:tabs>
          <w:tab w:val="left" w:pos="284" w:leader="none"/>
          <w:tab w:val="left" w:pos="1134" w:leader="none"/>
        </w:tabs>
        <w:rPr>
          <w:bCs/>
          <w:sz w:val="20"/>
          <w:szCs w:val="20"/>
        </w:rPr>
      </w:pPr>
      <w:r>
        <w:rPr>
          <w:bCs/>
          <w:sz w:val="20"/>
          <w:szCs w:val="20"/>
        </w:rPr>
        <w:t xml:space="preserve">- публичные депозитные счета;</w:t>
      </w:r>
      <w:r>
        <w:rPr>
          <w:bCs/>
          <w:sz w:val="20"/>
          <w:szCs w:val="20"/>
        </w:rPr>
      </w:r>
      <w:r>
        <w:rPr>
          <w:bCs/>
          <w:sz w:val="20"/>
          <w:szCs w:val="20"/>
        </w:rPr>
      </w:r>
    </w:p>
    <w:p>
      <w:pPr>
        <w:pStyle w:val="1135"/>
        <w:jc w:val="both"/>
        <w:tabs>
          <w:tab w:val="left" w:pos="284" w:leader="none"/>
          <w:tab w:val="left" w:pos="1134" w:leader="none"/>
        </w:tabs>
        <w:rPr>
          <w:bCs/>
          <w:sz w:val="20"/>
          <w:szCs w:val="20"/>
        </w:rPr>
      </w:pPr>
      <w:r>
        <w:rPr>
          <w:bCs/>
          <w:sz w:val="20"/>
          <w:szCs w:val="20"/>
        </w:rPr>
        <w:t xml:space="preserve">- счета эскроу для расчетов по договору участия в долевом строительстве.</w:t>
      </w:r>
      <w:r>
        <w:rPr>
          <w:bCs/>
          <w:sz w:val="20"/>
          <w:szCs w:val="20"/>
        </w:rPr>
      </w:r>
      <w:r>
        <w:rPr>
          <w:bCs/>
          <w:sz w:val="20"/>
          <w:szCs w:val="20"/>
        </w:rPr>
      </w:r>
    </w:p>
    <w:p>
      <w:pPr>
        <w:pStyle w:val="1135"/>
        <w:jc w:val="both"/>
        <w:tabs>
          <w:tab w:val="left" w:pos="284" w:leader="none"/>
          <w:tab w:val="left" w:pos="1134" w:leader="none"/>
        </w:tabs>
        <w:rPr>
          <w:bCs/>
          <w:sz w:val="20"/>
          <w:szCs w:val="20"/>
        </w:rPr>
      </w:pPr>
      <w:r>
        <w:rPr>
          <w:bCs/>
          <w:sz w:val="20"/>
          <w:szCs w:val="20"/>
        </w:rPr>
        <w:t xml:space="preserve">Применяется при предоставлении услуг, указанных в разделе 1 «Открытие и ведение счетов» настоящих тарифов.</w:t>
      </w:r>
      <w:r>
        <w:rPr>
          <w:bCs/>
          <w:sz w:val="20"/>
          <w:szCs w:val="20"/>
        </w:rPr>
      </w:r>
      <w:r>
        <w:rPr>
          <w:bCs/>
          <w:sz w:val="20"/>
          <w:szCs w:val="20"/>
        </w:rPr>
      </w:r>
    </w:p>
    <w:p>
      <w:pPr>
        <w:pStyle w:val="1135"/>
        <w:jc w:val="both"/>
        <w:spacing w:before="40"/>
        <w:tabs>
          <w:tab w:val="left" w:pos="284" w:leader="none"/>
          <w:tab w:val="left" w:pos="1134" w:leader="none"/>
        </w:tabs>
        <w:rPr>
          <w:sz w:val="20"/>
          <w:szCs w:val="20"/>
        </w:rPr>
      </w:pPr>
      <w:r>
        <w:rPr>
          <w:sz w:val="20"/>
          <w:szCs w:val="20"/>
        </w:rPr>
        <w:t xml:space="preserve">2.</w:t>
        <w:tab/>
        <w:t xml:space="preserve">Дополнительно к указанным Тарифам Банк может взимать без предварительного уведомления клиента суммы в возмещение фактических расходов, понесенных Банком пр</w:t>
      </w:r>
      <w:r>
        <w:rPr>
          <w:sz w:val="20"/>
          <w:szCs w:val="20"/>
        </w:rPr>
        <w:t xml:space="preserve">и совершении операции по счету клиента, в том числе уплаченных банкам-корреспондентам за пределами Российской Федерации и в Российской Федерации, а также стоимость услуг предприятий связи (по услугам, предусмотренным пунктами 1.1.5, 1.1.8, 1.1.12 Тарифов).</w:t>
      </w:r>
      <w:r>
        <w:rPr>
          <w:sz w:val="20"/>
          <w:szCs w:val="20"/>
        </w:rPr>
      </w:r>
      <w:r>
        <w:rPr>
          <w:sz w:val="20"/>
          <w:szCs w:val="20"/>
        </w:rPr>
      </w:r>
    </w:p>
    <w:p>
      <w:pPr>
        <w:pStyle w:val="1135"/>
        <w:jc w:val="both"/>
        <w:spacing w:before="40"/>
        <w:tabs>
          <w:tab w:val="left" w:pos="284" w:leader="none"/>
          <w:tab w:val="left" w:pos="426" w:leader="none"/>
          <w:tab w:val="left" w:pos="1134" w:leader="none"/>
        </w:tabs>
        <w:rPr>
          <w:sz w:val="20"/>
          <w:szCs w:val="20"/>
        </w:rPr>
      </w:pPr>
      <w:r>
        <w:rPr>
          <w:sz w:val="20"/>
          <w:szCs w:val="20"/>
        </w:rPr>
        <w:t xml:space="preserve">3.</w:t>
        <w:tab/>
        <w:t xml:space="preserve">Комиссии взимаются Банком в день оказания соответствующих услуг, если иной порядок не указан в примечании к Тарифу.</w:t>
      </w:r>
      <w:r>
        <w:rPr>
          <w:sz w:val="20"/>
          <w:szCs w:val="20"/>
        </w:rPr>
      </w:r>
      <w:r>
        <w:rPr>
          <w:sz w:val="20"/>
          <w:szCs w:val="20"/>
        </w:rPr>
      </w:r>
    </w:p>
    <w:p>
      <w:pPr>
        <w:pStyle w:val="1135"/>
        <w:jc w:val="both"/>
        <w:spacing w:before="40"/>
        <w:tabs>
          <w:tab w:val="left" w:pos="284" w:leader="none"/>
          <w:tab w:val="left" w:pos="426" w:leader="none"/>
          <w:tab w:val="left" w:pos="1134" w:leader="none"/>
        </w:tabs>
        <w:rPr>
          <w:sz w:val="20"/>
          <w:szCs w:val="20"/>
        </w:rPr>
      </w:pPr>
      <w:r>
        <w:rPr>
          <w:sz w:val="20"/>
          <w:szCs w:val="20"/>
        </w:rPr>
        <w:t xml:space="preserve">4.</w:t>
        <w:tab/>
        <w:t xml:space="preserve">Сумма комиссионного вознаграждения в иностранной валюте, может быть выражена в рублевом эквиваленте, пересчитанном по курсу Банка России, действующему на дату взимания комиссионного вознаграждения.</w:t>
      </w:r>
      <w:r>
        <w:rPr>
          <w:sz w:val="20"/>
          <w:szCs w:val="20"/>
        </w:rPr>
      </w:r>
      <w:r>
        <w:rPr>
          <w:sz w:val="20"/>
          <w:szCs w:val="20"/>
        </w:rPr>
      </w:r>
    </w:p>
    <w:p>
      <w:pPr>
        <w:pStyle w:val="1135"/>
        <w:jc w:val="both"/>
        <w:spacing w:before="40"/>
        <w:tabs>
          <w:tab w:val="left" w:pos="284" w:leader="none"/>
          <w:tab w:val="left" w:pos="426" w:leader="none"/>
          <w:tab w:val="left" w:pos="1134" w:leader="none"/>
        </w:tabs>
        <w:rPr>
          <w:sz w:val="20"/>
          <w:szCs w:val="20"/>
        </w:rPr>
      </w:pPr>
      <w:r>
        <w:rPr>
          <w:sz w:val="20"/>
          <w:szCs w:val="20"/>
        </w:rPr>
        <w:t xml:space="preserve">5.</w:t>
        <w:tab/>
        <w:t xml:space="preserve">Сумма комиссионного вознаграждения в валюте Российской Федерации в случае списания со счета в иностранной валюте пересчитывается по курсу Банка России, действующему на дату взимания комиссионного вознаграждения.</w:t>
      </w:r>
      <w:r>
        <w:rPr>
          <w:sz w:val="20"/>
          <w:szCs w:val="20"/>
        </w:rPr>
      </w:r>
      <w:r>
        <w:rPr>
          <w:sz w:val="20"/>
          <w:szCs w:val="20"/>
        </w:rPr>
      </w:r>
    </w:p>
    <w:p>
      <w:pPr>
        <w:pStyle w:val="1175"/>
        <w:spacing w:before="120"/>
      </w:pPr>
      <w:r>
        <w:t xml:space="preserve">*** Под обязательствами перед АО</w:t>
      </w:r>
      <w:r>
        <w:rPr>
          <w:lang w:val="ru-RU"/>
        </w:rPr>
        <w:t xml:space="preserve"> </w:t>
      </w:r>
      <w:r>
        <w:t xml:space="preserve">«Россельхозбанк»</w:t>
      </w:r>
      <w:r>
        <w:rPr>
          <w:lang w:val="ru-RU"/>
        </w:rPr>
        <w:t xml:space="preserve"> по кредитным сделкам</w:t>
      </w:r>
      <w:r>
        <w:t xml:space="preserve"> понима</w:t>
      </w:r>
      <w:r>
        <w:rPr>
          <w:lang w:val="ru-RU"/>
        </w:rPr>
        <w:t xml:space="preserve">ю</w:t>
      </w:r>
      <w:r>
        <w:t xml:space="preserve">тся:</w:t>
      </w:r>
      <w:r/>
    </w:p>
    <w:p>
      <w:pPr>
        <w:pStyle w:val="1175"/>
      </w:pPr>
      <w:r>
        <w:t xml:space="preserve">- неисполненные обязательства по кредитны</w:t>
      </w:r>
      <w:r>
        <w:rPr>
          <w:lang w:val="ru-RU"/>
        </w:rPr>
        <w:t xml:space="preserve">м</w:t>
      </w:r>
      <w:r>
        <w:t xml:space="preserve"> договор</w:t>
      </w:r>
      <w:r>
        <w:rPr>
          <w:lang w:val="ru-RU"/>
        </w:rPr>
        <w:t xml:space="preserve">ам</w:t>
      </w:r>
      <w:r>
        <w:t xml:space="preserve">, договор</w:t>
      </w:r>
      <w:r>
        <w:rPr>
          <w:lang w:val="ru-RU"/>
        </w:rPr>
        <w:t xml:space="preserve">ам</w:t>
      </w:r>
      <w:r>
        <w:t xml:space="preserve"> об открытии кредитной линии</w:t>
      </w:r>
      <w:r>
        <w:rPr>
          <w:lang w:val="ru-RU"/>
        </w:rPr>
        <w:t xml:space="preserve"> (в том числе прекратившим свое действие)</w:t>
      </w:r>
      <w:r>
        <w:t xml:space="preserve">;</w:t>
      </w:r>
      <w:r/>
    </w:p>
    <w:p>
      <w:pPr>
        <w:pStyle w:val="1175"/>
        <w:jc w:val="both"/>
        <w:rPr>
          <w:lang w:val="ru-RU"/>
        </w:rPr>
      </w:pPr>
      <w:r>
        <w:t xml:space="preserve">- обязательства по договорам и соглашениям, заключенным в обеспечение обязательств перед АО</w:t>
      </w:r>
      <w:r>
        <w:rPr>
          <w:lang w:val="ru-RU"/>
        </w:rPr>
        <w:t xml:space="preserve"> </w:t>
      </w:r>
      <w:r>
        <w:t xml:space="preserve">«Россельхозбанк» по вышеуказанным договорам, в т</w:t>
      </w:r>
      <w:r>
        <w:rPr>
          <w:lang w:val="ru-RU"/>
        </w:rPr>
        <w:t xml:space="preserve">ом </w:t>
      </w:r>
      <w:r>
        <w:t xml:space="preserve">ч</w:t>
      </w:r>
      <w:r>
        <w:rPr>
          <w:lang w:val="ru-RU"/>
        </w:rPr>
        <w:t xml:space="preserve">исле</w:t>
      </w:r>
      <w:r>
        <w:t xml:space="preserve"> </w:t>
      </w:r>
      <w:r>
        <w:rPr>
          <w:lang w:val="ru-RU"/>
        </w:rPr>
        <w:br w:type="textWrapping" w:clear="all"/>
      </w:r>
      <w:r>
        <w:t xml:space="preserve">по договорам залога, договорам поручительства</w:t>
      </w:r>
      <w:r>
        <w:rPr>
          <w:lang w:val="ru-RU"/>
        </w:rPr>
        <w:t xml:space="preserve"> (в том числе прекратившим свое действие)</w:t>
      </w:r>
      <w:r>
        <w:t xml:space="preserve">.</w:t>
      </w:r>
      <w:r>
        <w:rPr>
          <w:lang w:val="ru-RU"/>
        </w:rPr>
      </w:r>
      <w:r>
        <w:rPr>
          <w:lang w:val="ru-RU"/>
        </w:rPr>
      </w:r>
    </w:p>
    <w:p>
      <w:pPr>
        <w:pStyle w:val="1135"/>
        <w:jc w:val="center"/>
        <w:spacing w:before="120" w:after="120"/>
        <w:tabs>
          <w:tab w:val="left" w:pos="426" w:leader="none"/>
          <w:tab w:val="left" w:pos="1134" w:leader="none"/>
        </w:tabs>
        <w:rPr>
          <w:b/>
          <w:bCs/>
        </w:rPr>
      </w:pPr>
      <w:r>
        <w:rPr>
          <w:b/>
          <w:bCs/>
        </w:rPr>
      </w:r>
      <w:r>
        <w:rPr>
          <w:b/>
          <w:bCs/>
        </w:rPr>
      </w:r>
      <w:r>
        <w:rPr>
          <w:b/>
          <w:bCs/>
        </w:rPr>
      </w:r>
    </w:p>
    <w:p>
      <w:pPr>
        <w:pStyle w:val="1135"/>
        <w:jc w:val="center"/>
        <w:spacing w:before="120" w:after="120"/>
        <w:tabs>
          <w:tab w:val="left" w:pos="426" w:leader="none"/>
          <w:tab w:val="left" w:pos="1134" w:leader="none"/>
        </w:tabs>
        <w:rPr>
          <w:b/>
          <w:bCs/>
        </w:rPr>
      </w:pPr>
      <w:r>
        <w:rPr>
          <w:b/>
          <w:bCs/>
        </w:rPr>
        <w:t xml:space="preserve">2. Кассовые операции*</w:t>
      </w:r>
      <w:r>
        <w:rPr>
          <w:b/>
          <w:bCs/>
        </w:rPr>
      </w:r>
      <w:r>
        <w:rPr>
          <w:b/>
          <w:bCs/>
        </w:rPr>
      </w:r>
    </w:p>
    <w:tbl>
      <w:tblPr>
        <w:tblW w:w="10207" w:type="dxa"/>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93"/>
        <w:gridCol w:w="3118"/>
        <w:gridCol w:w="2552"/>
        <w:gridCol w:w="35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center"/>
            <w:textDirection w:val="lrTb"/>
            <w:noWrap w:val="false"/>
          </w:tcPr>
          <w:p>
            <w:pPr>
              <w:pStyle w:val="1135"/>
              <w:jc w:val="center"/>
              <w:rPr>
                <w:b/>
                <w:bCs/>
                <w:sz w:val="20"/>
                <w:szCs w:val="20"/>
              </w:rPr>
            </w:pPr>
            <w:r>
              <w:rPr>
                <w:b/>
                <w:bCs/>
                <w:sz w:val="20"/>
                <w:szCs w:val="20"/>
              </w:rPr>
              <w:t xml:space="preserve">№</w:t>
            </w:r>
            <w:r>
              <w:rPr>
                <w:b/>
                <w:bCs/>
                <w:sz w:val="20"/>
                <w:szCs w:val="20"/>
              </w:rPr>
            </w:r>
            <w:r>
              <w:rPr>
                <w:b/>
                <w:bCs/>
                <w:sz w:val="20"/>
                <w:szCs w:val="20"/>
              </w:rPr>
            </w:r>
          </w:p>
          <w:p>
            <w:pPr>
              <w:pStyle w:val="1135"/>
              <w:jc w:val="center"/>
              <w:rPr>
                <w:b/>
                <w:bCs/>
                <w:sz w:val="20"/>
                <w:szCs w:val="20"/>
              </w:rPr>
            </w:pPr>
            <w:r>
              <w:rPr>
                <w:b/>
                <w:bCs/>
                <w:sz w:val="20"/>
                <w:szCs w:val="20"/>
              </w:rPr>
              <w:t xml:space="preserve">п/п</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3118" w:type="dxa"/>
            <w:vAlign w:val="center"/>
            <w:textDirection w:val="lrTb"/>
            <w:noWrap w:val="false"/>
          </w:tcPr>
          <w:p>
            <w:pPr>
              <w:pStyle w:val="1135"/>
              <w:jc w:val="center"/>
              <w:rPr>
                <w:b/>
                <w:bCs/>
                <w:sz w:val="20"/>
                <w:szCs w:val="20"/>
              </w:rPr>
            </w:pPr>
            <w:r>
              <w:rPr>
                <w:b/>
                <w:bCs/>
                <w:sz w:val="20"/>
                <w:szCs w:val="20"/>
              </w:rPr>
              <w:t xml:space="preserve">Наименование услуги</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2552" w:type="dxa"/>
            <w:vAlign w:val="center"/>
            <w:textDirection w:val="lrTb"/>
            <w:noWrap w:val="false"/>
          </w:tcPr>
          <w:p>
            <w:pPr>
              <w:pStyle w:val="1135"/>
              <w:jc w:val="center"/>
              <w:rPr>
                <w:b/>
                <w:bCs/>
                <w:sz w:val="20"/>
                <w:szCs w:val="20"/>
              </w:rPr>
            </w:pPr>
            <w:r>
              <w:rPr>
                <w:b/>
                <w:bCs/>
                <w:sz w:val="20"/>
                <w:szCs w:val="20"/>
              </w:rPr>
              <w:t xml:space="preserve">Тариф</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3544" w:type="dxa"/>
            <w:vAlign w:val="center"/>
            <w:textDirection w:val="lrTb"/>
            <w:noWrap w:val="false"/>
          </w:tcPr>
          <w:p>
            <w:pPr>
              <w:pStyle w:val="1135"/>
              <w:jc w:val="center"/>
              <w:rPr>
                <w:b/>
                <w:bCs/>
                <w:sz w:val="20"/>
                <w:szCs w:val="20"/>
              </w:rPr>
            </w:pPr>
            <w:r>
              <w:rPr>
                <w:b/>
                <w:bCs/>
                <w:sz w:val="20"/>
                <w:szCs w:val="20"/>
              </w:rPr>
              <w:t xml:space="preserve">Примечание</w:t>
            </w:r>
            <w:r>
              <w:rPr>
                <w:b/>
                <w:bCs/>
                <w:sz w:val="20"/>
                <w:szCs w:val="20"/>
              </w:rPr>
            </w:r>
            <w:r>
              <w:rPr>
                <w:b/>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35"/>
              <w:jc w:val="center"/>
              <w:spacing w:before="120" w:after="120"/>
              <w:rPr>
                <w:bCs/>
                <w:sz w:val="20"/>
                <w:szCs w:val="20"/>
              </w:rPr>
            </w:pPr>
            <w:r>
              <w:rPr>
                <w:bCs/>
                <w:sz w:val="20"/>
                <w:szCs w:val="20"/>
              </w:rPr>
              <w:t xml:space="preserve">2.1.</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35"/>
              <w:spacing w:before="120" w:after="120"/>
              <w:rPr>
                <w:sz w:val="20"/>
                <w:szCs w:val="20"/>
              </w:rPr>
            </w:pPr>
            <w:r>
              <w:rPr>
                <w:sz w:val="20"/>
                <w:szCs w:val="20"/>
              </w:rPr>
              <w:t xml:space="preserve">Оформление денежной чековой книжки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35"/>
              <w:jc w:val="center"/>
              <w:spacing w:before="120"/>
              <w:rPr>
                <w:sz w:val="20"/>
                <w:szCs w:val="20"/>
              </w:rPr>
            </w:pPr>
            <w:r>
              <w:rPr>
                <w:sz w:val="20"/>
                <w:szCs w:val="20"/>
              </w:rPr>
              <w:t xml:space="preserve">25 листов – 200 руб.,</w:t>
            </w:r>
            <w:r>
              <w:rPr>
                <w:sz w:val="20"/>
                <w:szCs w:val="20"/>
              </w:rPr>
            </w:r>
            <w:r>
              <w:rPr>
                <w:sz w:val="20"/>
                <w:szCs w:val="20"/>
              </w:rPr>
            </w:r>
          </w:p>
          <w:p>
            <w:pPr>
              <w:pStyle w:val="1135"/>
              <w:jc w:val="center"/>
              <w:spacing w:after="120"/>
              <w:rPr>
                <w:sz w:val="20"/>
                <w:szCs w:val="20"/>
              </w:rPr>
            </w:pPr>
            <w:r>
              <w:rPr>
                <w:sz w:val="20"/>
                <w:szCs w:val="20"/>
              </w:rPr>
              <w:t xml:space="preserve">50 листов – 300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35"/>
              <w:spacing w:before="120" w:after="120"/>
              <w:rPr>
                <w:bCs/>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35"/>
              <w:jc w:val="center"/>
              <w:spacing w:before="120" w:after="120"/>
              <w:rPr>
                <w:bCs/>
                <w:sz w:val="20"/>
                <w:szCs w:val="20"/>
              </w:rPr>
            </w:pPr>
            <w:r>
              <w:rPr>
                <w:bCs/>
                <w:sz w:val="20"/>
                <w:szCs w:val="20"/>
              </w:rPr>
              <w:t xml:space="preserve">2.2.</w:t>
            </w:r>
            <w:r>
              <w:rPr>
                <w:bCs/>
                <w:sz w:val="20"/>
                <w:szCs w:val="20"/>
              </w:rPr>
            </w:r>
            <w:r>
              <w:rPr>
                <w:bCs/>
                <w:sz w:val="20"/>
                <w:szCs w:val="20"/>
              </w:rPr>
            </w:r>
          </w:p>
        </w:tc>
        <w:tc>
          <w:tcPr>
            <w:gridSpan w:val="3"/>
            <w:tcBorders>
              <w:top w:val="single" w:color="000000" w:sz="4" w:space="0"/>
              <w:left w:val="single" w:color="000000" w:sz="4" w:space="0"/>
              <w:bottom w:val="single" w:color="000000" w:sz="4" w:space="0"/>
              <w:right w:val="single" w:color="000000" w:sz="4" w:space="0"/>
            </w:tcBorders>
            <w:tcW w:w="9214" w:type="dxa"/>
            <w:vAlign w:val="top"/>
            <w:textDirection w:val="lrTb"/>
            <w:noWrap w:val="false"/>
          </w:tcPr>
          <w:p>
            <w:pPr>
              <w:pStyle w:val="1135"/>
              <w:jc w:val="both"/>
              <w:spacing w:before="120" w:after="120"/>
              <w:rPr>
                <w:bCs/>
              </w:rPr>
            </w:pPr>
            <w:r>
              <w:t xml:space="preserve">Выдача денежной наличности с банковского счета в валюте Российской Федерации (в том числе при закрытии счета)</w:t>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35"/>
              <w:jc w:val="center"/>
              <w:spacing w:before="40" w:after="40"/>
              <w:rPr>
                <w:sz w:val="20"/>
                <w:szCs w:val="20"/>
              </w:rPr>
            </w:pPr>
            <w:r>
              <w:rPr>
                <w:sz w:val="20"/>
                <w:szCs w:val="20"/>
              </w:rPr>
              <w:t xml:space="preserve">2.2.1.</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118" w:type="dxa"/>
            <w:vAlign w:val="top"/>
            <w:textDirection w:val="lrTb"/>
            <w:noWrap w:val="false"/>
          </w:tcPr>
          <w:p>
            <w:pPr>
              <w:pStyle w:val="1135"/>
              <w:spacing w:before="40" w:after="40"/>
              <w:rPr>
                <w:bCs/>
                <w:sz w:val="20"/>
                <w:szCs w:val="20"/>
              </w:rPr>
            </w:pPr>
            <w:r>
              <w:rPr>
                <w:bCs/>
                <w:sz w:val="20"/>
                <w:szCs w:val="20"/>
              </w:rPr>
              <w:t xml:space="preserve">Юридическим лицам, крестьянским (фермерским) хозяйствам, независимо от правового статуса, сельскохозяйственным производственным кооперативам, сельскохозяйственным потребительским кооперативам на заработную плату и в</w:t>
            </w:r>
            <w:r>
              <w:rPr>
                <w:bCs/>
                <w:sz w:val="20"/>
                <w:szCs w:val="20"/>
              </w:rPr>
              <w:t xml:space="preserve">ыплаты социального характера (кассовый символ 40), стипендии (кассовый символ 41), на выплату пенсий, пособий и страховых возмещений (кассовый символ 50), на выплату организациям Федерального агентства связи (кассовый символ 59) по предварительной заявке**</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2552" w:type="dxa"/>
            <w:vAlign w:val="top"/>
            <w:textDirection w:val="lrTb"/>
            <w:noWrap w:val="false"/>
          </w:tcPr>
          <w:p>
            <w:pPr>
              <w:pStyle w:val="1135"/>
              <w:jc w:val="center"/>
              <w:rPr>
                <w:bCs/>
                <w:sz w:val="20"/>
                <w:szCs w:val="20"/>
              </w:rPr>
            </w:pPr>
            <w:r>
              <w:rPr>
                <w:bCs/>
                <w:sz w:val="20"/>
                <w:szCs w:val="20"/>
              </w:rPr>
              <w:t xml:space="preserve">0,9</w:t>
            </w:r>
            <w:r>
              <w:rPr>
                <w:bCs/>
                <w:sz w:val="20"/>
                <w:szCs w:val="20"/>
              </w:rPr>
              <w:t xml:space="preserve">% от суммы,</w:t>
            </w:r>
            <w:r>
              <w:rPr>
                <w:bCs/>
                <w:sz w:val="20"/>
                <w:szCs w:val="20"/>
              </w:rPr>
            </w:r>
            <w:r>
              <w:rPr>
                <w:bCs/>
                <w:sz w:val="20"/>
                <w:szCs w:val="20"/>
              </w:rPr>
            </w:r>
          </w:p>
          <w:p>
            <w:pPr>
              <w:pStyle w:val="1135"/>
              <w:jc w:val="center"/>
              <w:spacing w:before="40" w:after="40"/>
              <w:rPr>
                <w:bCs/>
                <w:sz w:val="20"/>
                <w:szCs w:val="20"/>
              </w:rPr>
            </w:pPr>
            <w:r>
              <w:rPr>
                <w:bCs/>
                <w:sz w:val="20"/>
                <w:szCs w:val="20"/>
              </w:rPr>
              <w:t xml:space="preserve">минимум 5</w:t>
            </w:r>
            <w:r>
              <w:rPr>
                <w:bCs/>
                <w:sz w:val="20"/>
                <w:szCs w:val="20"/>
              </w:rPr>
              <w:t xml:space="preserve">00руб.</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544" w:type="dxa"/>
            <w:vAlign w:val="top"/>
            <w:textDirection w:val="lrTb"/>
            <w:noWrap w:val="false"/>
          </w:tcPr>
          <w:p>
            <w:pPr>
              <w:pStyle w:val="1135"/>
              <w:jc w:val="both"/>
              <w:spacing w:before="40"/>
              <w:tabs>
                <w:tab w:val="left" w:pos="0" w:leader="none"/>
                <w:tab w:val="left" w:pos="1134" w:leader="none"/>
              </w:tabs>
              <w:rPr>
                <w:bCs/>
                <w:sz w:val="20"/>
                <w:szCs w:val="20"/>
              </w:rPr>
            </w:pPr>
            <w:r>
              <w:rPr>
                <w:bCs/>
                <w:sz w:val="20"/>
                <w:szCs w:val="20"/>
              </w:rPr>
              <w:t xml:space="preserve">При выдаче денежной наличности без предварительной заявки** указанный тариф увеличивается на 0,3 процентных пункта</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35"/>
              <w:jc w:val="center"/>
              <w:spacing w:before="40" w:after="40"/>
              <w:rPr>
                <w:sz w:val="20"/>
                <w:szCs w:val="20"/>
              </w:rPr>
            </w:pPr>
            <w:r>
              <w:rPr>
                <w:sz w:val="20"/>
                <w:szCs w:val="20"/>
              </w:rPr>
              <w:t xml:space="preserve">2.2.2.</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118" w:type="dxa"/>
            <w:vAlign w:val="top"/>
            <w:textDirection w:val="lrTb"/>
            <w:noWrap w:val="false"/>
          </w:tcPr>
          <w:p>
            <w:pPr>
              <w:pStyle w:val="1135"/>
              <w:jc w:val="both"/>
              <w:spacing w:before="40" w:after="40"/>
              <w:rPr>
                <w:bCs/>
                <w:sz w:val="20"/>
                <w:szCs w:val="20"/>
              </w:rPr>
            </w:pPr>
            <w:r>
              <w:rPr>
                <w:bCs/>
                <w:sz w:val="20"/>
                <w:szCs w:val="20"/>
              </w:rPr>
              <w:t xml:space="preserve">Юридическим лицам и индивидуальным предпринимателям на другие цели,</w:t>
            </w:r>
            <w:r>
              <w:rPr>
                <w:sz w:val="20"/>
                <w:szCs w:val="20"/>
              </w:rPr>
              <w:t xml:space="preserve"> </w:t>
            </w:r>
            <w:r>
              <w:rPr>
                <w:bCs/>
                <w:sz w:val="20"/>
                <w:szCs w:val="20"/>
              </w:rPr>
              <w:t xml:space="preserve">за исключением целей, связанных с выдачей денежной наличности на покупку лома и отходов цветных и (или) черных металлов у физических лиц*****, за календарный месяц совокупно по всем счетам клиента в рамках подразделения Банка*** по предварительной заявке**</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2552" w:type="dxa"/>
            <w:vAlign w:val="top"/>
            <w:textDirection w:val="lrTb"/>
            <w:noWrap w:val="false"/>
          </w:tcPr>
          <w:p>
            <w:pPr>
              <w:pStyle w:val="1135"/>
              <w:jc w:val="center"/>
              <w:spacing w:before="40" w:after="40"/>
              <w:rPr>
                <w:bCs/>
                <w:sz w:val="20"/>
                <w:szCs w:val="20"/>
              </w:rPr>
            </w:pPr>
            <w:r>
              <w:rPr>
                <w:bCs/>
                <w:sz w:val="20"/>
                <w:szCs w:val="20"/>
              </w:rPr>
              <w:t xml:space="preserve">2% от суммы </w:t>
              <w:br w:type="textWrapping" w:clear="all"/>
              <w:t xml:space="preserve">до 300 000 руб. (включительно) </w:t>
              <w:br w:type="textWrapping" w:clear="all"/>
              <w:t xml:space="preserve">в течение календарного месяца;</w:t>
            </w:r>
            <w:r>
              <w:rPr>
                <w:bCs/>
                <w:sz w:val="20"/>
                <w:szCs w:val="20"/>
              </w:rPr>
            </w:r>
            <w:r>
              <w:rPr>
                <w:bCs/>
                <w:sz w:val="20"/>
                <w:szCs w:val="20"/>
              </w:rPr>
            </w:r>
          </w:p>
          <w:p>
            <w:pPr>
              <w:pStyle w:val="1135"/>
              <w:jc w:val="center"/>
              <w:spacing w:before="120" w:after="40"/>
              <w:rPr>
                <w:bCs/>
                <w:sz w:val="20"/>
                <w:szCs w:val="20"/>
              </w:rPr>
            </w:pPr>
            <w:r>
              <w:rPr>
                <w:bCs/>
                <w:sz w:val="20"/>
                <w:szCs w:val="20"/>
              </w:rPr>
              <w:t xml:space="preserve">3,5% от суммы </w:t>
              <w:br w:type="textWrapping" w:clear="all"/>
              <w:t xml:space="preserve">с 300 000,01 руб. </w:t>
              <w:br w:type="textWrapping" w:clear="all"/>
              <w:t xml:space="preserve">до 1 500 000,00 руб. (включительно) </w:t>
              <w:br w:type="textWrapping" w:clear="all"/>
              <w:t xml:space="preserve">в течение календарного месяца;</w:t>
            </w:r>
            <w:r>
              <w:rPr>
                <w:bCs/>
                <w:sz w:val="20"/>
                <w:szCs w:val="20"/>
              </w:rPr>
            </w:r>
            <w:r>
              <w:rPr>
                <w:bCs/>
                <w:sz w:val="20"/>
                <w:szCs w:val="20"/>
              </w:rPr>
            </w:r>
          </w:p>
          <w:p>
            <w:pPr>
              <w:pStyle w:val="1135"/>
              <w:jc w:val="center"/>
              <w:spacing w:before="120" w:after="40"/>
              <w:rPr>
                <w:bCs/>
                <w:sz w:val="20"/>
                <w:szCs w:val="20"/>
              </w:rPr>
            </w:pPr>
            <w:r>
              <w:rPr>
                <w:bCs/>
                <w:sz w:val="20"/>
                <w:szCs w:val="20"/>
              </w:rPr>
              <w:t xml:space="preserve">6,5% от суммы </w:t>
              <w:br w:type="textWrapping" w:clear="all"/>
              <w:t xml:space="preserve">с 1 500 000,01 руб. </w:t>
              <w:br w:type="textWrapping" w:clear="all"/>
              <w:t xml:space="preserve">до 4 000 000,00 руб. (включительно) </w:t>
              <w:br w:type="textWrapping" w:clear="all"/>
              <w:t xml:space="preserve">в течение календарного месяца;</w:t>
            </w:r>
            <w:r>
              <w:rPr>
                <w:bCs/>
                <w:sz w:val="20"/>
                <w:szCs w:val="20"/>
              </w:rPr>
            </w:r>
            <w:r>
              <w:rPr>
                <w:bCs/>
                <w:sz w:val="20"/>
                <w:szCs w:val="20"/>
              </w:rPr>
            </w:r>
          </w:p>
          <w:p>
            <w:pPr>
              <w:pStyle w:val="1135"/>
              <w:jc w:val="center"/>
              <w:rPr>
                <w:sz w:val="20"/>
                <w:szCs w:val="20"/>
              </w:rPr>
            </w:pPr>
            <w:r>
              <w:rPr>
                <w:bCs/>
                <w:sz w:val="20"/>
                <w:szCs w:val="20"/>
              </w:rPr>
              <w:t xml:space="preserve">10% от суммы</w:t>
              <w:br w:type="textWrapping" w:clear="all"/>
              <w:t xml:space="preserve">с 4 000 000,01 руб.</w:t>
              <w:br w:type="textWrapping" w:clear="all"/>
              <w:t xml:space="preserve">и выше в течение календарного месяца</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544" w:type="dxa"/>
            <w:vAlign w:val="top"/>
            <w:textDirection w:val="lrTb"/>
            <w:noWrap w:val="false"/>
          </w:tcPr>
          <w:p>
            <w:pPr>
              <w:pStyle w:val="1135"/>
              <w:jc w:val="both"/>
              <w:tabs>
                <w:tab w:val="left" w:pos="0" w:leader="none"/>
                <w:tab w:val="left" w:pos="1134" w:leader="none"/>
              </w:tabs>
              <w:rPr>
                <w:bCs/>
                <w:sz w:val="20"/>
                <w:szCs w:val="20"/>
              </w:rPr>
            </w:pPr>
            <w:r>
              <w:rPr>
                <w:bCs/>
                <w:sz w:val="20"/>
                <w:szCs w:val="20"/>
              </w:rPr>
              <w:t xml:space="preserve">Для определения размера тарифа по каждой операции рассчитывается ОБЩАЯ СУММА денежных средств, равная совокупности размера уже выданных клиенту в текущем календарном месяце средств и размера вновь заявленной к выдаче суммы.</w:t>
            </w:r>
            <w:r>
              <w:rPr>
                <w:bCs/>
                <w:sz w:val="20"/>
                <w:szCs w:val="20"/>
              </w:rPr>
            </w:r>
            <w:r>
              <w:rPr>
                <w:bCs/>
                <w:sz w:val="20"/>
                <w:szCs w:val="20"/>
              </w:rPr>
            </w:r>
          </w:p>
          <w:p>
            <w:pPr>
              <w:pStyle w:val="1135"/>
              <w:jc w:val="both"/>
              <w:tabs>
                <w:tab w:val="left" w:pos="0" w:leader="none"/>
                <w:tab w:val="left" w:pos="1134" w:leader="none"/>
              </w:tabs>
              <w:rPr>
                <w:bCs/>
                <w:sz w:val="20"/>
                <w:szCs w:val="20"/>
              </w:rPr>
            </w:pPr>
            <w:r>
              <w:rPr>
                <w:bCs/>
                <w:sz w:val="20"/>
                <w:szCs w:val="20"/>
              </w:rPr>
              <w:t xml:space="preserve">При этом денежные средства, выданные в течение текущего календарного месяца на цели, указанные в пункте 2.2.1, в расчет общей суммы средств, выданных клиенту в течение указанного месяца, не включаются. </w:t>
            </w:r>
            <w:r>
              <w:rPr>
                <w:bCs/>
                <w:sz w:val="20"/>
                <w:szCs w:val="20"/>
              </w:rPr>
            </w:r>
            <w:r>
              <w:rPr>
                <w:bCs/>
                <w:sz w:val="20"/>
                <w:szCs w:val="20"/>
              </w:rPr>
            </w:r>
          </w:p>
          <w:p>
            <w:pPr>
              <w:pStyle w:val="1135"/>
              <w:jc w:val="both"/>
              <w:tabs>
                <w:tab w:val="left" w:pos="0" w:leader="none"/>
                <w:tab w:val="left" w:pos="1134" w:leader="none"/>
              </w:tabs>
              <w:rPr>
                <w:bCs/>
                <w:sz w:val="20"/>
                <w:szCs w:val="20"/>
              </w:rPr>
            </w:pPr>
            <w:r>
              <w:rPr>
                <w:bCs/>
                <w:sz w:val="20"/>
                <w:szCs w:val="20"/>
              </w:rPr>
              <w:t xml:space="preserve">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r>
              <w:rPr>
                <w:bCs/>
                <w:sz w:val="20"/>
                <w:szCs w:val="20"/>
              </w:rPr>
            </w:r>
            <w:r>
              <w:rPr>
                <w:bCs/>
                <w:sz w:val="20"/>
                <w:szCs w:val="20"/>
              </w:rPr>
            </w:r>
          </w:p>
          <w:p>
            <w:pPr>
              <w:pStyle w:val="1135"/>
              <w:jc w:val="both"/>
              <w:rPr>
                <w:sz w:val="20"/>
                <w:szCs w:val="20"/>
              </w:rPr>
            </w:pPr>
            <w:r>
              <w:rPr>
                <w:sz w:val="20"/>
                <w:szCs w:val="20"/>
              </w:rPr>
              <w:t xml:space="preserve">При выдаче денежной наличности без предварительной заявки** указанный тариф увеличивается на 0,5 процентных пункта </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35"/>
              <w:jc w:val="center"/>
              <w:spacing w:before="40" w:after="40"/>
              <w:rPr>
                <w:sz w:val="20"/>
                <w:szCs w:val="20"/>
              </w:rPr>
            </w:pPr>
            <w:r>
              <w:rPr>
                <w:sz w:val="20"/>
                <w:szCs w:val="20"/>
              </w:rPr>
              <w:t xml:space="preserve">2.2.3.</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118" w:type="dxa"/>
            <w:vAlign w:val="top"/>
            <w:textDirection w:val="lrTb"/>
            <w:noWrap w:val="false"/>
          </w:tcPr>
          <w:p>
            <w:pPr>
              <w:pStyle w:val="1135"/>
              <w:spacing w:before="40" w:after="40"/>
              <w:rPr>
                <w:bCs/>
                <w:sz w:val="20"/>
                <w:szCs w:val="20"/>
              </w:rPr>
            </w:pPr>
            <w:r>
              <w:rPr>
                <w:bCs/>
                <w:sz w:val="20"/>
                <w:szCs w:val="20"/>
              </w:rPr>
              <w:t xml:space="preserve">Крестьянским (фермерским) хозяйствам, независимо от правового статуса, сельскохозяйственным производственным кооперативам, сельскохозяйственным потребительским кооперативам, индивидуальным предпринимателям, относящимся к а</w:t>
            </w:r>
            <w:r>
              <w:rPr>
                <w:bCs/>
                <w:sz w:val="20"/>
                <w:szCs w:val="20"/>
              </w:rPr>
              <w:t xml:space="preserve">гропромышленному комплексу****, на другие цели, за исключением целей, связанных с выдачей денежной наличности на покупку лома и отходов цветных и (или) черных металлов у физических лиц*****, совокупно по всем счетам клиента в рамках подразделения Банка***</w:t>
              <w:br w:type="page" w:clear="all"/>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2552" w:type="dxa"/>
            <w:vAlign w:val="top"/>
            <w:textDirection w:val="lrTb"/>
            <w:noWrap w:val="false"/>
          </w:tcPr>
          <w:p>
            <w:pPr>
              <w:pStyle w:val="1135"/>
              <w:jc w:val="center"/>
              <w:spacing w:before="40" w:after="40"/>
              <w:rPr>
                <w:sz w:val="20"/>
                <w:szCs w:val="20"/>
              </w:rPr>
            </w:pPr>
            <w:r>
              <w:rPr>
                <w:sz w:val="20"/>
                <w:szCs w:val="20"/>
              </w:rPr>
              <w:t xml:space="preserve">1,3% от суммы</w:t>
              <w:br w:type="textWrapping" w:clear="all"/>
              <w:t xml:space="preserve">до 3 500 000,00 руб. (включительно) </w:t>
              <w:br w:type="textWrapping" w:clear="all"/>
              <w:t xml:space="preserve">в течение календарного месяца</w:t>
            </w:r>
            <w:r>
              <w:rPr>
                <w:sz w:val="20"/>
                <w:szCs w:val="20"/>
              </w:rPr>
            </w:r>
            <w:r>
              <w:rPr>
                <w:sz w:val="20"/>
                <w:szCs w:val="20"/>
              </w:rPr>
            </w:r>
          </w:p>
          <w:p>
            <w:pPr>
              <w:pStyle w:val="1135"/>
              <w:jc w:val="center"/>
              <w:spacing w:before="120" w:after="40"/>
              <w:rPr>
                <w:sz w:val="20"/>
                <w:szCs w:val="20"/>
              </w:rPr>
            </w:pPr>
            <w:r>
              <w:rPr>
                <w:sz w:val="20"/>
                <w:szCs w:val="20"/>
              </w:rPr>
              <w:t xml:space="preserve">1,5% от суммы</w:t>
              <w:br w:type="textWrapping" w:clear="all"/>
              <w:t xml:space="preserve">с 3 500 000,01</w:t>
              <w:br w:type="textWrapping" w:clear="all"/>
              <w:t xml:space="preserve">до 6 000 000,00 руб. (включительно) </w:t>
              <w:br w:type="textWrapping" w:clear="all"/>
              <w:t xml:space="preserve">в течение календарного месяца,</w:t>
            </w:r>
            <w:r>
              <w:rPr>
                <w:sz w:val="20"/>
                <w:szCs w:val="20"/>
              </w:rPr>
            </w:r>
            <w:r>
              <w:rPr>
                <w:sz w:val="20"/>
                <w:szCs w:val="20"/>
              </w:rPr>
            </w:r>
          </w:p>
          <w:p>
            <w:pPr>
              <w:pStyle w:val="1135"/>
              <w:jc w:val="center"/>
              <w:spacing w:before="120" w:after="40"/>
              <w:rPr>
                <w:sz w:val="20"/>
                <w:szCs w:val="20"/>
              </w:rPr>
            </w:pPr>
            <w:r>
              <w:rPr>
                <w:sz w:val="20"/>
                <w:szCs w:val="20"/>
              </w:rPr>
              <w:t xml:space="preserve">3% от суммы</w:t>
              <w:br w:type="textWrapping" w:clear="all"/>
              <w:t xml:space="preserve">с 6 000 000,01</w:t>
              <w:br w:type="textWrapping" w:clear="all"/>
              <w:t xml:space="preserve">до 10 000 000,00 руб. (включительно) </w:t>
              <w:br w:type="textWrapping" w:clear="all"/>
              <w:t xml:space="preserve">в течение календарного месяца,</w:t>
            </w:r>
            <w:r>
              <w:rPr>
                <w:sz w:val="20"/>
                <w:szCs w:val="20"/>
              </w:rPr>
            </w:r>
            <w:r>
              <w:rPr>
                <w:sz w:val="20"/>
                <w:szCs w:val="20"/>
              </w:rPr>
            </w:r>
          </w:p>
          <w:p>
            <w:pPr>
              <w:pStyle w:val="1135"/>
              <w:jc w:val="center"/>
              <w:spacing w:before="120" w:after="40"/>
              <w:rPr>
                <w:sz w:val="20"/>
                <w:szCs w:val="20"/>
              </w:rPr>
            </w:pPr>
            <w:r>
              <w:rPr>
                <w:sz w:val="20"/>
                <w:szCs w:val="20"/>
              </w:rPr>
              <w:t xml:space="preserve">5% от суммы</w:t>
              <w:br w:type="textWrapping" w:clear="all"/>
              <w:t xml:space="preserve">с 10 000 000,01</w:t>
              <w:br w:type="textWrapping" w:clear="all"/>
              <w:t xml:space="preserve">до 15 000 000,00 руб. (включительно) </w:t>
              <w:br w:type="textWrapping" w:clear="all"/>
              <w:t xml:space="preserve">в течение календарного месяца,</w:t>
            </w:r>
            <w:r>
              <w:rPr>
                <w:sz w:val="20"/>
                <w:szCs w:val="20"/>
              </w:rPr>
            </w:r>
            <w:r>
              <w:rPr>
                <w:sz w:val="20"/>
                <w:szCs w:val="20"/>
              </w:rPr>
            </w:r>
          </w:p>
          <w:p>
            <w:pPr>
              <w:pStyle w:val="1135"/>
              <w:jc w:val="center"/>
              <w:spacing w:before="40" w:after="40"/>
              <w:rPr>
                <w:bCs/>
                <w:sz w:val="20"/>
                <w:szCs w:val="20"/>
              </w:rPr>
            </w:pPr>
            <w:r>
              <w:rPr>
                <w:sz w:val="20"/>
                <w:szCs w:val="20"/>
              </w:rPr>
              <w:t xml:space="preserve">10% от суммы</w:t>
              <w:br w:type="textWrapping" w:clear="all"/>
              <w:t xml:space="preserve">c 15 000 000,01 руб. и выше в течение календарного месяца</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544" w:type="dxa"/>
            <w:vAlign w:val="top"/>
            <w:textDirection w:val="lrTb"/>
            <w:noWrap w:val="false"/>
          </w:tcPr>
          <w:p>
            <w:pPr>
              <w:pStyle w:val="1135"/>
              <w:jc w:val="both"/>
              <w:spacing w:before="40"/>
              <w:tabs>
                <w:tab w:val="left" w:pos="0" w:leader="none"/>
                <w:tab w:val="left" w:pos="1134" w:leader="none"/>
              </w:tabs>
              <w:rPr>
                <w:bCs/>
                <w:sz w:val="20"/>
                <w:szCs w:val="20"/>
              </w:rPr>
            </w:pPr>
            <w:r>
              <w:rPr>
                <w:bCs/>
                <w:sz w:val="20"/>
                <w:szCs w:val="20"/>
              </w:rPr>
              <w:t xml:space="preserve">Для определения размера тарифа по каждой операции рассчитывается ОБЩАЯ СУММА денежных средств, равная совокупности размера уже выданных клиенту в текущем календарном месяце средств и размера вновь заявленной к выдаче суммы.</w:t>
            </w:r>
            <w:r>
              <w:rPr>
                <w:bCs/>
                <w:sz w:val="20"/>
                <w:szCs w:val="20"/>
              </w:rPr>
            </w:r>
            <w:r>
              <w:rPr>
                <w:bCs/>
                <w:sz w:val="20"/>
                <w:szCs w:val="20"/>
              </w:rPr>
            </w:r>
          </w:p>
          <w:p>
            <w:pPr>
              <w:pStyle w:val="1135"/>
              <w:jc w:val="both"/>
              <w:tabs>
                <w:tab w:val="left" w:pos="0" w:leader="none"/>
                <w:tab w:val="left" w:pos="1134" w:leader="none"/>
              </w:tabs>
              <w:rPr>
                <w:bCs/>
                <w:sz w:val="20"/>
                <w:szCs w:val="20"/>
              </w:rPr>
            </w:pPr>
            <w:r>
              <w:rPr>
                <w:bCs/>
                <w:sz w:val="20"/>
                <w:szCs w:val="20"/>
              </w:rPr>
              <w:t xml:space="preserve">При этом денежные средства, выданные в течение текущего календарного месяца на цели, указанные в пункте 2.2.1, в расчет общей суммы средств, выданных клиенту в течение указанного месяца, не включаются. </w:t>
            </w:r>
            <w:r>
              <w:rPr>
                <w:bCs/>
                <w:sz w:val="20"/>
                <w:szCs w:val="20"/>
              </w:rPr>
            </w:r>
            <w:r>
              <w:rPr>
                <w:bCs/>
                <w:sz w:val="20"/>
                <w:szCs w:val="20"/>
              </w:rPr>
            </w:r>
          </w:p>
          <w:p>
            <w:pPr>
              <w:pStyle w:val="1135"/>
              <w:jc w:val="both"/>
              <w:tabs>
                <w:tab w:val="left" w:pos="708" w:leader="none"/>
                <w:tab w:val="center" w:pos="4677" w:leader="none"/>
                <w:tab w:val="right" w:pos="9355" w:leader="none"/>
              </w:tabs>
              <w:rPr>
                <w:bCs/>
                <w:sz w:val="20"/>
                <w:szCs w:val="20"/>
              </w:rPr>
            </w:pPr>
            <w:r>
              <w:rPr>
                <w:bCs/>
                <w:sz w:val="20"/>
                <w:szCs w:val="20"/>
              </w:rPr>
              <w:t xml:space="preserve">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r>
              <w:rPr>
                <w:bCs/>
                <w:sz w:val="20"/>
                <w:szCs w:val="20"/>
              </w:rPr>
            </w:r>
            <w:r>
              <w:rPr>
                <w:bCs/>
                <w:sz w:val="20"/>
                <w:szCs w:val="20"/>
              </w:rPr>
            </w:r>
          </w:p>
          <w:p>
            <w:pPr>
              <w:pStyle w:val="1135"/>
              <w:jc w:val="both"/>
              <w:spacing w:before="40"/>
              <w:tabs>
                <w:tab w:val="left" w:pos="0" w:leader="none"/>
                <w:tab w:val="left" w:pos="1134" w:leader="none"/>
              </w:tabs>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35"/>
              <w:jc w:val="center"/>
              <w:spacing w:before="40" w:after="40"/>
              <w:rPr>
                <w:sz w:val="20"/>
                <w:szCs w:val="20"/>
              </w:rPr>
            </w:pPr>
            <w:r>
              <w:rPr>
                <w:sz w:val="20"/>
                <w:szCs w:val="20"/>
              </w:rPr>
              <w:t xml:space="preserve">2.3.</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35"/>
              <w:jc w:val="both"/>
              <w:spacing w:before="40" w:after="40"/>
              <w:rPr>
                <w:sz w:val="20"/>
                <w:szCs w:val="20"/>
              </w:rPr>
            </w:pPr>
            <w:r>
              <w:rPr>
                <w:sz w:val="20"/>
                <w:szCs w:val="20"/>
              </w:rPr>
              <w:t xml:space="preserve">Выдача остатка денежной наличности при закрытии счета </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35"/>
              <w:jc w:val="center"/>
              <w:spacing w:before="40" w:after="40"/>
              <w:rPr>
                <w:sz w:val="20"/>
                <w:szCs w:val="20"/>
              </w:rPr>
            </w:pPr>
            <w:r>
              <w:rPr>
                <w:sz w:val="20"/>
                <w:szCs w:val="20"/>
              </w:rPr>
              <w:t xml:space="preserve">Услуга отдельно не тарифицируется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35"/>
              <w:jc w:val="both"/>
              <w:spacing w:before="40" w:after="40"/>
              <w:rPr>
                <w:sz w:val="20"/>
                <w:szCs w:val="20"/>
              </w:rPr>
            </w:pPr>
            <w:r>
              <w:rPr>
                <w:sz w:val="20"/>
                <w:szCs w:val="20"/>
              </w:rPr>
              <w:t xml:space="preserve">Комиссионное вознаграждение взимается в соответствии с п. 2.2 Тарифов</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35"/>
              <w:jc w:val="center"/>
              <w:spacing w:before="40"/>
              <w:rPr>
                <w:sz w:val="20"/>
                <w:szCs w:val="20"/>
              </w:rPr>
            </w:pPr>
            <w:r>
              <w:rPr>
                <w:sz w:val="20"/>
                <w:szCs w:val="20"/>
              </w:rPr>
              <w:t xml:space="preserve">2.4.</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118" w:type="dxa"/>
            <w:vAlign w:val="top"/>
            <w:textDirection w:val="lrTb"/>
            <w:noWrap w:val="false"/>
          </w:tcPr>
          <w:p>
            <w:pPr>
              <w:pStyle w:val="1135"/>
              <w:spacing w:before="40"/>
              <w:rPr>
                <w:sz w:val="20"/>
                <w:szCs w:val="20"/>
              </w:rPr>
            </w:pPr>
            <w:r>
              <w:rPr>
                <w:bCs/>
                <w:sz w:val="20"/>
                <w:szCs w:val="20"/>
              </w:rPr>
              <w:t xml:space="preserve">Прием и пересчет денежной наличности в валюте Российской Федерации для зачисления на банковский счет клиента:</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552" w:type="dxa"/>
            <w:vAlign w:val="top"/>
            <w:textDirection w:val="lrTb"/>
            <w:noWrap w:val="false"/>
          </w:tcPr>
          <w:p>
            <w:pPr>
              <w:pStyle w:val="1135"/>
              <w:jc w:val="center"/>
              <w:spacing w:before="40"/>
              <w:rPr>
                <w:sz w:val="20"/>
                <w:szCs w:val="20"/>
              </w:rPr>
            </w:pPr>
            <w:r>
              <w:rPr>
                <w:sz w:val="20"/>
                <w:szCs w:val="20"/>
              </w:rPr>
            </w:r>
            <w:r>
              <w:rPr>
                <w:sz w:val="20"/>
                <w:szCs w:val="20"/>
              </w:rPr>
            </w:r>
            <w:r>
              <w:rPr>
                <w:sz w:val="20"/>
                <w:szCs w:val="20"/>
              </w:rPr>
            </w:r>
          </w:p>
        </w:tc>
        <w:tc>
          <w:tcPr>
            <w:tcBorders>
              <w:top w:val="single" w:color="000000" w:sz="4" w:space="0"/>
              <w:left w:val="single" w:color="000000" w:sz="4" w:space="0"/>
              <w:right w:val="single" w:color="000000" w:sz="4" w:space="0"/>
            </w:tcBorders>
            <w:tcW w:w="3544" w:type="dxa"/>
            <w:vAlign w:val="top"/>
            <w:vMerge w:val="restart"/>
            <w:textDirection w:val="lrTb"/>
            <w:noWrap w:val="false"/>
          </w:tcPr>
          <w:p>
            <w:pPr>
              <w:pStyle w:val="1135"/>
              <w:jc w:val="both"/>
              <w:spacing w:before="40" w:after="40"/>
              <w:rPr>
                <w:sz w:val="20"/>
                <w:szCs w:val="20"/>
              </w:rPr>
            </w:pPr>
            <w:r>
              <w:rPr>
                <w:sz w:val="20"/>
                <w:szCs w:val="20"/>
              </w:rPr>
              <w:t xml:space="preserve">Взнос наличных средств в уставный капитал/паевый фонд осуществляется бесплатно.</w:t>
            </w:r>
            <w:r>
              <w:rPr>
                <w:sz w:val="20"/>
                <w:szCs w:val="20"/>
              </w:rPr>
            </w:r>
            <w:r>
              <w:rPr>
                <w:sz w:val="20"/>
                <w:szCs w:val="20"/>
              </w:rPr>
            </w:r>
          </w:p>
          <w:p>
            <w:pPr>
              <w:pStyle w:val="1135"/>
              <w:jc w:val="both"/>
              <w:spacing w:before="40" w:after="40"/>
              <w:rPr>
                <w:bCs/>
                <w:sz w:val="20"/>
                <w:szCs w:val="20"/>
              </w:rPr>
            </w:pPr>
            <w:r>
              <w:rPr>
                <w:bCs/>
                <w:sz w:val="20"/>
                <w:szCs w:val="20"/>
              </w:rPr>
              <w:t xml:space="preserve">Комиссия взимается от суммы денежной наличности, поступившей по одному сопроводительному документу.</w:t>
            </w:r>
            <w:r>
              <w:rPr>
                <w:bCs/>
                <w:sz w:val="20"/>
                <w:szCs w:val="20"/>
              </w:rPr>
            </w:r>
            <w:r>
              <w:rPr>
                <w:bCs/>
                <w:sz w:val="20"/>
                <w:szCs w:val="20"/>
              </w:rPr>
            </w:r>
          </w:p>
          <w:p>
            <w:pPr>
              <w:pStyle w:val="1135"/>
              <w:jc w:val="both"/>
              <w:spacing w:before="40" w:after="40"/>
              <w:rPr>
                <w:sz w:val="20"/>
                <w:szCs w:val="20"/>
              </w:rPr>
            </w:pPr>
            <w:r>
              <w:rPr>
                <w:color w:val="000000"/>
                <w:sz w:val="20"/>
                <w:szCs w:val="20"/>
              </w:rPr>
              <w:t xml:space="preserve">Если по одному сопроводительному документу поступили банкноты и монеты, то размер комиссионного вознаграждения определяется как сумма комиссии за пересчет банкнот (% от вносимой суммы) и комиссии за пе</w:t>
            </w:r>
            <w:r>
              <w:rPr>
                <w:color w:val="000000"/>
                <w:sz w:val="20"/>
                <w:szCs w:val="20"/>
              </w:rPr>
              <w:t xml:space="preserve">ресчет монет (% от вносимой суммы). При этом, если общая сумма комиссии по одному сопроводительному документу меньше установленного размера минимальной комиссии (250 руб.), то комиссионное вознаграждение взимается в размере минимальной комиссии (250 руб.).</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35"/>
              <w:jc w:val="center"/>
              <w:spacing w:before="40"/>
              <w:rPr>
                <w:bCs/>
                <w:sz w:val="20"/>
                <w:szCs w:val="20"/>
              </w:rPr>
            </w:pPr>
            <w:r>
              <w:rPr>
                <w:bCs/>
                <w:sz w:val="20"/>
                <w:szCs w:val="20"/>
              </w:rPr>
            </w:r>
            <w:r>
              <w:rPr>
                <w:bCs/>
                <w:sz w:val="20"/>
                <w:szCs w:val="20"/>
              </w:rPr>
            </w:r>
            <w:r>
              <w:rPr>
                <w:bCs/>
                <w:sz w:val="20"/>
                <w:szCs w:val="20"/>
              </w:rPr>
            </w:r>
          </w:p>
          <w:p>
            <w:pPr>
              <w:pStyle w:val="1135"/>
              <w:jc w:val="center"/>
              <w:spacing w:before="40"/>
              <w:rPr>
                <w:bCs/>
                <w:sz w:val="20"/>
                <w:szCs w:val="20"/>
              </w:rPr>
            </w:pPr>
            <w:r>
              <w:rPr>
                <w:bCs/>
                <w:sz w:val="20"/>
                <w:szCs w:val="20"/>
              </w:rPr>
            </w:r>
            <w:r>
              <w:rPr>
                <w:bCs/>
                <w:sz w:val="20"/>
                <w:szCs w:val="20"/>
              </w:rPr>
            </w:r>
            <w:r>
              <w:rPr>
                <w:bCs/>
                <w:sz w:val="20"/>
                <w:szCs w:val="20"/>
              </w:rPr>
            </w:r>
          </w:p>
          <w:p>
            <w:pPr>
              <w:pStyle w:val="1135"/>
              <w:jc w:val="center"/>
              <w:spacing w:before="40"/>
              <w:rPr>
                <w:bCs/>
                <w:sz w:val="20"/>
                <w:szCs w:val="20"/>
              </w:rPr>
            </w:pPr>
            <w:r>
              <w:rPr>
                <w:bCs/>
                <w:sz w:val="20"/>
                <w:szCs w:val="20"/>
              </w:rPr>
            </w:r>
            <w:r>
              <w:rPr>
                <w:bCs/>
                <w:sz w:val="20"/>
                <w:szCs w:val="20"/>
              </w:rPr>
            </w:r>
            <w:r>
              <w:rPr>
                <w:bCs/>
                <w:sz w:val="20"/>
                <w:szCs w:val="20"/>
              </w:rPr>
            </w:r>
          </w:p>
          <w:p>
            <w:pPr>
              <w:pStyle w:val="1135"/>
              <w:jc w:val="center"/>
              <w:spacing w:before="40"/>
              <w:rPr>
                <w:bCs/>
                <w:sz w:val="20"/>
                <w:szCs w:val="20"/>
              </w:rPr>
            </w:pPr>
            <w:r>
              <w:rPr>
                <w:bCs/>
                <w:sz w:val="20"/>
                <w:szCs w:val="20"/>
              </w:rPr>
            </w:r>
            <w:r>
              <w:rPr>
                <w:bCs/>
                <w:sz w:val="20"/>
                <w:szCs w:val="20"/>
              </w:rPr>
            </w:r>
            <w:r>
              <w:rPr>
                <w:bCs/>
                <w:sz w:val="20"/>
                <w:szCs w:val="20"/>
              </w:rPr>
            </w:r>
          </w:p>
          <w:p>
            <w:pPr>
              <w:pStyle w:val="1135"/>
              <w:jc w:val="center"/>
              <w:spacing w:before="40"/>
              <w:rPr>
                <w:bCs/>
                <w:sz w:val="20"/>
                <w:szCs w:val="20"/>
              </w:rPr>
            </w:pPr>
            <w:r>
              <w:rPr>
                <w:bCs/>
                <w:sz w:val="20"/>
                <w:szCs w:val="20"/>
              </w:rPr>
            </w:r>
            <w:r>
              <w:rPr>
                <w:bCs/>
                <w:sz w:val="20"/>
                <w:szCs w:val="20"/>
              </w:rPr>
            </w:r>
            <w:r>
              <w:rPr>
                <w:bCs/>
                <w:sz w:val="20"/>
                <w:szCs w:val="20"/>
              </w:rPr>
            </w:r>
          </w:p>
          <w:p>
            <w:pPr>
              <w:pStyle w:val="1135"/>
              <w:jc w:val="center"/>
              <w:spacing w:before="40"/>
              <w:rPr>
                <w:bCs/>
                <w:sz w:val="20"/>
                <w:szCs w:val="20"/>
              </w:rPr>
            </w:pPr>
            <w:r>
              <w:rPr>
                <w:bCs/>
                <w:sz w:val="20"/>
                <w:szCs w:val="20"/>
              </w:rPr>
            </w:r>
            <w:r>
              <w:rPr>
                <w:bCs/>
                <w:sz w:val="20"/>
                <w:szCs w:val="20"/>
              </w:rPr>
            </w:r>
            <w:r>
              <w:rPr>
                <w:bCs/>
                <w:sz w:val="20"/>
                <w:szCs w:val="20"/>
              </w:rPr>
            </w:r>
          </w:p>
          <w:p>
            <w:pPr>
              <w:pStyle w:val="1135"/>
              <w:jc w:val="center"/>
              <w:spacing w:before="40"/>
              <w:rPr>
                <w:bCs/>
                <w:sz w:val="20"/>
                <w:szCs w:val="20"/>
              </w:rPr>
            </w:pPr>
            <w:r>
              <w:rPr>
                <w:bCs/>
                <w:sz w:val="20"/>
                <w:szCs w:val="20"/>
              </w:rPr>
            </w:r>
            <w:r>
              <w:rPr>
                <w:bCs/>
                <w:sz w:val="20"/>
                <w:szCs w:val="20"/>
              </w:rPr>
            </w:r>
            <w:r>
              <w:rPr>
                <w:bCs/>
                <w:sz w:val="20"/>
                <w:szCs w:val="20"/>
              </w:rPr>
            </w:r>
          </w:p>
          <w:p>
            <w:pPr>
              <w:pStyle w:val="1135"/>
              <w:jc w:val="center"/>
              <w:spacing w:before="40"/>
              <w:rPr>
                <w:bCs/>
                <w:sz w:val="20"/>
                <w:szCs w:val="20"/>
              </w:rPr>
            </w:pPr>
            <w:r>
              <w:rPr>
                <w:bCs/>
                <w:sz w:val="20"/>
                <w:szCs w:val="20"/>
              </w:rPr>
            </w:r>
            <w:r>
              <w:rPr>
                <w:bCs/>
                <w:sz w:val="20"/>
                <w:szCs w:val="20"/>
              </w:rPr>
            </w:r>
            <w:r>
              <w:rPr>
                <w:bCs/>
                <w:sz w:val="20"/>
                <w:szCs w:val="20"/>
              </w:rPr>
            </w:r>
          </w:p>
          <w:p>
            <w:pPr>
              <w:pStyle w:val="1135"/>
              <w:jc w:val="center"/>
              <w:spacing w:before="40"/>
              <w:rPr>
                <w:bCs/>
                <w:sz w:val="20"/>
                <w:szCs w:val="20"/>
              </w:rPr>
            </w:pPr>
            <w:r>
              <w:rPr>
                <w:bCs/>
                <w:sz w:val="20"/>
                <w:szCs w:val="20"/>
              </w:rPr>
            </w:r>
            <w:r>
              <w:rPr>
                <w:bCs/>
                <w:sz w:val="20"/>
                <w:szCs w:val="20"/>
              </w:rPr>
            </w:r>
            <w:r>
              <w:rPr>
                <w:bCs/>
                <w:sz w:val="20"/>
                <w:szCs w:val="20"/>
              </w:rPr>
            </w:r>
          </w:p>
          <w:p>
            <w:pPr>
              <w:pStyle w:val="1135"/>
              <w:jc w:val="center"/>
              <w:spacing w:before="40"/>
              <w:rPr>
                <w:bCs/>
                <w:sz w:val="20"/>
                <w:szCs w:val="20"/>
              </w:rPr>
            </w:pPr>
            <w:r>
              <w:rPr>
                <w:bCs/>
                <w:sz w:val="20"/>
                <w:szCs w:val="20"/>
              </w:rPr>
            </w:r>
            <w:r>
              <w:rPr>
                <w:bCs/>
                <w:sz w:val="20"/>
                <w:szCs w:val="20"/>
              </w:rPr>
            </w:r>
            <w:r>
              <w:rPr>
                <w:bCs/>
                <w:sz w:val="20"/>
                <w:szCs w:val="20"/>
              </w:rPr>
            </w:r>
          </w:p>
          <w:p>
            <w:pPr>
              <w:pStyle w:val="1135"/>
              <w:jc w:val="center"/>
              <w:spacing w:before="40"/>
              <w:rPr>
                <w:bCs/>
                <w:sz w:val="20"/>
                <w:szCs w:val="20"/>
              </w:rPr>
            </w:pPr>
            <w:r>
              <w:rPr>
                <w:bCs/>
                <w:sz w:val="20"/>
                <w:szCs w:val="20"/>
              </w:rPr>
            </w:r>
            <w:r>
              <w:rPr>
                <w:bCs/>
                <w:sz w:val="20"/>
                <w:szCs w:val="20"/>
              </w:rPr>
            </w:r>
            <w:r>
              <w:rPr>
                <w:bCs/>
                <w:sz w:val="20"/>
                <w:szCs w:val="20"/>
              </w:rPr>
            </w:r>
          </w:p>
          <w:p>
            <w:pPr>
              <w:pStyle w:val="1135"/>
              <w:jc w:val="center"/>
              <w:spacing w:before="40"/>
              <w:rPr>
                <w:bCs/>
                <w:sz w:val="20"/>
                <w:szCs w:val="20"/>
              </w:rPr>
            </w:pPr>
            <w:r>
              <w:rPr>
                <w:bCs/>
                <w:sz w:val="20"/>
                <w:szCs w:val="20"/>
              </w:rPr>
            </w:r>
            <w:r>
              <w:rPr>
                <w:bCs/>
                <w:sz w:val="20"/>
                <w:szCs w:val="20"/>
              </w:rPr>
            </w:r>
            <w:r>
              <w:rPr>
                <w:bCs/>
                <w:sz w:val="20"/>
                <w:szCs w:val="20"/>
              </w:rPr>
            </w:r>
          </w:p>
          <w:p>
            <w:pPr>
              <w:pStyle w:val="1135"/>
              <w:jc w:val="center"/>
              <w:spacing w:before="40"/>
              <w:rPr>
                <w:bCs/>
                <w:sz w:val="20"/>
                <w:szCs w:val="20"/>
              </w:rPr>
            </w:pPr>
            <w:r>
              <w:rPr>
                <w:bCs/>
                <w:sz w:val="20"/>
                <w:szCs w:val="20"/>
              </w:rPr>
            </w:r>
            <w:r>
              <w:rPr>
                <w:bCs/>
                <w:sz w:val="20"/>
                <w:szCs w:val="20"/>
              </w:rPr>
            </w:r>
            <w:r>
              <w:rPr>
                <w:bCs/>
                <w:sz w:val="20"/>
                <w:szCs w:val="20"/>
              </w:rPr>
            </w:r>
          </w:p>
          <w:p>
            <w:pPr>
              <w:pStyle w:val="1135"/>
              <w:jc w:val="center"/>
              <w:spacing w:before="40"/>
              <w:rPr>
                <w:bCs/>
                <w:sz w:val="20"/>
                <w:szCs w:val="20"/>
              </w:rPr>
            </w:pPr>
            <w:r>
              <w:rPr>
                <w:bCs/>
                <w:sz w:val="20"/>
                <w:szCs w:val="20"/>
              </w:rPr>
            </w:r>
            <w:r>
              <w:rPr>
                <w:bCs/>
                <w:sz w:val="20"/>
                <w:szCs w:val="20"/>
              </w:rPr>
            </w:r>
            <w:r>
              <w:rPr>
                <w:bCs/>
                <w:sz w:val="20"/>
                <w:szCs w:val="20"/>
              </w:rPr>
            </w:r>
          </w:p>
          <w:p>
            <w:pPr>
              <w:pStyle w:val="1135"/>
              <w:jc w:val="center"/>
              <w:spacing w:before="40"/>
              <w:rPr>
                <w:bCs/>
                <w:sz w:val="20"/>
                <w:szCs w:val="20"/>
              </w:rPr>
            </w:pPr>
            <w:r>
              <w:rPr>
                <w:bCs/>
                <w:sz w:val="20"/>
                <w:szCs w:val="20"/>
              </w:rPr>
            </w:r>
            <w:r>
              <w:rPr>
                <w:bCs/>
                <w:sz w:val="20"/>
                <w:szCs w:val="20"/>
              </w:rPr>
            </w:r>
            <w:r>
              <w:rPr>
                <w:bCs/>
                <w:sz w:val="20"/>
                <w:szCs w:val="20"/>
              </w:rPr>
            </w:r>
          </w:p>
          <w:p>
            <w:pPr>
              <w:pStyle w:val="1135"/>
              <w:jc w:val="center"/>
              <w:spacing w:before="40"/>
              <w:rPr>
                <w:bCs/>
                <w:sz w:val="20"/>
                <w:szCs w:val="20"/>
              </w:rPr>
            </w:pPr>
            <w:r>
              <w:rPr>
                <w:bCs/>
                <w:sz w:val="20"/>
                <w:szCs w:val="20"/>
              </w:rPr>
            </w:r>
            <w:r>
              <w:rPr>
                <w:bCs/>
                <w:sz w:val="20"/>
                <w:szCs w:val="20"/>
              </w:rPr>
            </w:r>
            <w:r>
              <w:rPr>
                <w:bCs/>
                <w:sz w:val="20"/>
                <w:szCs w:val="20"/>
              </w:rPr>
            </w:r>
          </w:p>
          <w:p>
            <w:pPr>
              <w:pStyle w:val="1135"/>
              <w:jc w:val="center"/>
              <w:spacing w:before="40"/>
              <w:rPr>
                <w:bCs/>
                <w:sz w:val="20"/>
                <w:szCs w:val="20"/>
              </w:rPr>
            </w:pPr>
            <w:r>
              <w:rPr>
                <w:bCs/>
                <w:sz w:val="20"/>
                <w:szCs w:val="20"/>
              </w:rPr>
              <w:t xml:space="preserve">2.4.1.</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118" w:type="dxa"/>
            <w:vAlign w:val="top"/>
            <w:textDirection w:val="lrTb"/>
            <w:noWrap w:val="false"/>
          </w:tcPr>
          <w:p>
            <w:pPr>
              <w:pStyle w:val="1135"/>
              <w:spacing w:before="40"/>
              <w:rPr>
                <w:bCs/>
                <w:sz w:val="20"/>
                <w:szCs w:val="20"/>
              </w:rPr>
            </w:pPr>
            <w:r>
              <w:rPr>
                <w:bCs/>
                <w:sz w:val="20"/>
                <w:szCs w:val="20"/>
              </w:rPr>
            </w:r>
            <w:r>
              <w:rPr>
                <w:bCs/>
                <w:sz w:val="20"/>
                <w:szCs w:val="20"/>
              </w:rPr>
            </w:r>
            <w:r>
              <w:rPr>
                <w:bCs/>
                <w:sz w:val="20"/>
                <w:szCs w:val="20"/>
              </w:rPr>
            </w:r>
          </w:p>
          <w:p>
            <w:pPr>
              <w:pStyle w:val="1135"/>
              <w:spacing w:before="40"/>
              <w:rPr>
                <w:bCs/>
                <w:sz w:val="20"/>
                <w:szCs w:val="20"/>
              </w:rPr>
            </w:pPr>
            <w:r>
              <w:rPr>
                <w:bCs/>
                <w:sz w:val="20"/>
                <w:szCs w:val="20"/>
              </w:rPr>
            </w:r>
            <w:r>
              <w:rPr>
                <w:bCs/>
                <w:sz w:val="20"/>
                <w:szCs w:val="20"/>
              </w:rPr>
            </w:r>
            <w:r>
              <w:rPr>
                <w:bCs/>
                <w:sz w:val="20"/>
                <w:szCs w:val="20"/>
              </w:rPr>
            </w:r>
          </w:p>
          <w:p>
            <w:pPr>
              <w:pStyle w:val="1135"/>
              <w:spacing w:before="40"/>
              <w:rPr>
                <w:bCs/>
                <w:sz w:val="20"/>
                <w:szCs w:val="20"/>
              </w:rPr>
            </w:pPr>
            <w:r>
              <w:rPr>
                <w:bCs/>
                <w:sz w:val="20"/>
                <w:szCs w:val="20"/>
              </w:rPr>
            </w:r>
            <w:r>
              <w:rPr>
                <w:bCs/>
                <w:sz w:val="20"/>
                <w:szCs w:val="20"/>
              </w:rPr>
            </w:r>
            <w:r>
              <w:rPr>
                <w:bCs/>
                <w:sz w:val="20"/>
                <w:szCs w:val="20"/>
              </w:rPr>
            </w:r>
          </w:p>
          <w:p>
            <w:pPr>
              <w:pStyle w:val="1135"/>
              <w:spacing w:before="40"/>
              <w:rPr>
                <w:bCs/>
                <w:sz w:val="20"/>
                <w:szCs w:val="20"/>
              </w:rPr>
            </w:pPr>
            <w:r>
              <w:rPr>
                <w:bCs/>
                <w:sz w:val="20"/>
                <w:szCs w:val="20"/>
              </w:rPr>
            </w:r>
            <w:r>
              <w:rPr>
                <w:bCs/>
                <w:sz w:val="20"/>
                <w:szCs w:val="20"/>
              </w:rPr>
            </w:r>
            <w:r>
              <w:rPr>
                <w:bCs/>
                <w:sz w:val="20"/>
                <w:szCs w:val="20"/>
              </w:rPr>
            </w:r>
          </w:p>
          <w:p>
            <w:pPr>
              <w:pStyle w:val="1135"/>
              <w:spacing w:before="40"/>
              <w:rPr>
                <w:bCs/>
                <w:sz w:val="20"/>
                <w:szCs w:val="20"/>
              </w:rPr>
            </w:pPr>
            <w:r>
              <w:rPr>
                <w:bCs/>
                <w:sz w:val="20"/>
                <w:szCs w:val="20"/>
              </w:rPr>
            </w:r>
            <w:r>
              <w:rPr>
                <w:bCs/>
                <w:sz w:val="20"/>
                <w:szCs w:val="20"/>
              </w:rPr>
            </w:r>
            <w:r>
              <w:rPr>
                <w:bCs/>
                <w:sz w:val="20"/>
                <w:szCs w:val="20"/>
              </w:rPr>
            </w:r>
          </w:p>
          <w:p>
            <w:pPr>
              <w:pStyle w:val="1135"/>
              <w:spacing w:before="40"/>
              <w:rPr>
                <w:bCs/>
                <w:sz w:val="20"/>
                <w:szCs w:val="20"/>
              </w:rPr>
            </w:pPr>
            <w:r>
              <w:rPr>
                <w:bCs/>
                <w:sz w:val="20"/>
                <w:szCs w:val="20"/>
              </w:rPr>
            </w:r>
            <w:r>
              <w:rPr>
                <w:bCs/>
                <w:sz w:val="20"/>
                <w:szCs w:val="20"/>
              </w:rPr>
            </w:r>
            <w:r>
              <w:rPr>
                <w:bCs/>
                <w:sz w:val="20"/>
                <w:szCs w:val="20"/>
              </w:rPr>
            </w:r>
          </w:p>
          <w:p>
            <w:pPr>
              <w:pStyle w:val="1135"/>
              <w:spacing w:before="40"/>
              <w:rPr>
                <w:bCs/>
                <w:sz w:val="20"/>
                <w:szCs w:val="20"/>
              </w:rPr>
            </w:pPr>
            <w:r>
              <w:rPr>
                <w:bCs/>
                <w:sz w:val="20"/>
                <w:szCs w:val="20"/>
              </w:rPr>
            </w:r>
            <w:r>
              <w:rPr>
                <w:bCs/>
                <w:sz w:val="20"/>
                <w:szCs w:val="20"/>
              </w:rPr>
            </w:r>
            <w:r>
              <w:rPr>
                <w:bCs/>
                <w:sz w:val="20"/>
                <w:szCs w:val="20"/>
              </w:rPr>
            </w:r>
          </w:p>
          <w:p>
            <w:pPr>
              <w:pStyle w:val="1135"/>
              <w:spacing w:before="40"/>
              <w:rPr>
                <w:bCs/>
                <w:sz w:val="20"/>
                <w:szCs w:val="20"/>
              </w:rPr>
            </w:pPr>
            <w:r>
              <w:rPr>
                <w:bCs/>
                <w:sz w:val="20"/>
                <w:szCs w:val="20"/>
              </w:rPr>
            </w:r>
            <w:r>
              <w:rPr>
                <w:bCs/>
                <w:sz w:val="20"/>
                <w:szCs w:val="20"/>
              </w:rPr>
            </w:r>
            <w:r>
              <w:rPr>
                <w:bCs/>
                <w:sz w:val="20"/>
                <w:szCs w:val="20"/>
              </w:rPr>
            </w:r>
          </w:p>
          <w:p>
            <w:pPr>
              <w:pStyle w:val="1135"/>
              <w:spacing w:before="40"/>
              <w:rPr>
                <w:bCs/>
                <w:sz w:val="20"/>
                <w:szCs w:val="20"/>
              </w:rPr>
            </w:pPr>
            <w:r>
              <w:rPr>
                <w:bCs/>
                <w:sz w:val="20"/>
                <w:szCs w:val="20"/>
              </w:rPr>
            </w:r>
            <w:r>
              <w:rPr>
                <w:bCs/>
                <w:sz w:val="20"/>
                <w:szCs w:val="20"/>
              </w:rPr>
            </w:r>
            <w:r>
              <w:rPr>
                <w:bCs/>
                <w:sz w:val="20"/>
                <w:szCs w:val="20"/>
              </w:rPr>
            </w:r>
          </w:p>
          <w:p>
            <w:pPr>
              <w:pStyle w:val="1135"/>
              <w:spacing w:before="40"/>
              <w:rPr>
                <w:bCs/>
                <w:sz w:val="20"/>
                <w:szCs w:val="20"/>
              </w:rPr>
            </w:pPr>
            <w:r>
              <w:rPr>
                <w:bCs/>
                <w:sz w:val="20"/>
                <w:szCs w:val="20"/>
              </w:rPr>
            </w:r>
            <w:r>
              <w:rPr>
                <w:bCs/>
                <w:sz w:val="20"/>
                <w:szCs w:val="20"/>
              </w:rPr>
            </w:r>
            <w:r>
              <w:rPr>
                <w:bCs/>
                <w:sz w:val="20"/>
                <w:szCs w:val="20"/>
              </w:rPr>
            </w:r>
          </w:p>
          <w:p>
            <w:pPr>
              <w:pStyle w:val="1135"/>
              <w:spacing w:before="40"/>
              <w:rPr>
                <w:bCs/>
                <w:sz w:val="20"/>
                <w:szCs w:val="20"/>
              </w:rPr>
            </w:pPr>
            <w:r>
              <w:rPr>
                <w:bCs/>
                <w:sz w:val="20"/>
                <w:szCs w:val="20"/>
              </w:rPr>
            </w:r>
            <w:r>
              <w:rPr>
                <w:bCs/>
                <w:sz w:val="20"/>
                <w:szCs w:val="20"/>
              </w:rPr>
            </w:r>
            <w:r>
              <w:rPr>
                <w:bCs/>
                <w:sz w:val="20"/>
                <w:szCs w:val="20"/>
              </w:rPr>
            </w:r>
          </w:p>
          <w:p>
            <w:pPr>
              <w:pStyle w:val="1135"/>
              <w:spacing w:before="40"/>
              <w:rPr>
                <w:bCs/>
                <w:sz w:val="20"/>
                <w:szCs w:val="20"/>
              </w:rPr>
            </w:pPr>
            <w:r>
              <w:rPr>
                <w:bCs/>
                <w:sz w:val="20"/>
                <w:szCs w:val="20"/>
              </w:rPr>
            </w:r>
            <w:r>
              <w:rPr>
                <w:bCs/>
                <w:sz w:val="20"/>
                <w:szCs w:val="20"/>
              </w:rPr>
            </w:r>
            <w:r>
              <w:rPr>
                <w:bCs/>
                <w:sz w:val="20"/>
                <w:szCs w:val="20"/>
              </w:rPr>
            </w:r>
          </w:p>
          <w:p>
            <w:pPr>
              <w:pStyle w:val="1135"/>
              <w:spacing w:before="40"/>
              <w:rPr>
                <w:bCs/>
                <w:sz w:val="20"/>
                <w:szCs w:val="20"/>
              </w:rPr>
            </w:pPr>
            <w:r>
              <w:rPr>
                <w:bCs/>
                <w:sz w:val="20"/>
                <w:szCs w:val="20"/>
              </w:rPr>
            </w:r>
            <w:r>
              <w:rPr>
                <w:bCs/>
                <w:sz w:val="20"/>
                <w:szCs w:val="20"/>
              </w:rPr>
            </w:r>
            <w:r>
              <w:rPr>
                <w:bCs/>
                <w:sz w:val="20"/>
                <w:szCs w:val="20"/>
              </w:rPr>
            </w:r>
          </w:p>
          <w:p>
            <w:pPr>
              <w:pStyle w:val="1135"/>
              <w:spacing w:before="40"/>
              <w:rPr>
                <w:bCs/>
                <w:sz w:val="20"/>
                <w:szCs w:val="20"/>
              </w:rPr>
            </w:pPr>
            <w:r>
              <w:rPr>
                <w:bCs/>
                <w:sz w:val="20"/>
                <w:szCs w:val="20"/>
              </w:rPr>
            </w:r>
            <w:r>
              <w:rPr>
                <w:bCs/>
                <w:sz w:val="20"/>
                <w:szCs w:val="20"/>
              </w:rPr>
            </w:r>
            <w:r>
              <w:rPr>
                <w:bCs/>
                <w:sz w:val="20"/>
                <w:szCs w:val="20"/>
              </w:rPr>
            </w:r>
          </w:p>
          <w:p>
            <w:pPr>
              <w:pStyle w:val="1135"/>
              <w:spacing w:before="40"/>
              <w:rPr>
                <w:bCs/>
                <w:sz w:val="20"/>
                <w:szCs w:val="20"/>
              </w:rPr>
            </w:pPr>
            <w:r>
              <w:rPr>
                <w:bCs/>
                <w:sz w:val="20"/>
                <w:szCs w:val="20"/>
              </w:rPr>
            </w:r>
            <w:r>
              <w:rPr>
                <w:bCs/>
                <w:sz w:val="20"/>
                <w:szCs w:val="20"/>
              </w:rPr>
            </w:r>
            <w:r>
              <w:rPr>
                <w:bCs/>
                <w:sz w:val="20"/>
                <w:szCs w:val="20"/>
              </w:rPr>
            </w:r>
          </w:p>
          <w:p>
            <w:pPr>
              <w:pStyle w:val="1135"/>
              <w:spacing w:before="40"/>
              <w:rPr>
                <w:bCs/>
                <w:sz w:val="20"/>
                <w:szCs w:val="20"/>
              </w:rPr>
            </w:pPr>
            <w:r>
              <w:rPr>
                <w:bCs/>
                <w:sz w:val="20"/>
                <w:szCs w:val="20"/>
              </w:rPr>
            </w:r>
            <w:r>
              <w:rPr>
                <w:bCs/>
                <w:sz w:val="20"/>
                <w:szCs w:val="20"/>
              </w:rPr>
            </w:r>
            <w:r>
              <w:rPr>
                <w:bCs/>
                <w:sz w:val="20"/>
                <w:szCs w:val="20"/>
              </w:rPr>
            </w:r>
          </w:p>
          <w:p>
            <w:pPr>
              <w:pStyle w:val="1135"/>
              <w:spacing w:before="40"/>
              <w:rPr>
                <w:bCs/>
                <w:sz w:val="20"/>
                <w:szCs w:val="20"/>
              </w:rPr>
            </w:pPr>
            <w:r>
              <w:rPr>
                <w:bCs/>
                <w:sz w:val="20"/>
                <w:szCs w:val="20"/>
              </w:rPr>
              <w:t xml:space="preserve">Поступившей по объявлению на взнос наличными (банкноты);</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552" w:type="dxa"/>
            <w:vAlign w:val="top"/>
            <w:textDirection w:val="lrTb"/>
            <w:noWrap w:val="false"/>
          </w:tcPr>
          <w:p>
            <w:pPr>
              <w:pStyle w:val="1135"/>
              <w:jc w:val="center"/>
              <w:spacing w:before="40"/>
              <w:rPr>
                <w:bCs/>
                <w:sz w:val="20"/>
                <w:szCs w:val="20"/>
              </w:rPr>
            </w:pPr>
            <w:r>
              <w:rPr>
                <w:bCs/>
                <w:sz w:val="20"/>
                <w:szCs w:val="20"/>
              </w:rPr>
            </w:r>
            <w:r>
              <w:rPr>
                <w:bCs/>
                <w:sz w:val="20"/>
                <w:szCs w:val="20"/>
              </w:rPr>
            </w:r>
            <w:r>
              <w:rPr>
                <w:bCs/>
                <w:sz w:val="20"/>
                <w:szCs w:val="20"/>
              </w:rPr>
            </w:r>
          </w:p>
          <w:p>
            <w:pPr>
              <w:pStyle w:val="1135"/>
              <w:jc w:val="center"/>
              <w:spacing w:before="40"/>
              <w:rPr>
                <w:bCs/>
                <w:sz w:val="20"/>
                <w:szCs w:val="20"/>
              </w:rPr>
            </w:pPr>
            <w:r>
              <w:rPr>
                <w:bCs/>
                <w:sz w:val="20"/>
                <w:szCs w:val="20"/>
              </w:rPr>
            </w:r>
            <w:r>
              <w:rPr>
                <w:bCs/>
                <w:sz w:val="20"/>
                <w:szCs w:val="20"/>
              </w:rPr>
            </w:r>
            <w:r>
              <w:rPr>
                <w:bCs/>
                <w:sz w:val="20"/>
                <w:szCs w:val="20"/>
              </w:rPr>
            </w:r>
          </w:p>
          <w:p>
            <w:pPr>
              <w:pStyle w:val="1135"/>
              <w:jc w:val="center"/>
              <w:spacing w:before="40"/>
              <w:rPr>
                <w:bCs/>
                <w:sz w:val="20"/>
                <w:szCs w:val="20"/>
              </w:rPr>
            </w:pPr>
            <w:r>
              <w:rPr>
                <w:bCs/>
                <w:sz w:val="20"/>
                <w:szCs w:val="20"/>
              </w:rPr>
            </w:r>
            <w:r>
              <w:rPr>
                <w:bCs/>
                <w:sz w:val="20"/>
                <w:szCs w:val="20"/>
              </w:rPr>
            </w:r>
            <w:r>
              <w:rPr>
                <w:bCs/>
                <w:sz w:val="20"/>
                <w:szCs w:val="20"/>
              </w:rPr>
            </w:r>
          </w:p>
          <w:p>
            <w:pPr>
              <w:pStyle w:val="1135"/>
              <w:jc w:val="center"/>
              <w:spacing w:before="40"/>
              <w:rPr>
                <w:bCs/>
                <w:sz w:val="20"/>
                <w:szCs w:val="20"/>
              </w:rPr>
            </w:pPr>
            <w:r>
              <w:rPr>
                <w:bCs/>
                <w:sz w:val="20"/>
                <w:szCs w:val="20"/>
              </w:rPr>
            </w:r>
            <w:r>
              <w:rPr>
                <w:bCs/>
                <w:sz w:val="20"/>
                <w:szCs w:val="20"/>
              </w:rPr>
            </w:r>
            <w:r>
              <w:rPr>
                <w:bCs/>
                <w:sz w:val="20"/>
                <w:szCs w:val="20"/>
              </w:rPr>
            </w:r>
          </w:p>
          <w:p>
            <w:pPr>
              <w:pStyle w:val="1135"/>
              <w:jc w:val="center"/>
              <w:spacing w:before="40"/>
              <w:rPr>
                <w:bCs/>
                <w:sz w:val="20"/>
                <w:szCs w:val="20"/>
              </w:rPr>
            </w:pPr>
            <w:r>
              <w:rPr>
                <w:bCs/>
                <w:sz w:val="20"/>
                <w:szCs w:val="20"/>
              </w:rPr>
            </w:r>
            <w:r>
              <w:rPr>
                <w:bCs/>
                <w:sz w:val="20"/>
                <w:szCs w:val="20"/>
              </w:rPr>
            </w:r>
            <w:r>
              <w:rPr>
                <w:bCs/>
                <w:sz w:val="20"/>
                <w:szCs w:val="20"/>
              </w:rPr>
            </w:r>
          </w:p>
          <w:p>
            <w:pPr>
              <w:pStyle w:val="1135"/>
              <w:jc w:val="center"/>
              <w:spacing w:before="40"/>
              <w:rPr>
                <w:bCs/>
                <w:sz w:val="20"/>
                <w:szCs w:val="20"/>
              </w:rPr>
            </w:pPr>
            <w:r>
              <w:rPr>
                <w:bCs/>
                <w:sz w:val="20"/>
                <w:szCs w:val="20"/>
              </w:rPr>
            </w:r>
            <w:r>
              <w:rPr>
                <w:bCs/>
                <w:sz w:val="20"/>
                <w:szCs w:val="20"/>
              </w:rPr>
            </w:r>
            <w:r>
              <w:rPr>
                <w:bCs/>
                <w:sz w:val="20"/>
                <w:szCs w:val="20"/>
              </w:rPr>
            </w:r>
          </w:p>
          <w:p>
            <w:pPr>
              <w:pStyle w:val="1135"/>
              <w:jc w:val="center"/>
              <w:spacing w:before="40"/>
              <w:rPr>
                <w:bCs/>
                <w:sz w:val="20"/>
                <w:szCs w:val="20"/>
              </w:rPr>
            </w:pPr>
            <w:r>
              <w:rPr>
                <w:bCs/>
                <w:sz w:val="20"/>
                <w:szCs w:val="20"/>
              </w:rPr>
            </w:r>
            <w:r>
              <w:rPr>
                <w:bCs/>
                <w:sz w:val="20"/>
                <w:szCs w:val="20"/>
              </w:rPr>
            </w:r>
            <w:r>
              <w:rPr>
                <w:bCs/>
                <w:sz w:val="20"/>
                <w:szCs w:val="20"/>
              </w:rPr>
            </w:r>
          </w:p>
          <w:p>
            <w:pPr>
              <w:pStyle w:val="1135"/>
              <w:jc w:val="center"/>
              <w:spacing w:before="40"/>
              <w:rPr>
                <w:bCs/>
                <w:sz w:val="20"/>
                <w:szCs w:val="20"/>
              </w:rPr>
            </w:pPr>
            <w:r>
              <w:rPr>
                <w:bCs/>
                <w:sz w:val="20"/>
                <w:szCs w:val="20"/>
              </w:rPr>
            </w:r>
            <w:r>
              <w:rPr>
                <w:bCs/>
                <w:sz w:val="20"/>
                <w:szCs w:val="20"/>
              </w:rPr>
            </w:r>
            <w:r>
              <w:rPr>
                <w:bCs/>
                <w:sz w:val="20"/>
                <w:szCs w:val="20"/>
              </w:rPr>
            </w:r>
          </w:p>
          <w:p>
            <w:pPr>
              <w:pStyle w:val="1135"/>
              <w:jc w:val="center"/>
              <w:spacing w:before="40"/>
              <w:rPr>
                <w:bCs/>
                <w:sz w:val="20"/>
                <w:szCs w:val="20"/>
              </w:rPr>
            </w:pPr>
            <w:r>
              <w:rPr>
                <w:bCs/>
                <w:sz w:val="20"/>
                <w:szCs w:val="20"/>
              </w:rPr>
            </w:r>
            <w:r>
              <w:rPr>
                <w:bCs/>
                <w:sz w:val="20"/>
                <w:szCs w:val="20"/>
              </w:rPr>
            </w:r>
            <w:r>
              <w:rPr>
                <w:bCs/>
                <w:sz w:val="20"/>
                <w:szCs w:val="20"/>
              </w:rPr>
            </w:r>
          </w:p>
          <w:p>
            <w:pPr>
              <w:pStyle w:val="1135"/>
              <w:jc w:val="center"/>
              <w:spacing w:before="40"/>
              <w:rPr>
                <w:bCs/>
                <w:sz w:val="20"/>
                <w:szCs w:val="20"/>
              </w:rPr>
            </w:pPr>
            <w:r>
              <w:rPr>
                <w:bCs/>
                <w:sz w:val="20"/>
                <w:szCs w:val="20"/>
              </w:rPr>
            </w:r>
            <w:r>
              <w:rPr>
                <w:bCs/>
                <w:sz w:val="20"/>
                <w:szCs w:val="20"/>
              </w:rPr>
            </w:r>
            <w:r>
              <w:rPr>
                <w:bCs/>
                <w:sz w:val="20"/>
                <w:szCs w:val="20"/>
              </w:rPr>
            </w:r>
          </w:p>
          <w:p>
            <w:pPr>
              <w:pStyle w:val="1135"/>
              <w:jc w:val="center"/>
              <w:spacing w:before="40"/>
              <w:rPr>
                <w:bCs/>
                <w:sz w:val="20"/>
                <w:szCs w:val="20"/>
              </w:rPr>
            </w:pPr>
            <w:r>
              <w:rPr>
                <w:bCs/>
                <w:sz w:val="20"/>
                <w:szCs w:val="20"/>
              </w:rPr>
            </w:r>
            <w:r>
              <w:rPr>
                <w:bCs/>
                <w:sz w:val="20"/>
                <w:szCs w:val="20"/>
              </w:rPr>
            </w:r>
            <w:r>
              <w:rPr>
                <w:bCs/>
                <w:sz w:val="20"/>
                <w:szCs w:val="20"/>
              </w:rPr>
            </w:r>
          </w:p>
          <w:p>
            <w:pPr>
              <w:pStyle w:val="1135"/>
              <w:jc w:val="center"/>
              <w:spacing w:before="40"/>
              <w:rPr>
                <w:bCs/>
                <w:sz w:val="20"/>
                <w:szCs w:val="20"/>
              </w:rPr>
            </w:pPr>
            <w:r>
              <w:rPr>
                <w:bCs/>
                <w:sz w:val="20"/>
                <w:szCs w:val="20"/>
              </w:rPr>
            </w:r>
            <w:r>
              <w:rPr>
                <w:bCs/>
                <w:sz w:val="20"/>
                <w:szCs w:val="20"/>
              </w:rPr>
            </w:r>
            <w:r>
              <w:rPr>
                <w:bCs/>
                <w:sz w:val="20"/>
                <w:szCs w:val="20"/>
              </w:rPr>
            </w:r>
          </w:p>
          <w:p>
            <w:pPr>
              <w:pStyle w:val="1135"/>
              <w:jc w:val="center"/>
              <w:spacing w:before="40"/>
              <w:rPr>
                <w:bCs/>
                <w:sz w:val="20"/>
                <w:szCs w:val="20"/>
              </w:rPr>
            </w:pPr>
            <w:r>
              <w:rPr>
                <w:bCs/>
                <w:sz w:val="20"/>
                <w:szCs w:val="20"/>
              </w:rPr>
            </w:r>
            <w:r>
              <w:rPr>
                <w:bCs/>
                <w:sz w:val="20"/>
                <w:szCs w:val="20"/>
              </w:rPr>
            </w:r>
            <w:r>
              <w:rPr>
                <w:bCs/>
                <w:sz w:val="20"/>
                <w:szCs w:val="20"/>
              </w:rPr>
            </w:r>
          </w:p>
          <w:p>
            <w:pPr>
              <w:pStyle w:val="1135"/>
              <w:jc w:val="center"/>
              <w:spacing w:before="40"/>
              <w:rPr>
                <w:bCs/>
                <w:sz w:val="20"/>
                <w:szCs w:val="20"/>
              </w:rPr>
            </w:pPr>
            <w:r>
              <w:rPr>
                <w:bCs/>
                <w:sz w:val="20"/>
                <w:szCs w:val="20"/>
              </w:rPr>
            </w:r>
            <w:r>
              <w:rPr>
                <w:bCs/>
                <w:sz w:val="20"/>
                <w:szCs w:val="20"/>
              </w:rPr>
            </w:r>
            <w:r>
              <w:rPr>
                <w:bCs/>
                <w:sz w:val="20"/>
                <w:szCs w:val="20"/>
              </w:rPr>
            </w:r>
          </w:p>
          <w:p>
            <w:pPr>
              <w:pStyle w:val="1135"/>
              <w:jc w:val="center"/>
              <w:spacing w:before="40"/>
              <w:rPr>
                <w:bCs/>
                <w:sz w:val="20"/>
                <w:szCs w:val="20"/>
              </w:rPr>
            </w:pPr>
            <w:r>
              <w:rPr>
                <w:bCs/>
                <w:sz w:val="20"/>
                <w:szCs w:val="20"/>
              </w:rPr>
            </w:r>
            <w:r>
              <w:rPr>
                <w:bCs/>
                <w:sz w:val="20"/>
                <w:szCs w:val="20"/>
              </w:rPr>
            </w:r>
            <w:r>
              <w:rPr>
                <w:bCs/>
                <w:sz w:val="20"/>
                <w:szCs w:val="20"/>
              </w:rPr>
            </w:r>
          </w:p>
          <w:p>
            <w:pPr>
              <w:pStyle w:val="1135"/>
              <w:jc w:val="center"/>
              <w:spacing w:before="40"/>
              <w:rPr>
                <w:sz w:val="20"/>
                <w:szCs w:val="20"/>
              </w:rPr>
            </w:pPr>
            <w:r>
              <w:rPr>
                <w:sz w:val="20"/>
                <w:szCs w:val="20"/>
              </w:rPr>
              <w:t xml:space="preserve">0,40% от суммы, минимум 250 руб.</w:t>
            </w:r>
            <w:r>
              <w:rPr>
                <w:sz w:val="20"/>
                <w:szCs w:val="20"/>
              </w:rPr>
            </w:r>
            <w:r>
              <w:rPr>
                <w:sz w:val="20"/>
                <w:szCs w:val="20"/>
              </w:rPr>
            </w:r>
          </w:p>
        </w:tc>
        <w:tc>
          <w:tcPr>
            <w:tcBorders>
              <w:left w:val="single" w:color="000000" w:sz="4" w:space="0"/>
              <w:right w:val="single" w:color="000000" w:sz="4" w:space="0"/>
            </w:tcBorders>
            <w:tcW w:w="3544" w:type="dxa"/>
            <w:vAlign w:val="top"/>
            <w:vMerge w:val="continue"/>
            <w:textDirection w:val="lrTb"/>
            <w:noWrap w:val="false"/>
          </w:tcPr>
          <w:p>
            <w:pPr>
              <w:pStyle w:val="1135"/>
              <w:jc w:val="center"/>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35"/>
              <w:jc w:val="center"/>
              <w:spacing w:before="40"/>
              <w:rPr>
                <w:bCs/>
                <w:sz w:val="20"/>
                <w:szCs w:val="20"/>
              </w:rPr>
            </w:pPr>
            <w:r>
              <w:rPr>
                <w:bCs/>
                <w:sz w:val="20"/>
                <w:szCs w:val="20"/>
              </w:rPr>
              <w:t xml:space="preserve">2.4.2.</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118" w:type="dxa"/>
            <w:vAlign w:val="top"/>
            <w:textDirection w:val="lrTb"/>
            <w:noWrap w:val="false"/>
          </w:tcPr>
          <w:p>
            <w:pPr>
              <w:pStyle w:val="1135"/>
              <w:spacing w:before="40"/>
              <w:rPr>
                <w:bCs/>
                <w:sz w:val="20"/>
                <w:szCs w:val="20"/>
              </w:rPr>
            </w:pPr>
            <w:r>
              <w:rPr>
                <w:bCs/>
                <w:sz w:val="20"/>
                <w:szCs w:val="20"/>
              </w:rPr>
              <w:t xml:space="preserve">Поступившей в инкассаторских сумках или других средствах для</w:t>
            </w:r>
            <w:r>
              <w:rPr>
                <w:bCs/>
                <w:sz w:val="20"/>
                <w:szCs w:val="20"/>
              </w:rPr>
              <w:t xml:space="preserve"> упаковки денежной наличности, доставленных представителем клиента/инкассаторскими работниками: РОСИНКАС; кредитных организаций; небанковских кредитных организаций, а также иных организаций, привлекаемых для оказания услуг по перевозке ценностей (банкноты)</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552" w:type="dxa"/>
            <w:vAlign w:val="top"/>
            <w:textDirection w:val="lrTb"/>
            <w:noWrap w:val="false"/>
          </w:tcPr>
          <w:p>
            <w:pPr>
              <w:pStyle w:val="1135"/>
              <w:jc w:val="center"/>
              <w:spacing w:before="40"/>
              <w:rPr>
                <w:bCs/>
                <w:sz w:val="20"/>
                <w:szCs w:val="20"/>
              </w:rPr>
            </w:pPr>
            <w:r>
              <w:rPr>
                <w:sz w:val="20"/>
                <w:szCs w:val="20"/>
              </w:rPr>
              <w:t xml:space="preserve">0,25% от суммы,</w:t>
              <w:br w:type="textWrapping" w:clear="all"/>
              <w:t xml:space="preserve">минимум 250 руб.</w:t>
            </w:r>
            <w:r>
              <w:rPr>
                <w:bCs/>
                <w:sz w:val="20"/>
                <w:szCs w:val="20"/>
              </w:rPr>
            </w:r>
            <w:r>
              <w:rPr>
                <w:bCs/>
                <w:sz w:val="20"/>
                <w:szCs w:val="20"/>
              </w:rPr>
            </w:r>
          </w:p>
        </w:tc>
        <w:tc>
          <w:tcPr>
            <w:tcBorders>
              <w:left w:val="single" w:color="000000" w:sz="4" w:space="0"/>
              <w:bottom w:val="none" w:color="000000" w:sz="4" w:space="0"/>
              <w:right w:val="single" w:color="000000" w:sz="4" w:space="0"/>
            </w:tcBorders>
            <w:tcW w:w="3544" w:type="dxa"/>
            <w:vAlign w:val="top"/>
            <w:vMerge w:val="continue"/>
            <w:textDirection w:val="lrTb"/>
            <w:noWrap w:val="false"/>
          </w:tcPr>
          <w:p>
            <w:pPr>
              <w:pStyle w:val="1135"/>
              <w:jc w:val="center"/>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35"/>
              <w:jc w:val="center"/>
              <w:spacing w:before="40"/>
              <w:rPr>
                <w:bCs/>
                <w:sz w:val="20"/>
                <w:szCs w:val="20"/>
              </w:rPr>
            </w:pPr>
            <w:r>
              <w:rPr>
                <w:bCs/>
                <w:sz w:val="20"/>
                <w:szCs w:val="20"/>
              </w:rPr>
              <w:t xml:space="preserve">2.4.3.</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118" w:type="dxa"/>
            <w:vAlign w:val="top"/>
            <w:textDirection w:val="lrTb"/>
            <w:noWrap w:val="false"/>
          </w:tcPr>
          <w:p>
            <w:pPr>
              <w:pStyle w:val="1135"/>
              <w:spacing w:before="40"/>
              <w:rPr>
                <w:bCs/>
                <w:sz w:val="20"/>
                <w:szCs w:val="20"/>
              </w:rPr>
            </w:pPr>
            <w:r>
              <w:rPr>
                <w:bCs/>
                <w:sz w:val="20"/>
                <w:szCs w:val="20"/>
              </w:rPr>
              <w:t xml:space="preserve">Поступившей в инкассаторских сумках или других средствах для упаковки денежной наличности, доставленных инкассаторскими работниками АО «Россельхозбанк» (банкноты)</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552" w:type="dxa"/>
            <w:vAlign w:val="top"/>
            <w:textDirection w:val="lrTb"/>
            <w:noWrap w:val="false"/>
          </w:tcPr>
          <w:p>
            <w:pPr>
              <w:pStyle w:val="1135"/>
              <w:jc w:val="center"/>
              <w:spacing w:before="40"/>
              <w:rPr>
                <w:sz w:val="20"/>
                <w:szCs w:val="20"/>
              </w:rPr>
            </w:pPr>
            <w:r>
              <w:rPr>
                <w:bCs/>
                <w:sz w:val="20"/>
                <w:szCs w:val="20"/>
              </w:rPr>
              <w:t xml:space="preserve">0,2% от суммы, минимум 250 руб.</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544" w:type="dxa"/>
            <w:vAlign w:val="top"/>
            <w:textDirection w:val="lrTb"/>
            <w:noWrap w:val="false"/>
          </w:tcPr>
          <w:p>
            <w:pPr>
              <w:pStyle w:val="1135"/>
              <w:jc w:val="center"/>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35"/>
              <w:jc w:val="center"/>
              <w:spacing w:before="40"/>
              <w:rPr>
                <w:bCs/>
                <w:sz w:val="20"/>
                <w:szCs w:val="20"/>
              </w:rPr>
            </w:pPr>
            <w:r>
              <w:rPr>
                <w:bCs/>
                <w:sz w:val="20"/>
                <w:szCs w:val="20"/>
              </w:rPr>
              <w:t xml:space="preserve">2.4.4.</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118" w:type="dxa"/>
            <w:vAlign w:val="top"/>
            <w:textDirection w:val="lrTb"/>
            <w:noWrap w:val="false"/>
          </w:tcPr>
          <w:p>
            <w:pPr>
              <w:pStyle w:val="1135"/>
              <w:spacing w:before="40"/>
              <w:rPr>
                <w:bCs/>
                <w:sz w:val="20"/>
                <w:szCs w:val="20"/>
              </w:rPr>
            </w:pPr>
            <w:r>
              <w:rPr>
                <w:bCs/>
                <w:sz w:val="20"/>
                <w:szCs w:val="20"/>
              </w:rPr>
              <w:t xml:space="preserve">Прием и пересчет монет</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552" w:type="dxa"/>
            <w:vAlign w:val="top"/>
            <w:textDirection w:val="lrTb"/>
            <w:noWrap w:val="false"/>
          </w:tcPr>
          <w:p>
            <w:pPr>
              <w:pStyle w:val="1135"/>
              <w:jc w:val="center"/>
              <w:spacing w:before="40"/>
              <w:rPr>
                <w:bCs/>
                <w:sz w:val="20"/>
                <w:szCs w:val="20"/>
              </w:rPr>
            </w:pPr>
            <w:r>
              <w:rPr>
                <w:sz w:val="20"/>
                <w:szCs w:val="20"/>
              </w:rPr>
              <w:t xml:space="preserve">2% от суммы, минимум 250 руб.</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544" w:type="dxa"/>
            <w:vAlign w:val="top"/>
            <w:textDirection w:val="lrTb"/>
            <w:noWrap w:val="false"/>
          </w:tcPr>
          <w:p>
            <w:pPr>
              <w:pStyle w:val="1135"/>
              <w:jc w:val="center"/>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35"/>
              <w:jc w:val="center"/>
              <w:spacing w:before="40" w:after="40"/>
              <w:rPr>
                <w:bCs/>
                <w:sz w:val="20"/>
                <w:szCs w:val="20"/>
              </w:rPr>
            </w:pPr>
            <w:r>
              <w:rPr>
                <w:bCs/>
                <w:sz w:val="20"/>
                <w:szCs w:val="20"/>
              </w:rPr>
              <w:t xml:space="preserve">2.5.</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35"/>
              <w:jc w:val="both"/>
              <w:spacing w:before="40" w:after="40"/>
              <w:rPr>
                <w:bCs/>
                <w:sz w:val="20"/>
                <w:szCs w:val="20"/>
              </w:rPr>
            </w:pPr>
            <w:r>
              <w:rPr>
                <w:bCs/>
                <w:sz w:val="20"/>
                <w:szCs w:val="20"/>
              </w:rPr>
              <w:t xml:space="preserve">Прием, пересчет денежной наличности в валюте Российской Федерации для зачисления на банковский счет клиента, открытый в другом подразделении Банка***</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35"/>
              <w:jc w:val="center"/>
              <w:spacing w:before="40" w:after="40"/>
              <w:rPr>
                <w:bCs/>
                <w:sz w:val="20"/>
                <w:szCs w:val="20"/>
              </w:rPr>
            </w:pPr>
            <w:r>
              <w:rPr>
                <w:bCs/>
                <w:sz w:val="20"/>
                <w:szCs w:val="20"/>
              </w:rPr>
              <w:t xml:space="preserve">0,3% от суммы,</w:t>
            </w:r>
            <w:r>
              <w:rPr>
                <w:bCs/>
                <w:sz w:val="20"/>
                <w:szCs w:val="20"/>
              </w:rPr>
            </w:r>
            <w:r>
              <w:rPr>
                <w:bCs/>
                <w:sz w:val="20"/>
                <w:szCs w:val="20"/>
              </w:rPr>
            </w:r>
          </w:p>
          <w:p>
            <w:pPr>
              <w:pStyle w:val="1135"/>
              <w:jc w:val="center"/>
              <w:spacing w:before="40" w:after="40"/>
              <w:rPr>
                <w:b/>
                <w:bCs/>
                <w:i/>
                <w:sz w:val="20"/>
                <w:szCs w:val="20"/>
              </w:rPr>
            </w:pPr>
            <w:r>
              <w:rPr>
                <w:bCs/>
                <w:sz w:val="20"/>
                <w:szCs w:val="20"/>
              </w:rPr>
              <w:t xml:space="preserve">минимум 450 руб.</w:t>
            </w:r>
            <w:r>
              <w:rPr>
                <w:b/>
                <w:bCs/>
                <w:i/>
                <w:sz w:val="20"/>
                <w:szCs w:val="20"/>
              </w:rPr>
            </w:r>
            <w:r>
              <w:rPr>
                <w:b/>
                <w:bCs/>
                <w:i/>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35"/>
              <w:jc w:val="both"/>
              <w:spacing w:before="40" w:after="40"/>
              <w:rPr>
                <w:sz w:val="20"/>
                <w:szCs w:val="20"/>
              </w:rPr>
            </w:pPr>
            <w:r>
              <w:rPr>
                <w:sz w:val="20"/>
                <w:szCs w:val="20"/>
              </w:rPr>
              <w:t xml:space="preserve">Оформляется дополнительным соглашением к Договору на кассовое обслуживание в наличной валюте Российской Федерации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35"/>
              <w:jc w:val="center"/>
              <w:spacing w:before="40" w:after="40"/>
              <w:rPr>
                <w:bCs/>
                <w:sz w:val="20"/>
                <w:szCs w:val="20"/>
              </w:rPr>
            </w:pPr>
            <w:r>
              <w:rPr>
                <w:bCs/>
                <w:sz w:val="20"/>
                <w:szCs w:val="20"/>
              </w:rPr>
              <w:t xml:space="preserve">2.6.</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35"/>
              <w:jc w:val="both"/>
              <w:spacing w:before="40" w:after="40"/>
              <w:rPr>
                <w:bCs/>
                <w:sz w:val="20"/>
                <w:szCs w:val="20"/>
              </w:rPr>
            </w:pPr>
            <w:r>
              <w:rPr>
                <w:bCs/>
                <w:sz w:val="20"/>
                <w:szCs w:val="20"/>
              </w:rPr>
              <w:t xml:space="preserve">Повторный пересчет денежной наличности в валюте Российской Федерации в результате образовавшегося излишка или недостачи по вине клиента</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35"/>
              <w:jc w:val="center"/>
              <w:spacing w:before="40" w:after="40"/>
              <w:rPr>
                <w:bCs/>
                <w:sz w:val="20"/>
                <w:szCs w:val="20"/>
              </w:rPr>
            </w:pPr>
            <w:r>
              <w:rPr>
                <w:bCs/>
                <w:sz w:val="20"/>
                <w:szCs w:val="20"/>
              </w:rPr>
              <w:t xml:space="preserve">0,1% от суммы,</w:t>
            </w:r>
            <w:r>
              <w:rPr>
                <w:bCs/>
                <w:sz w:val="20"/>
                <w:szCs w:val="20"/>
              </w:rPr>
            </w:r>
            <w:r>
              <w:rPr>
                <w:bCs/>
                <w:sz w:val="20"/>
                <w:szCs w:val="20"/>
              </w:rPr>
            </w:r>
          </w:p>
          <w:p>
            <w:pPr>
              <w:pStyle w:val="1135"/>
              <w:jc w:val="center"/>
              <w:spacing w:before="40" w:after="40"/>
              <w:rPr>
                <w:bCs/>
                <w:sz w:val="20"/>
                <w:szCs w:val="20"/>
              </w:rPr>
            </w:pPr>
            <w:r>
              <w:rPr>
                <w:bCs/>
                <w:sz w:val="20"/>
                <w:szCs w:val="20"/>
              </w:rPr>
              <w:t xml:space="preserve">минимум 50 руб.</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35"/>
              <w:spacing w:before="40" w:after="40"/>
              <w:rPr>
                <w:bCs/>
                <w:sz w:val="20"/>
                <w:szCs w:val="20"/>
              </w:rPr>
            </w:pPr>
            <w:r>
              <w:rPr>
                <w:bCs/>
                <w:sz w:val="20"/>
                <w:szCs w:val="20"/>
              </w:rPr>
            </w:r>
            <w:r>
              <w:rPr>
                <w:bCs/>
                <w:sz w:val="20"/>
                <w:szCs w:val="20"/>
              </w:rPr>
            </w:r>
            <w:r>
              <w:rPr>
                <w:bCs/>
                <w:sz w:val="20"/>
                <w:szCs w:val="20"/>
              </w:rPr>
            </w:r>
          </w:p>
          <w:p>
            <w:pPr>
              <w:pStyle w:val="1135"/>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35"/>
              <w:jc w:val="center"/>
              <w:spacing w:before="40" w:after="40"/>
              <w:rPr>
                <w:bCs/>
                <w:sz w:val="20"/>
                <w:szCs w:val="20"/>
              </w:rPr>
            </w:pPr>
            <w:r>
              <w:rPr>
                <w:bCs/>
                <w:sz w:val="20"/>
                <w:szCs w:val="20"/>
              </w:rPr>
              <w:t xml:space="preserve">2.7.</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35"/>
              <w:jc w:val="both"/>
              <w:spacing w:before="40" w:after="40"/>
              <w:rPr>
                <w:bCs/>
                <w:sz w:val="20"/>
                <w:szCs w:val="20"/>
              </w:rPr>
            </w:pPr>
            <w:r>
              <w:rPr>
                <w:bCs/>
                <w:sz w:val="20"/>
                <w:szCs w:val="20"/>
              </w:rPr>
              <w:t xml:space="preserve">Прием денежных знаков Банка России, вызывающих сомнение в подлинности, для направления на экспертизу </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35"/>
              <w:jc w:val="center"/>
              <w:spacing w:before="40" w:after="40"/>
              <w:rPr>
                <w:bCs/>
                <w:sz w:val="20"/>
                <w:szCs w:val="20"/>
              </w:rPr>
            </w:pPr>
            <w:r>
              <w:rPr>
                <w:bCs/>
                <w:sz w:val="20"/>
                <w:szCs w:val="20"/>
              </w:rPr>
              <w:t xml:space="preserve">Бесплатно</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35"/>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35"/>
              <w:jc w:val="center"/>
              <w:spacing w:before="40" w:after="40"/>
              <w:rPr>
                <w:bCs/>
                <w:sz w:val="20"/>
                <w:szCs w:val="20"/>
              </w:rPr>
            </w:pPr>
            <w:r>
              <w:rPr>
                <w:bCs/>
                <w:sz w:val="20"/>
                <w:szCs w:val="20"/>
              </w:rPr>
              <w:t xml:space="preserve">2.8.</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35"/>
              <w:jc w:val="both"/>
              <w:spacing w:before="40" w:after="40"/>
              <w:rPr>
                <w:bCs/>
                <w:sz w:val="20"/>
                <w:szCs w:val="20"/>
              </w:rPr>
            </w:pPr>
            <w:r>
              <w:rPr>
                <w:bCs/>
                <w:sz w:val="20"/>
                <w:szCs w:val="20"/>
              </w:rPr>
              <w:t xml:space="preserve">Обмен ветхих банкнот и дефектной монеты Банка России на годные к обращению </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35"/>
              <w:jc w:val="center"/>
              <w:spacing w:before="40" w:after="40"/>
              <w:rPr>
                <w:bCs/>
                <w:sz w:val="20"/>
                <w:szCs w:val="20"/>
              </w:rPr>
            </w:pPr>
            <w:r>
              <w:rPr>
                <w:bCs/>
                <w:sz w:val="20"/>
                <w:szCs w:val="20"/>
              </w:rPr>
              <w:t xml:space="preserve">Бесплатно</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35"/>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35"/>
              <w:jc w:val="center"/>
              <w:spacing w:before="60" w:after="60"/>
              <w:rPr>
                <w:bCs/>
                <w:sz w:val="20"/>
                <w:szCs w:val="20"/>
              </w:rPr>
            </w:pPr>
            <w:r>
              <w:rPr>
                <w:sz w:val="20"/>
                <w:szCs w:val="20"/>
              </w:rPr>
              <w:t xml:space="preserve">2.9. </w:t>
            </w:r>
            <w:r>
              <w:rPr>
                <w:bCs/>
                <w:sz w:val="20"/>
                <w:szCs w:val="20"/>
              </w:rPr>
            </w:r>
            <w:r>
              <w:rPr>
                <w:bCs/>
                <w:sz w:val="20"/>
                <w:szCs w:val="20"/>
              </w:rPr>
            </w:r>
          </w:p>
        </w:tc>
        <w:tc>
          <w:tcPr>
            <w:gridSpan w:val="3"/>
            <w:tcBorders>
              <w:top w:val="single" w:color="000000" w:sz="4" w:space="0"/>
              <w:left w:val="single" w:color="000000" w:sz="4" w:space="0"/>
              <w:bottom w:val="single" w:color="000000" w:sz="4" w:space="0"/>
              <w:right w:val="single" w:color="000000" w:sz="4" w:space="0"/>
            </w:tcBorders>
            <w:tcW w:w="9214" w:type="dxa"/>
            <w:vAlign w:val="top"/>
            <w:textDirection w:val="lrTb"/>
            <w:noWrap w:val="false"/>
          </w:tcPr>
          <w:p>
            <w:pPr>
              <w:pStyle w:val="1135"/>
              <w:spacing w:before="60" w:after="60"/>
              <w:rPr>
                <w:bCs/>
                <w:sz w:val="20"/>
                <w:szCs w:val="20"/>
              </w:rPr>
            </w:pPr>
            <w:r>
              <w:rPr>
                <w:bCs/>
                <w:sz w:val="20"/>
                <w:szCs w:val="20"/>
              </w:rPr>
              <w:t xml:space="preserve">Размен банкнот/монет Банка России</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35"/>
              <w:jc w:val="center"/>
              <w:rPr>
                <w:bCs/>
                <w:sz w:val="20"/>
                <w:szCs w:val="20"/>
              </w:rPr>
            </w:pPr>
            <w:r>
              <w:rPr>
                <w:bCs/>
                <w:sz w:val="20"/>
                <w:szCs w:val="20"/>
              </w:rPr>
              <w:t xml:space="preserve">2.9.1.</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35"/>
              <w:rPr>
                <w:bCs/>
                <w:sz w:val="20"/>
                <w:szCs w:val="20"/>
              </w:rPr>
            </w:pPr>
            <w:r>
              <w:rPr>
                <w:bCs/>
                <w:sz w:val="20"/>
                <w:szCs w:val="20"/>
              </w:rPr>
              <w:t xml:space="preserve">Размен банкнот Банка России на банкноты Банка России другого достоинства</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35"/>
              <w:jc w:val="center"/>
              <w:rPr>
                <w:bCs/>
                <w:sz w:val="20"/>
                <w:szCs w:val="20"/>
              </w:rPr>
            </w:pPr>
            <w:r>
              <w:rPr>
                <w:bCs/>
                <w:sz w:val="20"/>
                <w:szCs w:val="20"/>
              </w:rPr>
              <w:t xml:space="preserve">2% от суммы, но не менее 250 руб.</w:t>
            </w:r>
            <w:r>
              <w:rPr>
                <w:bCs/>
                <w:sz w:val="20"/>
                <w:szCs w:val="20"/>
              </w:rPr>
            </w:r>
            <w:r>
              <w:rPr>
                <w:bCs/>
                <w:sz w:val="20"/>
                <w:szCs w:val="20"/>
              </w:rPr>
            </w:r>
          </w:p>
        </w:tc>
        <w:tc>
          <w:tcPr>
            <w:tcBorders>
              <w:top w:val="single" w:color="000000" w:sz="4" w:space="0"/>
              <w:left w:val="single" w:color="000000" w:sz="4" w:space="0"/>
              <w:right w:val="single" w:color="000000" w:sz="4" w:space="0"/>
            </w:tcBorders>
            <w:tcW w:w="3544" w:type="dxa"/>
            <w:vAlign w:val="top"/>
            <w:vMerge w:val="restart"/>
            <w:textDirection w:val="lrTb"/>
            <w:noWrap w:val="false"/>
          </w:tcPr>
          <w:p>
            <w:pPr>
              <w:pStyle w:val="1135"/>
              <w:jc w:val="both"/>
              <w:spacing w:before="40" w:after="40"/>
              <w:rPr>
                <w:bCs/>
                <w:sz w:val="20"/>
                <w:szCs w:val="20"/>
              </w:rPr>
            </w:pPr>
            <w:r>
              <w:rPr>
                <w:bCs/>
                <w:sz w:val="20"/>
                <w:szCs w:val="20"/>
              </w:rPr>
              <w:t xml:space="preserve">Осуществляется подразделениями Банка по письменному заявлению клиента при наличии в достаточном количестве в операционной кассе подразделения Банка номиналов банкнот/монет, требуемых для размена</w:t>
            </w:r>
            <w:r>
              <w:rPr>
                <w:bCs/>
                <w:sz w:val="20"/>
                <w:szCs w:val="20"/>
              </w:rPr>
            </w:r>
            <w:r>
              <w:rPr>
                <w:bCs/>
                <w:sz w:val="20"/>
                <w:szCs w:val="20"/>
              </w:rPr>
            </w:r>
          </w:p>
          <w:p>
            <w:pPr>
              <w:pStyle w:val="1135"/>
              <w:jc w:val="both"/>
              <w:spacing w:before="40" w:after="40"/>
              <w:rPr>
                <w:bCs/>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35"/>
              <w:jc w:val="center"/>
              <w:rPr>
                <w:bCs/>
                <w:sz w:val="20"/>
                <w:szCs w:val="20"/>
              </w:rPr>
            </w:pPr>
            <w:r>
              <w:rPr>
                <w:bCs/>
                <w:sz w:val="20"/>
                <w:szCs w:val="20"/>
              </w:rPr>
              <w:t xml:space="preserve">2.9.2.</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35"/>
              <w:rPr>
                <w:bCs/>
                <w:sz w:val="20"/>
                <w:szCs w:val="20"/>
              </w:rPr>
            </w:pPr>
            <w:r>
              <w:rPr>
                <w:bCs/>
                <w:sz w:val="20"/>
                <w:szCs w:val="20"/>
              </w:rPr>
              <w:t xml:space="preserve">Размен банкнот Банка России на монету Банка России</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35"/>
              <w:jc w:val="center"/>
              <w:rPr>
                <w:bCs/>
                <w:sz w:val="20"/>
                <w:szCs w:val="20"/>
              </w:rPr>
            </w:pPr>
            <w:r>
              <w:rPr>
                <w:bCs/>
                <w:sz w:val="20"/>
                <w:szCs w:val="20"/>
              </w:rPr>
              <w:t xml:space="preserve">3% от суммы, но не менее 250 руб.</w:t>
            </w:r>
            <w:r>
              <w:rPr>
                <w:bCs/>
                <w:sz w:val="20"/>
                <w:szCs w:val="20"/>
              </w:rPr>
            </w:r>
            <w:r>
              <w:rPr>
                <w:bCs/>
                <w:sz w:val="20"/>
                <w:szCs w:val="20"/>
              </w:rPr>
            </w:r>
          </w:p>
        </w:tc>
        <w:tc>
          <w:tcPr>
            <w:tcBorders>
              <w:left w:val="single" w:color="000000" w:sz="4" w:space="0"/>
              <w:right w:val="single" w:color="000000" w:sz="4" w:space="0"/>
            </w:tcBorders>
            <w:tcW w:w="3544" w:type="dxa"/>
            <w:vAlign w:val="top"/>
            <w:vMerge w:val="continue"/>
            <w:textDirection w:val="lrTb"/>
            <w:noWrap w:val="false"/>
          </w:tcPr>
          <w:p>
            <w:pPr>
              <w:pStyle w:val="1135"/>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35"/>
              <w:jc w:val="center"/>
              <w:rPr>
                <w:bCs/>
                <w:sz w:val="20"/>
                <w:szCs w:val="20"/>
              </w:rPr>
            </w:pPr>
            <w:r>
              <w:rPr>
                <w:bCs/>
                <w:sz w:val="20"/>
                <w:szCs w:val="20"/>
              </w:rPr>
              <w:t xml:space="preserve">2.9.3.</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35"/>
              <w:rPr>
                <w:bCs/>
                <w:sz w:val="20"/>
                <w:szCs w:val="20"/>
              </w:rPr>
            </w:pPr>
            <w:r>
              <w:rPr>
                <w:bCs/>
                <w:sz w:val="20"/>
                <w:szCs w:val="20"/>
              </w:rPr>
              <w:t xml:space="preserve">Размен монет Банка России на банкноты Банка России</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35"/>
              <w:jc w:val="center"/>
              <w:rPr>
                <w:bCs/>
                <w:sz w:val="20"/>
                <w:szCs w:val="20"/>
              </w:rPr>
            </w:pPr>
            <w:r>
              <w:rPr>
                <w:bCs/>
                <w:sz w:val="20"/>
                <w:szCs w:val="20"/>
              </w:rPr>
              <w:t xml:space="preserve">4% от суммы, но не менее 250 руб.</w:t>
            </w:r>
            <w:r>
              <w:rPr>
                <w:bCs/>
                <w:sz w:val="20"/>
                <w:szCs w:val="20"/>
              </w:rPr>
            </w:r>
            <w:r>
              <w:rPr>
                <w:bCs/>
                <w:sz w:val="20"/>
                <w:szCs w:val="20"/>
              </w:rPr>
            </w:r>
          </w:p>
        </w:tc>
        <w:tc>
          <w:tcPr>
            <w:tcBorders>
              <w:left w:val="single" w:color="000000" w:sz="4" w:space="0"/>
              <w:right w:val="single" w:color="000000" w:sz="4" w:space="0"/>
            </w:tcBorders>
            <w:tcW w:w="3544" w:type="dxa"/>
            <w:vAlign w:val="top"/>
            <w:vMerge w:val="continue"/>
            <w:textDirection w:val="lrTb"/>
            <w:noWrap w:val="false"/>
          </w:tcPr>
          <w:p>
            <w:pPr>
              <w:pStyle w:val="1135"/>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35"/>
              <w:jc w:val="center"/>
              <w:rPr>
                <w:bCs/>
                <w:sz w:val="20"/>
                <w:szCs w:val="20"/>
              </w:rPr>
            </w:pPr>
            <w:r>
              <w:rPr>
                <w:bCs/>
                <w:sz w:val="20"/>
                <w:szCs w:val="20"/>
              </w:rPr>
              <w:t xml:space="preserve">2.9.4.</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35"/>
              <w:rPr>
                <w:bCs/>
                <w:sz w:val="20"/>
                <w:szCs w:val="20"/>
              </w:rPr>
            </w:pPr>
            <w:r>
              <w:rPr>
                <w:bCs/>
                <w:sz w:val="20"/>
                <w:szCs w:val="20"/>
              </w:rPr>
              <w:t xml:space="preserve">Размен монет Банка России на монету Банка России другого достоинства</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35"/>
              <w:jc w:val="center"/>
              <w:rPr>
                <w:bCs/>
                <w:sz w:val="20"/>
                <w:szCs w:val="20"/>
              </w:rPr>
            </w:pPr>
            <w:r>
              <w:rPr>
                <w:bCs/>
                <w:sz w:val="20"/>
                <w:szCs w:val="20"/>
              </w:rPr>
              <w:t xml:space="preserve">4% от суммы, но не менее 250 руб.</w:t>
            </w:r>
            <w:r>
              <w:rPr>
                <w:bCs/>
                <w:sz w:val="20"/>
                <w:szCs w:val="20"/>
              </w:rPr>
            </w:r>
            <w:r>
              <w:rPr>
                <w:bCs/>
                <w:sz w:val="20"/>
                <w:szCs w:val="20"/>
              </w:rPr>
            </w:r>
          </w:p>
        </w:tc>
        <w:tc>
          <w:tcPr>
            <w:tcBorders>
              <w:left w:val="single" w:color="000000" w:sz="4" w:space="0"/>
              <w:bottom w:val="single" w:color="000000" w:sz="4" w:space="0"/>
              <w:right w:val="single" w:color="000000" w:sz="4" w:space="0"/>
            </w:tcBorders>
            <w:tcW w:w="3544" w:type="dxa"/>
            <w:vAlign w:val="top"/>
            <w:vMerge w:val="continue"/>
            <w:textDirection w:val="lrTb"/>
            <w:noWrap w:val="false"/>
          </w:tcPr>
          <w:p>
            <w:pPr>
              <w:pStyle w:val="1135"/>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35"/>
              <w:jc w:val="center"/>
              <w:spacing w:before="40" w:after="40"/>
              <w:rPr>
                <w:bCs/>
                <w:sz w:val="20"/>
                <w:szCs w:val="20"/>
              </w:rPr>
            </w:pPr>
            <w:r>
              <w:rPr>
                <w:bCs/>
                <w:sz w:val="20"/>
                <w:szCs w:val="20"/>
              </w:rPr>
              <w:t xml:space="preserve">2.10.</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35"/>
              <w:spacing w:before="40" w:after="40"/>
              <w:rPr>
                <w:bCs/>
                <w:sz w:val="20"/>
                <w:szCs w:val="20"/>
              </w:rPr>
            </w:pPr>
            <w:r>
              <w:rPr>
                <w:bCs/>
                <w:sz w:val="20"/>
                <w:szCs w:val="20"/>
              </w:rPr>
              <w:t xml:space="preserve">Обеспечение клиента Банка разменной монетой на постоянной основе</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35"/>
              <w:jc w:val="center"/>
              <w:spacing w:before="40"/>
              <w:rPr>
                <w:bCs/>
                <w:sz w:val="20"/>
                <w:szCs w:val="20"/>
              </w:rPr>
            </w:pPr>
            <w:r>
              <w:rPr>
                <w:bCs/>
                <w:sz w:val="20"/>
                <w:szCs w:val="20"/>
              </w:rPr>
              <w:t xml:space="preserve">0,5% от суммы,</w:t>
            </w:r>
            <w:r>
              <w:rPr>
                <w:bCs/>
                <w:sz w:val="20"/>
                <w:szCs w:val="20"/>
              </w:rPr>
            </w:r>
            <w:r>
              <w:rPr>
                <w:bCs/>
                <w:sz w:val="20"/>
                <w:szCs w:val="20"/>
              </w:rPr>
            </w:r>
          </w:p>
          <w:p>
            <w:pPr>
              <w:pStyle w:val="1135"/>
              <w:jc w:val="center"/>
              <w:spacing w:before="40"/>
              <w:rPr>
                <w:bCs/>
                <w:sz w:val="20"/>
                <w:szCs w:val="20"/>
              </w:rPr>
            </w:pPr>
            <w:r>
              <w:rPr>
                <w:bCs/>
                <w:sz w:val="20"/>
                <w:szCs w:val="20"/>
              </w:rPr>
              <w:t xml:space="preserve">минимум 50 руб.</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35"/>
              <w:jc w:val="both"/>
              <w:spacing w:before="40" w:after="40"/>
              <w:rPr>
                <w:bCs/>
                <w:sz w:val="20"/>
                <w:szCs w:val="20"/>
              </w:rPr>
            </w:pPr>
            <w:r>
              <w:rPr>
                <w:bCs/>
                <w:sz w:val="20"/>
                <w:szCs w:val="20"/>
              </w:rPr>
              <w:t xml:space="preserve">По письменной предварительной заявке** за 3 рабочих дня до получения разменной монеты</w:t>
            </w:r>
            <w:r>
              <w:rPr>
                <w:bCs/>
                <w:sz w:val="20"/>
                <w:szCs w:val="20"/>
              </w:rPr>
            </w:r>
            <w:r>
              <w:rPr>
                <w:bCs/>
                <w:sz w:val="20"/>
                <w:szCs w:val="20"/>
              </w:rPr>
            </w:r>
          </w:p>
          <w:p>
            <w:pPr>
              <w:pStyle w:val="1135"/>
              <w:jc w:val="both"/>
              <w:spacing w:before="40" w:after="40"/>
              <w:rPr>
                <w:bCs/>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35"/>
              <w:jc w:val="center"/>
              <w:spacing w:before="40" w:after="40"/>
              <w:rPr>
                <w:bCs/>
                <w:sz w:val="20"/>
                <w:szCs w:val="20"/>
              </w:rPr>
            </w:pPr>
            <w:r>
              <w:rPr>
                <w:bCs/>
                <w:sz w:val="20"/>
                <w:szCs w:val="20"/>
              </w:rPr>
              <w:t xml:space="preserve">2.11.</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35"/>
              <w:spacing w:before="40" w:after="40"/>
              <w:rPr>
                <w:bCs/>
                <w:sz w:val="20"/>
                <w:szCs w:val="20"/>
              </w:rPr>
            </w:pPr>
            <w:r>
              <w:rPr>
                <w:bCs/>
                <w:sz w:val="20"/>
                <w:szCs w:val="20"/>
              </w:rPr>
              <w:t xml:space="preserve">Выдача денежной наличности в иностранной валюте</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35"/>
              <w:jc w:val="center"/>
              <w:spacing w:before="40"/>
              <w:rPr>
                <w:bCs/>
                <w:sz w:val="20"/>
                <w:szCs w:val="20"/>
              </w:rPr>
            </w:pPr>
            <w:r>
              <w:rPr>
                <w:bCs/>
                <w:sz w:val="20"/>
                <w:szCs w:val="20"/>
              </w:rPr>
              <w:t xml:space="preserve">2,5% от суммы,</w:t>
            </w:r>
            <w:r>
              <w:rPr>
                <w:bCs/>
                <w:sz w:val="20"/>
                <w:szCs w:val="20"/>
              </w:rPr>
            </w:r>
            <w:r>
              <w:rPr>
                <w:bCs/>
                <w:sz w:val="20"/>
                <w:szCs w:val="20"/>
              </w:rPr>
            </w:r>
          </w:p>
          <w:p>
            <w:pPr>
              <w:pStyle w:val="1135"/>
              <w:jc w:val="center"/>
              <w:spacing w:before="40"/>
              <w:rPr>
                <w:bCs/>
                <w:sz w:val="20"/>
                <w:szCs w:val="20"/>
              </w:rPr>
            </w:pPr>
            <w:r>
              <w:rPr>
                <w:bCs/>
                <w:sz w:val="20"/>
                <w:szCs w:val="20"/>
              </w:rPr>
              <w:t xml:space="preserve">минимум 300 руб.</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35"/>
              <w:rPr>
                <w:bCs/>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35"/>
              <w:jc w:val="center"/>
              <w:spacing w:before="40" w:after="40"/>
              <w:rPr>
                <w:bCs/>
                <w:sz w:val="20"/>
                <w:szCs w:val="20"/>
              </w:rPr>
            </w:pPr>
            <w:r>
              <w:rPr>
                <w:bCs/>
                <w:sz w:val="20"/>
                <w:szCs w:val="20"/>
              </w:rPr>
              <w:t xml:space="preserve">2.12.</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35"/>
              <w:spacing w:before="40"/>
              <w:rPr>
                <w:bCs/>
                <w:sz w:val="20"/>
                <w:szCs w:val="20"/>
              </w:rPr>
            </w:pPr>
            <w:r>
              <w:rPr>
                <w:bCs/>
                <w:sz w:val="20"/>
                <w:szCs w:val="20"/>
              </w:rPr>
              <w:t xml:space="preserve">Прием наличной иностранной валюты (за исключением монет)</w:t>
            </w:r>
            <w:r>
              <w:rPr>
                <w:bCs/>
                <w:sz w:val="20"/>
                <w:szCs w:val="20"/>
              </w:rPr>
              <w:t xml:space="preserve">******</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35"/>
              <w:jc w:val="center"/>
              <w:spacing w:before="40"/>
              <w:rPr>
                <w:bCs/>
                <w:sz w:val="20"/>
                <w:szCs w:val="20"/>
              </w:rPr>
            </w:pPr>
            <w:r>
              <w:rPr>
                <w:bCs/>
                <w:sz w:val="20"/>
                <w:szCs w:val="20"/>
              </w:rPr>
              <w:t xml:space="preserve">3,5% от суммы,</w:t>
            </w:r>
            <w:r>
              <w:rPr>
                <w:bCs/>
                <w:sz w:val="20"/>
                <w:szCs w:val="20"/>
              </w:rPr>
            </w:r>
            <w:r>
              <w:rPr>
                <w:bCs/>
                <w:sz w:val="20"/>
                <w:szCs w:val="20"/>
              </w:rPr>
            </w:r>
          </w:p>
          <w:p>
            <w:pPr>
              <w:pStyle w:val="1135"/>
              <w:jc w:val="center"/>
              <w:spacing w:before="40"/>
              <w:rPr>
                <w:bCs/>
                <w:sz w:val="20"/>
                <w:szCs w:val="20"/>
              </w:rPr>
            </w:pPr>
            <w:r>
              <w:rPr>
                <w:bCs/>
                <w:sz w:val="20"/>
                <w:szCs w:val="20"/>
              </w:rPr>
              <w:t xml:space="preserve">минимум 200 руб.</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35"/>
              <w:rPr>
                <w:bCs/>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35"/>
              <w:jc w:val="center"/>
              <w:spacing w:before="40" w:after="40"/>
              <w:rPr>
                <w:bCs/>
                <w:sz w:val="20"/>
                <w:szCs w:val="20"/>
              </w:rPr>
            </w:pPr>
            <w:r>
              <w:rPr>
                <w:bCs/>
                <w:sz w:val="20"/>
                <w:szCs w:val="20"/>
              </w:rPr>
              <w:t xml:space="preserve">2.13.</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35"/>
              <w:spacing w:before="40"/>
              <w:rPr>
                <w:bCs/>
                <w:sz w:val="20"/>
                <w:szCs w:val="20"/>
              </w:rPr>
            </w:pPr>
            <w:r>
              <w:rPr>
                <w:bCs/>
                <w:sz w:val="20"/>
                <w:szCs w:val="20"/>
              </w:rPr>
              <w:t xml:space="preserve">Прием банкнот иностранного государства (группы иностранных государств), вызывающих сомнение в подлинности, для направления на экспертизу</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35"/>
              <w:jc w:val="center"/>
              <w:spacing w:before="40"/>
              <w:rPr>
                <w:bCs/>
                <w:sz w:val="20"/>
                <w:szCs w:val="20"/>
              </w:rPr>
            </w:pPr>
            <w:r>
              <w:rPr>
                <w:bCs/>
                <w:sz w:val="20"/>
                <w:szCs w:val="20"/>
              </w:rPr>
              <w:t xml:space="preserve">Бесплатно</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35"/>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35"/>
              <w:jc w:val="center"/>
              <w:spacing w:before="40" w:after="40"/>
              <w:rPr>
                <w:bCs/>
                <w:sz w:val="20"/>
                <w:szCs w:val="20"/>
              </w:rPr>
            </w:pPr>
            <w:r>
              <w:rPr>
                <w:sz w:val="20"/>
                <w:szCs w:val="20"/>
              </w:rPr>
              <w:t xml:space="preserve">2.14</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35"/>
              <w:spacing w:before="40"/>
              <w:rPr>
                <w:bCs/>
                <w:sz w:val="20"/>
                <w:szCs w:val="20"/>
              </w:rPr>
            </w:pPr>
            <w:r>
              <w:rPr>
                <w:sz w:val="20"/>
                <w:szCs w:val="20"/>
              </w:rPr>
              <w:t xml:space="preserve">Покупюрный подбор при выдаче наличных денежных средств со счета клиента</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35"/>
              <w:jc w:val="center"/>
              <w:spacing w:before="40"/>
              <w:rPr>
                <w:bCs/>
                <w:sz w:val="20"/>
                <w:szCs w:val="20"/>
              </w:rPr>
            </w:pPr>
            <w:r>
              <w:rPr>
                <w:sz w:val="20"/>
                <w:szCs w:val="20"/>
              </w:rPr>
              <w:t xml:space="preserve">0,3% от суммы выдачи</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35"/>
              <w:jc w:val="both"/>
              <w:rPr>
                <w:sz w:val="20"/>
                <w:szCs w:val="20"/>
                <w:lang w:eastAsia="en-US"/>
              </w:rPr>
            </w:pPr>
            <w:r>
              <w:rPr>
                <w:sz w:val="20"/>
                <w:szCs w:val="20"/>
                <w:lang w:eastAsia="en-US"/>
              </w:rPr>
              <w:t xml:space="preserve">Комиссионное вознаграждение взимается Банком в день получения наличных денежных средств, дополнительно к комиссии, указанной в п.п. 2.2.1-2.2.3 Тарифов.</w:t>
            </w:r>
            <w:r>
              <w:rPr>
                <w:sz w:val="20"/>
                <w:szCs w:val="20"/>
                <w:lang w:eastAsia="en-US"/>
              </w:rPr>
            </w:r>
            <w:r>
              <w:rPr>
                <w:sz w:val="20"/>
                <w:szCs w:val="20"/>
                <w:lang w:eastAsia="en-US"/>
              </w:rPr>
            </w:r>
          </w:p>
          <w:p>
            <w:pPr>
              <w:pStyle w:val="1135"/>
              <w:jc w:val="both"/>
              <w:rPr>
                <w:bCs/>
                <w:sz w:val="20"/>
                <w:szCs w:val="20"/>
              </w:rPr>
            </w:pPr>
            <w:r>
              <w:rPr>
                <w:sz w:val="20"/>
                <w:szCs w:val="20"/>
                <w:lang w:eastAsia="en-US"/>
              </w:rPr>
              <w:t xml:space="preserve">Услуга оказывается только для предварительно заказанных сумм.</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35"/>
              <w:jc w:val="center"/>
              <w:spacing w:before="40" w:after="40"/>
              <w:rPr>
                <w:bCs/>
                <w:sz w:val="20"/>
                <w:szCs w:val="20"/>
              </w:rPr>
            </w:pPr>
            <w:r>
              <w:rPr>
                <w:sz w:val="20"/>
                <w:szCs w:val="20"/>
              </w:rPr>
              <w:t xml:space="preserve">2.15</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35"/>
              <w:rPr>
                <w:bCs/>
                <w:sz w:val="20"/>
                <w:szCs w:val="20"/>
              </w:rPr>
            </w:pPr>
            <w:r>
              <w:rPr>
                <w:bCs/>
                <w:sz w:val="20"/>
                <w:szCs w:val="20"/>
              </w:rPr>
              <w:t xml:space="preserve">Подготовка денежных средств для выдачи по предварительной заявке (комиссия взимается в случае неполучения клиентом заказанных наличных денежных средств)</w:t>
            </w:r>
            <w:r>
              <w:rPr>
                <w:bCs/>
                <w:sz w:val="20"/>
                <w:szCs w:val="20"/>
              </w:rPr>
            </w:r>
            <w:r>
              <w:rPr>
                <w:bCs/>
                <w:sz w:val="20"/>
                <w:szCs w:val="20"/>
              </w:rPr>
            </w:r>
          </w:p>
          <w:p>
            <w:pPr>
              <w:pStyle w:val="1135"/>
              <w:spacing w:before="40"/>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35"/>
              <w:jc w:val="center"/>
              <w:spacing w:before="40"/>
              <w:rPr>
                <w:bCs/>
                <w:sz w:val="20"/>
                <w:szCs w:val="20"/>
              </w:rPr>
            </w:pPr>
            <w:r>
              <w:rPr>
                <w:sz w:val="20"/>
                <w:szCs w:val="20"/>
              </w:rPr>
              <w:t xml:space="preserve">300 руб.</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35"/>
              <w:jc w:val="both"/>
              <w:rPr>
                <w:bCs/>
                <w:sz w:val="20"/>
                <w:szCs w:val="20"/>
              </w:rPr>
            </w:pPr>
            <w:r>
              <w:rPr>
                <w:sz w:val="20"/>
                <w:szCs w:val="20"/>
                <w:lang w:eastAsia="en-US"/>
              </w:rPr>
              <w:t xml:space="preserve">Комиссионное вознаграждение взимается в день, на который была оформлена предварительная заявка, в случае неполучения предварительно заказан</w:t>
            </w:r>
            <w:r>
              <w:rPr>
                <w:sz w:val="20"/>
                <w:szCs w:val="20"/>
                <w:lang w:eastAsia="en-US"/>
              </w:rPr>
              <w:t xml:space="preserve">ных наличных денежных средств.</w:t>
            </w:r>
            <w:r>
              <w:rPr>
                <w:bCs/>
                <w:sz w:val="20"/>
                <w:szCs w:val="20"/>
              </w:rPr>
            </w:r>
            <w:r>
              <w:rPr>
                <w:bCs/>
                <w:sz w:val="20"/>
                <w:szCs w:val="20"/>
              </w:rPr>
            </w:r>
          </w:p>
        </w:tc>
      </w:tr>
    </w:tbl>
    <w:p>
      <w:pPr>
        <w:pStyle w:val="1135"/>
        <w:rPr>
          <w:bCs/>
          <w:sz w:val="20"/>
          <w:szCs w:val="20"/>
          <w:u w:val="single"/>
        </w:rPr>
      </w:pPr>
      <w:r>
        <w:rPr>
          <w:bCs/>
          <w:sz w:val="20"/>
          <w:szCs w:val="20"/>
          <w:u w:val="single"/>
        </w:rPr>
      </w:r>
      <w:r>
        <w:rPr>
          <w:bCs/>
          <w:sz w:val="20"/>
          <w:szCs w:val="20"/>
          <w:u w:val="single"/>
        </w:rPr>
      </w:r>
      <w:r>
        <w:rPr>
          <w:bCs/>
          <w:sz w:val="20"/>
          <w:szCs w:val="20"/>
          <w:u w:val="single"/>
        </w:rPr>
      </w:r>
    </w:p>
    <w:p>
      <w:pPr>
        <w:pStyle w:val="1135"/>
        <w:rPr>
          <w:bCs/>
          <w:sz w:val="20"/>
          <w:szCs w:val="20"/>
        </w:rPr>
      </w:pPr>
      <w:r>
        <w:rPr>
          <w:bCs/>
          <w:sz w:val="20"/>
          <w:szCs w:val="20"/>
          <w:u w:val="single"/>
        </w:rPr>
        <w:t xml:space="preserve">Примечание</w:t>
      </w:r>
      <w:r>
        <w:rPr>
          <w:bCs/>
          <w:sz w:val="20"/>
          <w:szCs w:val="20"/>
        </w:rPr>
        <w:t xml:space="preserve">:</w:t>
      </w:r>
      <w:r>
        <w:rPr>
          <w:bCs/>
          <w:sz w:val="20"/>
          <w:szCs w:val="20"/>
        </w:rPr>
      </w:r>
      <w:r>
        <w:rPr>
          <w:bCs/>
          <w:sz w:val="20"/>
          <w:szCs w:val="20"/>
        </w:rPr>
      </w:r>
    </w:p>
    <w:p>
      <w:pPr>
        <w:pStyle w:val="1135"/>
        <w:jc w:val="both"/>
        <w:spacing w:before="40"/>
        <w:tabs>
          <w:tab w:val="left" w:pos="426" w:leader="none"/>
        </w:tabs>
        <w:rPr>
          <w:bCs/>
          <w:sz w:val="20"/>
          <w:szCs w:val="20"/>
        </w:rPr>
      </w:pPr>
      <w:r>
        <w:rPr>
          <w:bCs/>
          <w:sz w:val="20"/>
          <w:szCs w:val="20"/>
        </w:rPr>
        <w:t xml:space="preserve">Операции по обслуживанию бюдж</w:t>
      </w:r>
      <w:r>
        <w:rPr>
          <w:bCs/>
          <w:sz w:val="20"/>
          <w:szCs w:val="20"/>
        </w:rPr>
        <w:t xml:space="preserve">етных счетов (счета, открываемые на балансовых позициях 401-404), счетов, открытых бюджетным учреждениям/казенным учреждениям/ автономным учреждениям, отдельных счетов головного исполнителя, исполнителя государственного оборонного заказа, депозитных счетов</w:t>
      </w:r>
      <w:r>
        <w:rPr>
          <w:bCs/>
          <w:sz w:val="20"/>
          <w:szCs w:val="20"/>
        </w:rPr>
        <w:t xml:space="preserve"> нотариусов, публичных депозитных счетов, счетов эскроу для расчетов по договору участия в долевом строительстве осуществляются без взимания Банком комиссии. Применяется при предоставлении услуг, указанных в разделе 2 «Кассовые операции» настоящих тарифов.</w:t>
      </w:r>
      <w:r>
        <w:rPr>
          <w:bCs/>
          <w:sz w:val="20"/>
          <w:szCs w:val="20"/>
        </w:rPr>
      </w:r>
      <w:r>
        <w:rPr>
          <w:bCs/>
          <w:sz w:val="20"/>
          <w:szCs w:val="20"/>
        </w:rPr>
      </w:r>
    </w:p>
    <w:p>
      <w:pPr>
        <w:pStyle w:val="1135"/>
        <w:jc w:val="both"/>
        <w:tabs>
          <w:tab w:val="left" w:pos="426" w:leader="none"/>
          <w:tab w:val="left" w:pos="1080" w:leader="none"/>
        </w:tabs>
        <w:rPr>
          <w:bCs/>
          <w:sz w:val="20"/>
          <w:szCs w:val="20"/>
        </w:rPr>
      </w:pPr>
      <w:r>
        <w:rPr>
          <w:bCs/>
          <w:sz w:val="20"/>
          <w:szCs w:val="20"/>
        </w:rPr>
        <w:t xml:space="preserve">*) Плата за услуги Банка взимается в момент совершения операции, если конкретным пунктом Тарифов не предусмотрено иное.</w:t>
      </w:r>
      <w:r>
        <w:rPr>
          <w:bCs/>
          <w:sz w:val="20"/>
          <w:szCs w:val="20"/>
        </w:rPr>
      </w:r>
      <w:r>
        <w:rPr>
          <w:bCs/>
          <w:sz w:val="20"/>
          <w:szCs w:val="20"/>
        </w:rPr>
      </w:r>
    </w:p>
    <w:p>
      <w:pPr>
        <w:pStyle w:val="1135"/>
        <w:jc w:val="both"/>
        <w:tabs>
          <w:tab w:val="left" w:pos="426" w:leader="none"/>
          <w:tab w:val="left" w:pos="1080" w:leader="none"/>
        </w:tabs>
        <w:rPr>
          <w:bCs/>
          <w:sz w:val="20"/>
          <w:szCs w:val="20"/>
        </w:rPr>
      </w:pPr>
      <w:r>
        <w:rPr>
          <w:bCs/>
          <w:sz w:val="20"/>
          <w:szCs w:val="20"/>
        </w:rPr>
        <w:t xml:space="preserve">**) </w:t>
      </w:r>
      <w:r>
        <w:rPr>
          <w:sz w:val="20"/>
          <w:szCs w:val="20"/>
        </w:rPr>
        <w:t xml:space="preserve">Предварительная заявка клиента – это письменное заявление клиента о намерении получить денежную наличность со своего банковского</w:t>
      </w:r>
      <w:r>
        <w:rPr>
          <w:sz w:val="20"/>
          <w:szCs w:val="20"/>
        </w:rPr>
        <w:t xml:space="preserve"> счета, представленное в подразделение Банка накануне дня планируемого получения клиентом денежной наличности, либо заявка в виде формализованного электронного документа на получение денежной наличности,  направленная в Банк с использованием информационной</w:t>
      </w:r>
      <w:r>
        <w:rPr>
          <w:sz w:val="20"/>
          <w:szCs w:val="20"/>
        </w:rPr>
        <w:t xml:space="preserve"> системы «Цифровой канал обслуживания юридических лиц «Свой бизнес» в соответствии с Приложением 4 к Условиям открытия банковских счетов и расчетно-кассового обслуживания клиента в АО «Россельхозбанк», если конкретным пунктом Тарифов не предусмотрено иное.</w:t>
      </w:r>
      <w:r>
        <w:rPr>
          <w:bCs/>
          <w:sz w:val="20"/>
          <w:szCs w:val="20"/>
        </w:rPr>
      </w:r>
      <w:r>
        <w:rPr>
          <w:bCs/>
          <w:sz w:val="20"/>
          <w:szCs w:val="20"/>
        </w:rPr>
      </w:r>
    </w:p>
    <w:p>
      <w:pPr>
        <w:pStyle w:val="1135"/>
        <w:jc w:val="both"/>
        <w:tabs>
          <w:tab w:val="left" w:pos="426" w:leader="none"/>
          <w:tab w:val="left" w:pos="1080" w:leader="none"/>
        </w:tabs>
      </w:pPr>
      <w:r>
        <w:rPr>
          <w:bCs/>
          <w:sz w:val="20"/>
          <w:szCs w:val="20"/>
        </w:rPr>
        <w:t xml:space="preserve">***) </w:t>
      </w:r>
      <w:r>
        <w:rPr>
          <w:sz w:val="20"/>
          <w:szCs w:val="20"/>
        </w:rPr>
        <w:t xml:space="preserve">Под подразделением Банка понимается региональный филиал, включая его дополнительные офисы, либо головной офис Банка, включая его внутренние структурные подразделения.</w:t>
      </w:r>
      <w:r/>
    </w:p>
    <w:p>
      <w:pPr>
        <w:pStyle w:val="1135"/>
        <w:jc w:val="both"/>
        <w:tabs>
          <w:tab w:val="left" w:pos="426" w:leader="none"/>
          <w:tab w:val="left" w:pos="1080" w:leader="none"/>
        </w:tabs>
        <w:rPr>
          <w:sz w:val="20"/>
          <w:szCs w:val="20"/>
        </w:rPr>
      </w:pPr>
      <w:r>
        <w:rPr>
          <w:sz w:val="20"/>
          <w:szCs w:val="20"/>
        </w:rPr>
        <w:t xml:space="preserve">****) Принадлежность Клиента к агропромышленному комплексу (АПК) определяется по видам экономической деятельности, связанным с АПК, в соответствии со следующими основными кодами ОКВЭД (Общероссийский классификатор видов экономической деятельности):</w:t>
      </w:r>
      <w:r>
        <w:rPr>
          <w:sz w:val="20"/>
          <w:szCs w:val="20"/>
        </w:rPr>
      </w:r>
      <w:r>
        <w:rPr>
          <w:sz w:val="20"/>
          <w:szCs w:val="20"/>
        </w:rPr>
      </w:r>
    </w:p>
    <w:p>
      <w:pPr>
        <w:pStyle w:val="1135"/>
        <w:jc w:val="both"/>
        <w:tabs>
          <w:tab w:val="left" w:pos="1134" w:leader="none"/>
        </w:tabs>
        <w:rPr>
          <w:sz w:val="20"/>
          <w:szCs w:val="20"/>
        </w:rPr>
      </w:pPr>
      <w:r>
        <w:rPr>
          <w:sz w:val="20"/>
          <w:szCs w:val="20"/>
        </w:rPr>
        <w:t xml:space="preserve">01 - Растениеводство и животноводство, охота и предоставление соответствующих услуг в этих областях (включая все подклассы, группы, подгруппы, виды).</w:t>
      </w:r>
      <w:r>
        <w:rPr>
          <w:sz w:val="20"/>
          <w:szCs w:val="20"/>
        </w:rPr>
      </w:r>
      <w:r>
        <w:rPr>
          <w:sz w:val="20"/>
          <w:szCs w:val="20"/>
        </w:rPr>
      </w:r>
    </w:p>
    <w:p>
      <w:pPr>
        <w:pStyle w:val="1135"/>
        <w:jc w:val="both"/>
        <w:tabs>
          <w:tab w:val="left" w:pos="1134" w:leader="none"/>
        </w:tabs>
        <w:rPr>
          <w:sz w:val="20"/>
          <w:szCs w:val="20"/>
        </w:rPr>
      </w:pPr>
      <w:r>
        <w:rPr>
          <w:sz w:val="20"/>
          <w:szCs w:val="20"/>
        </w:rPr>
        <w:t xml:space="preserve">10 - Производство пищевых продуктов (включая все подклассы, группы, подгруппы, виды).</w:t>
      </w:r>
      <w:r>
        <w:rPr>
          <w:sz w:val="20"/>
          <w:szCs w:val="20"/>
        </w:rPr>
      </w:r>
      <w:r>
        <w:rPr>
          <w:sz w:val="20"/>
          <w:szCs w:val="20"/>
        </w:rPr>
      </w:r>
    </w:p>
    <w:p>
      <w:pPr>
        <w:pStyle w:val="1135"/>
        <w:jc w:val="both"/>
        <w:tabs>
          <w:tab w:val="left" w:pos="1134" w:leader="none"/>
        </w:tabs>
        <w:rPr>
          <w:sz w:val="20"/>
          <w:szCs w:val="20"/>
        </w:rPr>
      </w:pPr>
      <w:r>
        <w:rPr>
          <w:sz w:val="20"/>
          <w:szCs w:val="20"/>
        </w:rPr>
        <w:t xml:space="preserve">11 - Производство напитков (включая все подклассы, группы, подгруппы, виды).</w:t>
      </w:r>
      <w:r>
        <w:rPr>
          <w:sz w:val="20"/>
          <w:szCs w:val="20"/>
        </w:rPr>
      </w:r>
      <w:r>
        <w:rPr>
          <w:sz w:val="20"/>
          <w:szCs w:val="20"/>
        </w:rPr>
      </w:r>
    </w:p>
    <w:p>
      <w:pPr>
        <w:pStyle w:val="1135"/>
        <w:jc w:val="both"/>
        <w:tabs>
          <w:tab w:val="left" w:pos="1134" w:leader="none"/>
        </w:tabs>
        <w:rPr>
          <w:sz w:val="20"/>
          <w:szCs w:val="20"/>
        </w:rPr>
      </w:pPr>
      <w:r>
        <w:rPr>
          <w:sz w:val="20"/>
          <w:szCs w:val="20"/>
        </w:rPr>
        <w:t xml:space="preserve">12 - Производство табачных изделий (включая все подклассы, группы, подгруппы, виды).</w:t>
      </w:r>
      <w:r>
        <w:rPr>
          <w:sz w:val="20"/>
          <w:szCs w:val="20"/>
        </w:rPr>
      </w:r>
      <w:r>
        <w:rPr>
          <w:sz w:val="20"/>
          <w:szCs w:val="20"/>
        </w:rPr>
      </w:r>
    </w:p>
    <w:p>
      <w:pPr>
        <w:pStyle w:val="1135"/>
        <w:jc w:val="both"/>
        <w:tabs>
          <w:tab w:val="left" w:pos="1134" w:leader="none"/>
        </w:tabs>
        <w:rPr>
          <w:sz w:val="20"/>
          <w:szCs w:val="20"/>
        </w:rPr>
      </w:pPr>
      <w:r>
        <w:rPr>
          <w:sz w:val="20"/>
          <w:szCs w:val="20"/>
        </w:rPr>
        <w:t xml:space="preserve">46.2 - Торговля оптовая сельскохозяйственным сырьем и живыми животными.</w:t>
      </w:r>
      <w:r>
        <w:rPr>
          <w:sz w:val="20"/>
          <w:szCs w:val="20"/>
        </w:rPr>
      </w:r>
      <w:r>
        <w:rPr>
          <w:sz w:val="20"/>
          <w:szCs w:val="20"/>
        </w:rPr>
      </w:r>
    </w:p>
    <w:p>
      <w:pPr>
        <w:pStyle w:val="1135"/>
        <w:jc w:val="both"/>
        <w:tabs>
          <w:tab w:val="left" w:pos="1134" w:leader="none"/>
        </w:tabs>
        <w:rPr>
          <w:sz w:val="20"/>
          <w:szCs w:val="20"/>
        </w:rPr>
      </w:pPr>
      <w:r>
        <w:rPr>
          <w:sz w:val="20"/>
          <w:szCs w:val="20"/>
        </w:rPr>
        <w:t xml:space="preserve">46.21 - Торговля оптовая зерном, необработанным табаком, семенами и кормами для сельскохозяйственных животных.</w:t>
      </w:r>
      <w:r>
        <w:rPr>
          <w:sz w:val="20"/>
          <w:szCs w:val="20"/>
        </w:rPr>
      </w:r>
      <w:r>
        <w:rPr>
          <w:sz w:val="20"/>
          <w:szCs w:val="20"/>
        </w:rPr>
      </w:r>
    </w:p>
    <w:p>
      <w:pPr>
        <w:pStyle w:val="1135"/>
        <w:jc w:val="both"/>
        <w:tabs>
          <w:tab w:val="left" w:pos="1134" w:leader="none"/>
        </w:tabs>
        <w:rPr>
          <w:sz w:val="20"/>
          <w:szCs w:val="20"/>
        </w:rPr>
      </w:pPr>
      <w:r>
        <w:rPr>
          <w:sz w:val="20"/>
          <w:szCs w:val="20"/>
        </w:rPr>
        <w:t xml:space="preserve">46.21.1 - Торговля оптовая зерном, семенами и кормами для животных.</w:t>
      </w:r>
      <w:r>
        <w:rPr>
          <w:sz w:val="20"/>
          <w:szCs w:val="20"/>
        </w:rPr>
      </w:r>
      <w:r>
        <w:rPr>
          <w:sz w:val="20"/>
          <w:szCs w:val="20"/>
        </w:rPr>
      </w:r>
    </w:p>
    <w:p>
      <w:pPr>
        <w:pStyle w:val="1135"/>
        <w:jc w:val="both"/>
        <w:tabs>
          <w:tab w:val="left" w:pos="1134" w:leader="none"/>
        </w:tabs>
        <w:rPr>
          <w:sz w:val="20"/>
          <w:szCs w:val="20"/>
        </w:rPr>
      </w:pPr>
      <w:r>
        <w:rPr>
          <w:sz w:val="20"/>
          <w:szCs w:val="20"/>
        </w:rPr>
        <w:t xml:space="preserve">46.21.11 - Торговля оптовая зерном.</w:t>
      </w:r>
      <w:r>
        <w:rPr>
          <w:sz w:val="20"/>
          <w:szCs w:val="20"/>
        </w:rPr>
      </w:r>
      <w:r>
        <w:rPr>
          <w:sz w:val="20"/>
          <w:szCs w:val="20"/>
        </w:rPr>
      </w:r>
    </w:p>
    <w:p>
      <w:pPr>
        <w:pStyle w:val="1135"/>
        <w:jc w:val="both"/>
        <w:tabs>
          <w:tab w:val="left" w:pos="1134" w:leader="none"/>
        </w:tabs>
        <w:rPr>
          <w:sz w:val="20"/>
          <w:szCs w:val="20"/>
        </w:rPr>
      </w:pPr>
      <w:r>
        <w:rPr>
          <w:sz w:val="20"/>
          <w:szCs w:val="20"/>
        </w:rPr>
        <w:t xml:space="preserve">46.21.12 - Торговля оптовая семенами, кроме семян масличных культур.</w:t>
      </w:r>
      <w:r>
        <w:rPr>
          <w:sz w:val="20"/>
          <w:szCs w:val="20"/>
        </w:rPr>
      </w:r>
      <w:r>
        <w:rPr>
          <w:sz w:val="20"/>
          <w:szCs w:val="20"/>
        </w:rPr>
      </w:r>
    </w:p>
    <w:p>
      <w:pPr>
        <w:pStyle w:val="1135"/>
        <w:jc w:val="both"/>
        <w:tabs>
          <w:tab w:val="left" w:pos="1134" w:leader="none"/>
        </w:tabs>
        <w:rPr>
          <w:sz w:val="20"/>
          <w:szCs w:val="20"/>
        </w:rPr>
      </w:pPr>
      <w:r>
        <w:rPr>
          <w:sz w:val="20"/>
          <w:szCs w:val="20"/>
        </w:rPr>
        <w:t xml:space="preserve">46.21.13 - Торговля оптовая масличными семенами и маслосодержащими плодами.</w:t>
      </w:r>
      <w:r>
        <w:rPr>
          <w:sz w:val="20"/>
          <w:szCs w:val="20"/>
        </w:rPr>
      </w:r>
      <w:r>
        <w:rPr>
          <w:sz w:val="20"/>
          <w:szCs w:val="20"/>
        </w:rPr>
      </w:r>
    </w:p>
    <w:p>
      <w:pPr>
        <w:pStyle w:val="1135"/>
        <w:jc w:val="both"/>
        <w:tabs>
          <w:tab w:val="left" w:pos="1134" w:leader="none"/>
        </w:tabs>
        <w:rPr>
          <w:sz w:val="20"/>
          <w:szCs w:val="20"/>
        </w:rPr>
      </w:pPr>
      <w:r>
        <w:rPr>
          <w:sz w:val="20"/>
          <w:szCs w:val="20"/>
        </w:rPr>
        <w:t xml:space="preserve">46.21.14 - Торговля оптовая кормами для сельскохозяйственных животных.</w:t>
      </w:r>
      <w:r>
        <w:rPr>
          <w:sz w:val="20"/>
          <w:szCs w:val="20"/>
        </w:rPr>
      </w:r>
      <w:r>
        <w:rPr>
          <w:sz w:val="20"/>
          <w:szCs w:val="20"/>
        </w:rPr>
      </w:r>
    </w:p>
    <w:p>
      <w:pPr>
        <w:pStyle w:val="1135"/>
        <w:jc w:val="both"/>
        <w:tabs>
          <w:tab w:val="left" w:pos="1134" w:leader="none"/>
        </w:tabs>
        <w:rPr>
          <w:sz w:val="20"/>
          <w:szCs w:val="20"/>
        </w:rPr>
      </w:pPr>
      <w:r>
        <w:rPr>
          <w:sz w:val="20"/>
          <w:szCs w:val="20"/>
        </w:rPr>
        <w:t xml:space="preserve">46.21.19 - Торговля оптовая сельскохозяйственным сырьем, не включенным в другие группировки.</w:t>
      </w:r>
      <w:r>
        <w:rPr>
          <w:sz w:val="20"/>
          <w:szCs w:val="20"/>
        </w:rPr>
      </w:r>
      <w:r>
        <w:rPr>
          <w:sz w:val="20"/>
          <w:szCs w:val="20"/>
        </w:rPr>
      </w:r>
    </w:p>
    <w:p>
      <w:pPr>
        <w:pStyle w:val="1135"/>
        <w:jc w:val="both"/>
        <w:tabs>
          <w:tab w:val="left" w:pos="1134" w:leader="none"/>
        </w:tabs>
        <w:rPr>
          <w:sz w:val="20"/>
          <w:szCs w:val="20"/>
        </w:rPr>
      </w:pPr>
      <w:r>
        <w:rPr>
          <w:sz w:val="20"/>
          <w:szCs w:val="20"/>
        </w:rPr>
        <w:t xml:space="preserve">46.22 - Торговля оптовая цветами и растениями.</w:t>
      </w:r>
      <w:r>
        <w:rPr>
          <w:sz w:val="20"/>
          <w:szCs w:val="20"/>
        </w:rPr>
      </w:r>
      <w:r>
        <w:rPr>
          <w:sz w:val="20"/>
          <w:szCs w:val="20"/>
        </w:rPr>
      </w:r>
    </w:p>
    <w:p>
      <w:pPr>
        <w:pStyle w:val="1135"/>
        <w:jc w:val="both"/>
        <w:tabs>
          <w:tab w:val="left" w:pos="1134" w:leader="none"/>
        </w:tabs>
        <w:rPr>
          <w:sz w:val="20"/>
          <w:szCs w:val="20"/>
        </w:rPr>
      </w:pPr>
      <w:r>
        <w:rPr>
          <w:sz w:val="20"/>
          <w:szCs w:val="20"/>
        </w:rPr>
        <w:t xml:space="preserve">46.23 - Торговля оптовая живыми животными.</w:t>
      </w:r>
      <w:r>
        <w:rPr>
          <w:sz w:val="20"/>
          <w:szCs w:val="20"/>
        </w:rPr>
      </w:r>
      <w:r>
        <w:rPr>
          <w:sz w:val="20"/>
          <w:szCs w:val="20"/>
        </w:rPr>
      </w:r>
    </w:p>
    <w:p>
      <w:pPr>
        <w:pStyle w:val="1135"/>
        <w:jc w:val="both"/>
        <w:tabs>
          <w:tab w:val="left" w:pos="1134" w:leader="none"/>
        </w:tabs>
        <w:rPr>
          <w:sz w:val="20"/>
          <w:szCs w:val="20"/>
        </w:rPr>
      </w:pPr>
      <w:r>
        <w:rPr>
          <w:sz w:val="20"/>
          <w:szCs w:val="20"/>
        </w:rPr>
        <w:t xml:space="preserve">46.31 - Торговля оптовая фруктами и овощами.</w:t>
      </w:r>
      <w:r>
        <w:rPr>
          <w:sz w:val="20"/>
          <w:szCs w:val="20"/>
        </w:rPr>
      </w:r>
      <w:r>
        <w:rPr>
          <w:sz w:val="20"/>
          <w:szCs w:val="20"/>
        </w:rPr>
      </w:r>
    </w:p>
    <w:p>
      <w:pPr>
        <w:pStyle w:val="1135"/>
        <w:jc w:val="both"/>
        <w:tabs>
          <w:tab w:val="left" w:pos="1134" w:leader="none"/>
        </w:tabs>
        <w:rPr>
          <w:sz w:val="20"/>
          <w:szCs w:val="20"/>
        </w:rPr>
      </w:pPr>
      <w:r>
        <w:rPr>
          <w:sz w:val="20"/>
          <w:szCs w:val="20"/>
        </w:rPr>
        <w:t xml:space="preserve">46.31.1 - Торговля оптовая свежими овощами, фруктами и орехами.</w:t>
      </w:r>
      <w:r>
        <w:rPr>
          <w:sz w:val="20"/>
          <w:szCs w:val="20"/>
        </w:rPr>
      </w:r>
      <w:r>
        <w:rPr>
          <w:sz w:val="20"/>
          <w:szCs w:val="20"/>
        </w:rPr>
      </w:r>
    </w:p>
    <w:p>
      <w:pPr>
        <w:pStyle w:val="1135"/>
        <w:jc w:val="both"/>
        <w:tabs>
          <w:tab w:val="left" w:pos="1134" w:leader="none"/>
        </w:tabs>
        <w:rPr>
          <w:sz w:val="20"/>
          <w:szCs w:val="20"/>
        </w:rPr>
      </w:pPr>
      <w:r>
        <w:rPr>
          <w:sz w:val="20"/>
          <w:szCs w:val="20"/>
        </w:rPr>
        <w:t xml:space="preserve">46.31.11 - Торговля оптовая свежим картофелем.</w:t>
      </w:r>
      <w:r>
        <w:rPr>
          <w:sz w:val="20"/>
          <w:szCs w:val="20"/>
        </w:rPr>
      </w:r>
      <w:r>
        <w:rPr>
          <w:sz w:val="20"/>
          <w:szCs w:val="20"/>
        </w:rPr>
      </w:r>
    </w:p>
    <w:p>
      <w:pPr>
        <w:pStyle w:val="1135"/>
        <w:jc w:val="both"/>
        <w:tabs>
          <w:tab w:val="left" w:pos="1134" w:leader="none"/>
        </w:tabs>
        <w:rPr>
          <w:sz w:val="20"/>
          <w:szCs w:val="20"/>
        </w:rPr>
      </w:pPr>
      <w:r>
        <w:rPr>
          <w:sz w:val="20"/>
          <w:szCs w:val="20"/>
        </w:rPr>
        <w:t xml:space="preserve">46.31.12 - Торговля оптовая прочими свежими овощами.</w:t>
      </w:r>
      <w:r>
        <w:rPr>
          <w:sz w:val="20"/>
          <w:szCs w:val="20"/>
        </w:rPr>
      </w:r>
      <w:r>
        <w:rPr>
          <w:sz w:val="20"/>
          <w:szCs w:val="20"/>
        </w:rPr>
      </w:r>
    </w:p>
    <w:p>
      <w:pPr>
        <w:pStyle w:val="1135"/>
        <w:jc w:val="both"/>
        <w:tabs>
          <w:tab w:val="left" w:pos="1134" w:leader="none"/>
        </w:tabs>
        <w:rPr>
          <w:sz w:val="20"/>
          <w:szCs w:val="20"/>
        </w:rPr>
      </w:pPr>
      <w:r>
        <w:rPr>
          <w:sz w:val="20"/>
          <w:szCs w:val="20"/>
        </w:rPr>
        <w:t xml:space="preserve">46.31.13 - Торговля оптовая свежими фруктами и орехами.</w:t>
      </w:r>
      <w:r>
        <w:rPr>
          <w:sz w:val="20"/>
          <w:szCs w:val="20"/>
        </w:rPr>
      </w:r>
      <w:r>
        <w:rPr>
          <w:sz w:val="20"/>
          <w:szCs w:val="20"/>
        </w:rPr>
      </w:r>
    </w:p>
    <w:p>
      <w:pPr>
        <w:pStyle w:val="1135"/>
        <w:jc w:val="both"/>
        <w:tabs>
          <w:tab w:val="left" w:pos="1134" w:leader="none"/>
        </w:tabs>
        <w:rPr>
          <w:sz w:val="20"/>
          <w:szCs w:val="20"/>
        </w:rPr>
      </w:pPr>
      <w:r>
        <w:rPr>
          <w:sz w:val="20"/>
          <w:szCs w:val="20"/>
        </w:rPr>
        <w:t xml:space="preserve">46.32 - Торговля оптовая мясом и мясными продуктами.</w:t>
      </w:r>
      <w:r>
        <w:rPr>
          <w:sz w:val="20"/>
          <w:szCs w:val="20"/>
        </w:rPr>
      </w:r>
      <w:r>
        <w:rPr>
          <w:sz w:val="20"/>
          <w:szCs w:val="20"/>
        </w:rPr>
      </w:r>
    </w:p>
    <w:p>
      <w:pPr>
        <w:pStyle w:val="1135"/>
        <w:jc w:val="both"/>
        <w:tabs>
          <w:tab w:val="left" w:pos="1134" w:leader="none"/>
        </w:tabs>
        <w:rPr>
          <w:sz w:val="20"/>
          <w:szCs w:val="20"/>
        </w:rPr>
      </w:pPr>
      <w:r>
        <w:rPr>
          <w:sz w:val="20"/>
          <w:szCs w:val="20"/>
        </w:rPr>
        <w:t xml:space="preserve">46.32.1 - Торговля оптовая мясом и мясом птицы, включая субпродукты.</w:t>
      </w:r>
      <w:r>
        <w:rPr>
          <w:sz w:val="20"/>
          <w:szCs w:val="20"/>
        </w:rPr>
      </w:r>
      <w:r>
        <w:rPr>
          <w:sz w:val="20"/>
          <w:szCs w:val="20"/>
        </w:rPr>
      </w:r>
    </w:p>
    <w:p>
      <w:pPr>
        <w:pStyle w:val="1135"/>
        <w:jc w:val="both"/>
        <w:tabs>
          <w:tab w:val="left" w:pos="1134" w:leader="none"/>
        </w:tabs>
        <w:rPr>
          <w:sz w:val="20"/>
          <w:szCs w:val="20"/>
        </w:rPr>
      </w:pPr>
      <w:r>
        <w:rPr>
          <w:sz w:val="20"/>
          <w:szCs w:val="20"/>
        </w:rPr>
        <w:t xml:space="preserve">46.32.2 - Торговля оптовая продуктами из мяса и мяса птицы.</w:t>
      </w:r>
      <w:r>
        <w:rPr>
          <w:sz w:val="20"/>
          <w:szCs w:val="20"/>
        </w:rPr>
      </w:r>
      <w:r>
        <w:rPr>
          <w:sz w:val="20"/>
          <w:szCs w:val="20"/>
        </w:rPr>
      </w:r>
    </w:p>
    <w:p>
      <w:pPr>
        <w:pStyle w:val="1135"/>
        <w:jc w:val="both"/>
        <w:tabs>
          <w:tab w:val="left" w:pos="1134" w:leader="none"/>
        </w:tabs>
        <w:rPr>
          <w:sz w:val="20"/>
          <w:szCs w:val="20"/>
        </w:rPr>
      </w:pPr>
      <w:r>
        <w:rPr>
          <w:sz w:val="20"/>
          <w:szCs w:val="20"/>
        </w:rPr>
        <w:t xml:space="preserve">46.32.3 - Торговля оптовая консервами из мяса и мяса птицы.</w:t>
      </w:r>
      <w:r>
        <w:rPr>
          <w:sz w:val="20"/>
          <w:szCs w:val="20"/>
        </w:rPr>
      </w:r>
      <w:r>
        <w:rPr>
          <w:sz w:val="20"/>
          <w:szCs w:val="20"/>
        </w:rPr>
      </w:r>
    </w:p>
    <w:p>
      <w:pPr>
        <w:pStyle w:val="1135"/>
        <w:jc w:val="both"/>
        <w:tabs>
          <w:tab w:val="left" w:pos="1134" w:leader="none"/>
        </w:tabs>
        <w:rPr>
          <w:sz w:val="20"/>
          <w:szCs w:val="20"/>
        </w:rPr>
      </w:pPr>
      <w:r>
        <w:rPr>
          <w:sz w:val="20"/>
          <w:szCs w:val="20"/>
        </w:rPr>
        <w:t xml:space="preserve">46.33 - Торговля оптовая молочными продуктами, яйцами и пищевыми маслами и жирами.</w:t>
      </w:r>
      <w:r>
        <w:rPr>
          <w:sz w:val="20"/>
          <w:szCs w:val="20"/>
        </w:rPr>
      </w:r>
      <w:r>
        <w:rPr>
          <w:sz w:val="20"/>
          <w:szCs w:val="20"/>
        </w:rPr>
      </w:r>
    </w:p>
    <w:p>
      <w:pPr>
        <w:pStyle w:val="1135"/>
        <w:jc w:val="both"/>
        <w:tabs>
          <w:tab w:val="left" w:pos="1134" w:leader="none"/>
        </w:tabs>
        <w:rPr>
          <w:sz w:val="20"/>
          <w:szCs w:val="20"/>
        </w:rPr>
      </w:pPr>
      <w:r>
        <w:rPr>
          <w:sz w:val="20"/>
          <w:szCs w:val="20"/>
        </w:rPr>
        <w:t xml:space="preserve">46.33.1 - Торговля оптовая молочными продуктами.</w:t>
      </w:r>
      <w:r>
        <w:rPr>
          <w:sz w:val="20"/>
          <w:szCs w:val="20"/>
        </w:rPr>
      </w:r>
      <w:r>
        <w:rPr>
          <w:sz w:val="20"/>
          <w:szCs w:val="20"/>
        </w:rPr>
      </w:r>
    </w:p>
    <w:p>
      <w:pPr>
        <w:pStyle w:val="1135"/>
        <w:jc w:val="both"/>
        <w:tabs>
          <w:tab w:val="left" w:pos="1134" w:leader="none"/>
        </w:tabs>
        <w:rPr>
          <w:sz w:val="20"/>
          <w:szCs w:val="20"/>
        </w:rPr>
      </w:pPr>
      <w:r>
        <w:rPr>
          <w:sz w:val="20"/>
          <w:szCs w:val="20"/>
        </w:rPr>
        <w:t xml:space="preserve">46.33.2 - Торговля оптовая яйцами.</w:t>
      </w:r>
      <w:r>
        <w:rPr>
          <w:sz w:val="20"/>
          <w:szCs w:val="20"/>
        </w:rPr>
      </w:r>
      <w:r>
        <w:rPr>
          <w:sz w:val="20"/>
          <w:szCs w:val="20"/>
        </w:rPr>
      </w:r>
    </w:p>
    <w:p>
      <w:pPr>
        <w:pStyle w:val="1135"/>
        <w:jc w:val="both"/>
        <w:tabs>
          <w:tab w:val="left" w:pos="1134" w:leader="none"/>
        </w:tabs>
        <w:rPr>
          <w:sz w:val="20"/>
          <w:szCs w:val="20"/>
        </w:rPr>
      </w:pPr>
      <w:r>
        <w:rPr>
          <w:sz w:val="20"/>
          <w:szCs w:val="20"/>
        </w:rPr>
        <w:t xml:space="preserve">46.33.3 - Торговля оптовая пищевыми маслами и жирами.</w:t>
      </w:r>
      <w:r>
        <w:rPr>
          <w:sz w:val="20"/>
          <w:szCs w:val="20"/>
        </w:rPr>
      </w:r>
      <w:r>
        <w:rPr>
          <w:sz w:val="20"/>
          <w:szCs w:val="20"/>
        </w:rPr>
      </w:r>
    </w:p>
    <w:p>
      <w:pPr>
        <w:pStyle w:val="1135"/>
        <w:jc w:val="both"/>
        <w:tabs>
          <w:tab w:val="left" w:pos="1134" w:leader="none"/>
        </w:tabs>
        <w:rPr>
          <w:sz w:val="20"/>
          <w:szCs w:val="20"/>
        </w:rPr>
      </w:pPr>
      <w:r>
        <w:rPr>
          <w:sz w:val="20"/>
          <w:szCs w:val="20"/>
        </w:rPr>
        <w:t xml:space="preserve">47.21 - Торговля розничная фруктами и овощами в специализированных магазинах.</w:t>
      </w:r>
      <w:r>
        <w:rPr>
          <w:sz w:val="20"/>
          <w:szCs w:val="20"/>
        </w:rPr>
      </w:r>
      <w:r>
        <w:rPr>
          <w:sz w:val="20"/>
          <w:szCs w:val="20"/>
        </w:rPr>
      </w:r>
    </w:p>
    <w:p>
      <w:pPr>
        <w:pStyle w:val="1135"/>
        <w:jc w:val="both"/>
        <w:tabs>
          <w:tab w:val="left" w:pos="1134" w:leader="none"/>
        </w:tabs>
        <w:rPr>
          <w:sz w:val="20"/>
          <w:szCs w:val="20"/>
        </w:rPr>
      </w:pPr>
      <w:r>
        <w:rPr>
          <w:sz w:val="20"/>
          <w:szCs w:val="20"/>
        </w:rPr>
        <w:t xml:space="preserve">47.21.1 - Торговля розничная свежими фруктами, овощами, картофелем и орехами в специализированных магазинах.</w:t>
      </w:r>
      <w:r>
        <w:rPr>
          <w:sz w:val="20"/>
          <w:szCs w:val="20"/>
        </w:rPr>
      </w:r>
      <w:r>
        <w:rPr>
          <w:sz w:val="20"/>
          <w:szCs w:val="20"/>
        </w:rPr>
      </w:r>
    </w:p>
    <w:p>
      <w:pPr>
        <w:pStyle w:val="1135"/>
        <w:jc w:val="both"/>
        <w:tabs>
          <w:tab w:val="left" w:pos="1134" w:leader="none"/>
        </w:tabs>
        <w:rPr>
          <w:sz w:val="20"/>
          <w:szCs w:val="20"/>
        </w:rPr>
      </w:pPr>
      <w:r>
        <w:rPr>
          <w:sz w:val="20"/>
          <w:szCs w:val="20"/>
        </w:rPr>
        <w:t xml:space="preserve">47.21.2 - Торговля розничная консервированными фруктами и овощами и орехами в специализированных магазинах.</w:t>
      </w:r>
      <w:r>
        <w:rPr>
          <w:sz w:val="20"/>
          <w:szCs w:val="20"/>
        </w:rPr>
      </w:r>
      <w:r>
        <w:rPr>
          <w:sz w:val="20"/>
          <w:szCs w:val="20"/>
        </w:rPr>
      </w:r>
    </w:p>
    <w:p>
      <w:pPr>
        <w:pStyle w:val="1135"/>
        <w:jc w:val="both"/>
        <w:tabs>
          <w:tab w:val="left" w:pos="1134" w:leader="none"/>
        </w:tabs>
        <w:rPr>
          <w:sz w:val="20"/>
          <w:szCs w:val="20"/>
        </w:rPr>
      </w:pPr>
      <w:r>
        <w:rPr>
          <w:sz w:val="20"/>
          <w:szCs w:val="20"/>
        </w:rPr>
        <w:t xml:space="preserve">47.22 - Торговля розничная мясом и мясными продуктами в специализированных магазинах.</w:t>
      </w:r>
      <w:r>
        <w:rPr>
          <w:sz w:val="20"/>
          <w:szCs w:val="20"/>
        </w:rPr>
      </w:r>
      <w:r>
        <w:rPr>
          <w:sz w:val="20"/>
          <w:szCs w:val="20"/>
        </w:rPr>
      </w:r>
    </w:p>
    <w:p>
      <w:pPr>
        <w:pStyle w:val="1135"/>
        <w:jc w:val="both"/>
        <w:tabs>
          <w:tab w:val="left" w:pos="1134" w:leader="none"/>
        </w:tabs>
        <w:rPr>
          <w:sz w:val="20"/>
          <w:szCs w:val="20"/>
        </w:rPr>
      </w:pPr>
      <w:r>
        <w:rPr>
          <w:sz w:val="20"/>
          <w:szCs w:val="20"/>
        </w:rPr>
        <w:t xml:space="preserve">47.22.1 - Торговля розничная мясом и мясом птицы, включая субпродукты в специализированных магазинах.</w:t>
      </w:r>
      <w:r>
        <w:rPr>
          <w:sz w:val="20"/>
          <w:szCs w:val="20"/>
        </w:rPr>
      </w:r>
      <w:r>
        <w:rPr>
          <w:sz w:val="20"/>
          <w:szCs w:val="20"/>
        </w:rPr>
      </w:r>
    </w:p>
    <w:p>
      <w:pPr>
        <w:pStyle w:val="1135"/>
        <w:jc w:val="both"/>
        <w:tabs>
          <w:tab w:val="left" w:pos="1134" w:leader="none"/>
        </w:tabs>
        <w:rPr>
          <w:sz w:val="20"/>
          <w:szCs w:val="20"/>
        </w:rPr>
      </w:pPr>
      <w:r>
        <w:rPr>
          <w:sz w:val="20"/>
          <w:szCs w:val="20"/>
        </w:rPr>
        <w:t xml:space="preserve">47.22.2 - Торговля розничная продуктами из мяса и мяса птицы в специализированных магазинах.</w:t>
      </w:r>
      <w:r>
        <w:rPr>
          <w:sz w:val="20"/>
          <w:szCs w:val="20"/>
        </w:rPr>
      </w:r>
      <w:r>
        <w:rPr>
          <w:sz w:val="20"/>
          <w:szCs w:val="20"/>
        </w:rPr>
      </w:r>
    </w:p>
    <w:p>
      <w:pPr>
        <w:pStyle w:val="1135"/>
        <w:jc w:val="both"/>
        <w:tabs>
          <w:tab w:val="left" w:pos="1134" w:leader="none"/>
        </w:tabs>
        <w:rPr>
          <w:sz w:val="20"/>
          <w:szCs w:val="20"/>
        </w:rPr>
      </w:pPr>
      <w:r>
        <w:rPr>
          <w:sz w:val="20"/>
          <w:szCs w:val="20"/>
        </w:rPr>
        <w:t xml:space="preserve">47.22.3 - Торговля розничная консервами из мяса и мяса птицы в специализированных магазинах.</w:t>
      </w:r>
      <w:r>
        <w:rPr>
          <w:sz w:val="20"/>
          <w:szCs w:val="20"/>
        </w:rPr>
      </w:r>
      <w:r>
        <w:rPr>
          <w:sz w:val="20"/>
          <w:szCs w:val="20"/>
        </w:rPr>
      </w:r>
    </w:p>
    <w:p>
      <w:pPr>
        <w:pStyle w:val="1135"/>
        <w:jc w:val="both"/>
        <w:tabs>
          <w:tab w:val="left" w:pos="1134" w:leader="none"/>
        </w:tabs>
        <w:rPr>
          <w:sz w:val="20"/>
          <w:szCs w:val="20"/>
        </w:rPr>
      </w:pPr>
      <w:r>
        <w:rPr>
          <w:sz w:val="20"/>
          <w:szCs w:val="20"/>
        </w:rPr>
        <w:t xml:space="preserve">47.29.1 - Торговля розничная молочными продуктами и яйцами в специализированных магазинах.</w:t>
      </w:r>
      <w:r>
        <w:rPr>
          <w:sz w:val="20"/>
          <w:szCs w:val="20"/>
        </w:rPr>
      </w:r>
      <w:r>
        <w:rPr>
          <w:sz w:val="20"/>
          <w:szCs w:val="20"/>
        </w:rPr>
      </w:r>
    </w:p>
    <w:p>
      <w:pPr>
        <w:pStyle w:val="1135"/>
        <w:jc w:val="both"/>
        <w:tabs>
          <w:tab w:val="left" w:pos="1134" w:leader="none"/>
        </w:tabs>
        <w:rPr>
          <w:sz w:val="20"/>
          <w:szCs w:val="20"/>
        </w:rPr>
      </w:pPr>
      <w:r>
        <w:rPr>
          <w:sz w:val="20"/>
          <w:szCs w:val="20"/>
        </w:rPr>
        <w:t xml:space="preserve">47.29.11 - Торговля розничная молочными продуктами в специализированных магазинах.</w:t>
      </w:r>
      <w:r>
        <w:rPr>
          <w:sz w:val="20"/>
          <w:szCs w:val="20"/>
        </w:rPr>
      </w:r>
      <w:r>
        <w:rPr>
          <w:sz w:val="20"/>
          <w:szCs w:val="20"/>
        </w:rPr>
      </w:r>
    </w:p>
    <w:p>
      <w:pPr>
        <w:pStyle w:val="1135"/>
        <w:jc w:val="both"/>
        <w:tabs>
          <w:tab w:val="left" w:pos="1134" w:leader="none"/>
        </w:tabs>
        <w:rPr>
          <w:sz w:val="20"/>
          <w:szCs w:val="20"/>
        </w:rPr>
      </w:pPr>
      <w:r>
        <w:rPr>
          <w:sz w:val="20"/>
          <w:szCs w:val="20"/>
        </w:rPr>
        <w:t xml:space="preserve">47.29.12 - Торговля розничная яйцами в специализированных магазинах.</w:t>
      </w:r>
      <w:r>
        <w:rPr>
          <w:sz w:val="20"/>
          <w:szCs w:val="20"/>
        </w:rPr>
      </w:r>
      <w:r>
        <w:rPr>
          <w:sz w:val="20"/>
          <w:szCs w:val="20"/>
        </w:rPr>
      </w:r>
    </w:p>
    <w:p>
      <w:pPr>
        <w:pStyle w:val="1135"/>
        <w:jc w:val="both"/>
        <w:tabs>
          <w:tab w:val="left" w:pos="1134" w:leader="none"/>
        </w:tabs>
        <w:rPr>
          <w:sz w:val="20"/>
          <w:szCs w:val="20"/>
        </w:rPr>
      </w:pPr>
      <w:r>
        <w:rPr>
          <w:sz w:val="20"/>
          <w:szCs w:val="20"/>
        </w:rPr>
        <w:t xml:space="preserve">47.29.2 - Торговля розничная пищевыми маслами и жирами в специализированных магазинах.</w:t>
      </w:r>
      <w:r>
        <w:rPr>
          <w:sz w:val="20"/>
          <w:szCs w:val="20"/>
        </w:rPr>
      </w:r>
      <w:r>
        <w:rPr>
          <w:sz w:val="20"/>
          <w:szCs w:val="20"/>
        </w:rPr>
      </w:r>
    </w:p>
    <w:p>
      <w:pPr>
        <w:pStyle w:val="1135"/>
        <w:jc w:val="both"/>
        <w:tabs>
          <w:tab w:val="left" w:pos="1134" w:leader="none"/>
        </w:tabs>
        <w:rPr>
          <w:sz w:val="20"/>
          <w:szCs w:val="20"/>
        </w:rPr>
      </w:pPr>
      <w:r>
        <w:rPr>
          <w:sz w:val="20"/>
          <w:szCs w:val="20"/>
        </w:rPr>
        <w:t xml:space="preserve">47.29.21 - Торговля розничная животными маслами и жирами </w:t>
      </w:r>
      <w:r>
        <w:rPr>
          <w:sz w:val="20"/>
          <w:szCs w:val="20"/>
        </w:rPr>
        <w:t xml:space="preserve">в специализированных магазинах.</w:t>
      </w:r>
      <w:r>
        <w:rPr>
          <w:sz w:val="20"/>
          <w:szCs w:val="20"/>
        </w:rPr>
      </w:r>
      <w:r>
        <w:rPr>
          <w:sz w:val="20"/>
          <w:szCs w:val="20"/>
        </w:rPr>
      </w:r>
    </w:p>
    <w:p>
      <w:pPr>
        <w:pStyle w:val="1135"/>
        <w:jc w:val="both"/>
        <w:tabs>
          <w:tab w:val="left" w:pos="426" w:leader="none"/>
          <w:tab w:val="left" w:pos="1080" w:leader="none"/>
        </w:tabs>
        <w:rPr>
          <w:sz w:val="20"/>
          <w:szCs w:val="20"/>
        </w:rPr>
      </w:pPr>
      <w:r>
        <w:rPr>
          <w:sz w:val="20"/>
          <w:szCs w:val="20"/>
        </w:rPr>
        <w:t xml:space="preserve">47.29.22 - Торговля розничная растительными маслами в специализированных магазинах.</w:t>
      </w:r>
      <w:r>
        <w:rPr>
          <w:sz w:val="20"/>
          <w:szCs w:val="20"/>
        </w:rPr>
      </w:r>
      <w:r>
        <w:rPr>
          <w:sz w:val="20"/>
          <w:szCs w:val="20"/>
        </w:rPr>
      </w:r>
    </w:p>
    <w:p>
      <w:pPr>
        <w:pStyle w:val="1135"/>
        <w:jc w:val="both"/>
        <w:tabs>
          <w:tab w:val="left" w:pos="426" w:leader="none"/>
          <w:tab w:val="left" w:pos="1080" w:leader="none"/>
        </w:tabs>
        <w:rPr>
          <w:sz w:val="20"/>
          <w:szCs w:val="20"/>
        </w:rPr>
      </w:pPr>
      <w:r>
        <w:rPr>
          <w:sz w:val="20"/>
          <w:szCs w:val="20"/>
        </w:rPr>
        <w:t xml:space="preserve">**</w:t>
      </w:r>
      <w:r>
        <w:rPr>
          <w:sz w:val="20"/>
          <w:szCs w:val="20"/>
        </w:rPr>
        <w:t xml:space="preserve">*</w:t>
      </w:r>
      <w:r>
        <w:rPr>
          <w:sz w:val="20"/>
          <w:szCs w:val="20"/>
        </w:rPr>
        <w:t xml:space="preserve">**)</w:t>
      </w:r>
      <w:r>
        <w:rPr>
          <w:sz w:val="20"/>
          <w:szCs w:val="20"/>
        </w:rPr>
        <w:t xml:space="preserve"> </w:t>
      </w:r>
      <w:r>
        <w:rPr>
          <w:sz w:val="20"/>
          <w:szCs w:val="20"/>
        </w:rPr>
        <w:t xml:space="preserve">В соответствии с Федеральным законом от 10 июля 2023 года № 304-ФЗ "О внесении изменения в статью </w:t>
      </w:r>
      <w:r>
        <w:rPr>
          <w:sz w:val="20"/>
          <w:szCs w:val="20"/>
        </w:rPr>
      </w:r>
      <w:r>
        <w:rPr>
          <w:sz w:val="20"/>
          <w:szCs w:val="20"/>
        </w:rPr>
      </w:r>
    </w:p>
    <w:p>
      <w:pPr>
        <w:pStyle w:val="1135"/>
        <w:jc w:val="both"/>
        <w:tabs>
          <w:tab w:val="left" w:pos="426" w:leader="none"/>
          <w:tab w:val="left" w:pos="1080" w:leader="none"/>
        </w:tabs>
        <w:rPr>
          <w:sz w:val="20"/>
          <w:szCs w:val="20"/>
        </w:rPr>
      </w:pPr>
      <w:r>
        <w:rPr>
          <w:bCs/>
          <w:sz w:val="20"/>
          <w:szCs w:val="20"/>
        </w:rPr>
        <w:t xml:space="preserve">******) Банк не принимает поврежденные банкноты иностранных государств</w:t>
      </w:r>
      <w:r>
        <w:rPr>
          <w:sz w:val="20"/>
          <w:szCs w:val="20"/>
        </w:rPr>
        <w:t xml:space="preserve"> </w:t>
      </w:r>
      <w:r>
        <w:rPr>
          <w:sz w:val="20"/>
          <w:szCs w:val="20"/>
        </w:rPr>
      </w:r>
      <w:r>
        <w:rPr>
          <w:sz w:val="20"/>
          <w:szCs w:val="20"/>
        </w:rPr>
      </w:r>
    </w:p>
    <w:p>
      <w:pPr>
        <w:pStyle w:val="1135"/>
        <w:jc w:val="both"/>
        <w:tabs>
          <w:tab w:val="left" w:pos="426" w:leader="none"/>
          <w:tab w:val="left" w:pos="1080" w:leader="none"/>
        </w:tabs>
        <w:rPr>
          <w:bCs/>
          <w:iCs/>
          <w:sz w:val="20"/>
          <w:szCs w:val="20"/>
        </w:rPr>
      </w:pPr>
      <w:r>
        <w:rPr>
          <w:sz w:val="20"/>
          <w:szCs w:val="20"/>
        </w:rPr>
        <w:t xml:space="preserve">13.1 Федерального закона</w:t>
      </w:r>
      <w:r>
        <w:rPr>
          <w:sz w:val="20"/>
          <w:szCs w:val="20"/>
        </w:rPr>
        <w:t xml:space="preserve"> "Об отходах производства и потребления", начиная с 01 октября 2023 года Банк не осуществляет выдачу денежной наличности на цели, связанные с покупкой лома и отходов цветных и (или) черных металлов у физических лиц. При снятии наличных денежных средств на </w:t>
      </w:r>
      <w:r>
        <w:rPr>
          <w:sz w:val="20"/>
          <w:szCs w:val="20"/>
        </w:rPr>
        <w:t xml:space="preserve">другие цели, </w:t>
      </w:r>
      <w:r>
        <w:rPr>
          <w:sz w:val="20"/>
          <w:szCs w:val="20"/>
        </w:rPr>
        <w:t xml:space="preserve">Клиент подтверждает, что выдача денежной наличности с банковского счета Клиента не связана с покупкой лома и отходов цветных и (или) черных металлов у физических лиц.</w:t>
      </w:r>
      <w:r>
        <w:rPr>
          <w:bCs/>
          <w:iCs/>
          <w:sz w:val="20"/>
          <w:szCs w:val="20"/>
        </w:rPr>
      </w:r>
      <w:r>
        <w:rPr>
          <w:bCs/>
          <w:iCs/>
          <w:sz w:val="20"/>
          <w:szCs w:val="20"/>
        </w:rPr>
      </w:r>
    </w:p>
    <w:p>
      <w:pPr>
        <w:pStyle w:val="1135"/>
        <w:jc w:val="both"/>
        <w:tabs>
          <w:tab w:val="left" w:pos="426" w:leader="none"/>
          <w:tab w:val="left" w:pos="1080" w:leader="none"/>
        </w:tabs>
        <w:rPr>
          <w:bCs/>
          <w:sz w:val="20"/>
          <w:szCs w:val="20"/>
        </w:rPr>
      </w:pPr>
      <w:r>
        <w:rPr>
          <w:bCs/>
          <w:sz w:val="20"/>
          <w:szCs w:val="20"/>
        </w:rPr>
      </w:r>
      <w:r>
        <w:rPr>
          <w:bCs/>
          <w:sz w:val="20"/>
          <w:szCs w:val="20"/>
        </w:rPr>
      </w:r>
      <w:r>
        <w:rPr>
          <w:bCs/>
          <w:sz w:val="20"/>
          <w:szCs w:val="20"/>
        </w:rPr>
      </w:r>
    </w:p>
    <w:p>
      <w:pPr>
        <w:pStyle w:val="1139"/>
      </w:pPr>
      <w:r>
        <w:t xml:space="preserve">3.</w:t>
      </w:r>
      <w:r>
        <w:t xml:space="preserve"> </w:t>
      </w:r>
      <w:r>
        <w:t xml:space="preserve">Выполнение</w:t>
      </w:r>
      <w:r>
        <w:t xml:space="preserve"> </w:t>
      </w:r>
      <w:r>
        <w:t xml:space="preserve">функций</w:t>
      </w:r>
      <w:r>
        <w:t xml:space="preserve"> </w:t>
      </w:r>
      <w:r>
        <w:t xml:space="preserve">агента</w:t>
      </w:r>
      <w:r>
        <w:t xml:space="preserve"> </w:t>
      </w:r>
      <w:r>
        <w:t xml:space="preserve">валютного</w:t>
      </w:r>
      <w:r>
        <w:t xml:space="preserve"> </w:t>
      </w:r>
      <w:r>
        <w:t xml:space="preserve">контроля</w:t>
      </w:r>
      <w:r/>
    </w:p>
    <w:p>
      <w:pPr>
        <w:pStyle w:val="1135"/>
        <w:jc w:val="center"/>
        <w:rPr>
          <w:sz w:val="20"/>
          <w:szCs w:val="20"/>
        </w:rPr>
      </w:pPr>
      <w:r>
        <w:rPr>
          <w:sz w:val="20"/>
          <w:szCs w:val="20"/>
        </w:rPr>
        <w:t xml:space="preserve">(размер</w:t>
      </w:r>
      <w:r>
        <w:rPr>
          <w:sz w:val="20"/>
          <w:szCs w:val="20"/>
        </w:rPr>
        <w:t xml:space="preserve"> </w:t>
      </w:r>
      <w:r>
        <w:rPr>
          <w:sz w:val="20"/>
          <w:szCs w:val="20"/>
        </w:rPr>
        <w:t xml:space="preserve">тарифов</w:t>
      </w:r>
      <w:r>
        <w:rPr>
          <w:sz w:val="20"/>
          <w:szCs w:val="20"/>
        </w:rPr>
        <w:t xml:space="preserve"> </w:t>
      </w:r>
      <w:r>
        <w:rPr>
          <w:sz w:val="20"/>
          <w:szCs w:val="20"/>
        </w:rPr>
        <w:t xml:space="preserve">указан</w:t>
      </w:r>
      <w:r>
        <w:rPr>
          <w:sz w:val="20"/>
          <w:szCs w:val="20"/>
        </w:rPr>
        <w:t xml:space="preserve"> </w:t>
      </w:r>
      <w:r>
        <w:rPr>
          <w:sz w:val="20"/>
          <w:szCs w:val="20"/>
        </w:rPr>
        <w:t xml:space="preserve">без</w:t>
      </w:r>
      <w:r>
        <w:rPr>
          <w:sz w:val="20"/>
          <w:szCs w:val="20"/>
        </w:rPr>
        <w:t xml:space="preserve"> </w:t>
      </w:r>
      <w:r>
        <w:rPr>
          <w:sz w:val="20"/>
          <w:szCs w:val="20"/>
        </w:rPr>
        <w:t xml:space="preserve">учета</w:t>
      </w:r>
      <w:r>
        <w:rPr>
          <w:sz w:val="20"/>
          <w:szCs w:val="20"/>
        </w:rPr>
        <w:t xml:space="preserve"> </w:t>
      </w:r>
      <w:r>
        <w:rPr>
          <w:sz w:val="20"/>
          <w:szCs w:val="20"/>
        </w:rPr>
        <w:t xml:space="preserve">НДС)*</w:t>
      </w:r>
      <w:r>
        <w:rPr>
          <w:sz w:val="20"/>
          <w:szCs w:val="20"/>
        </w:rPr>
      </w:r>
      <w:r>
        <w:rPr>
          <w:sz w:val="20"/>
          <w:szCs w:val="20"/>
        </w:rPr>
      </w:r>
    </w:p>
    <w:tbl>
      <w:tblPr>
        <w:tblW w:w="10065"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2835"/>
        <w:gridCol w:w="2268"/>
        <w:gridCol w:w="411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center"/>
            <w:textDirection w:val="lrTb"/>
            <w:noWrap w:val="false"/>
          </w:tcPr>
          <w:p>
            <w:pPr>
              <w:pStyle w:val="1135"/>
              <w:jc w:val="center"/>
              <w:rPr>
                <w:rFonts w:eastAsia="Calibri"/>
                <w:b/>
                <w:sz w:val="20"/>
                <w:szCs w:val="20"/>
                <w:lang w:eastAsia="en-US"/>
              </w:rPr>
            </w:pPr>
            <w:r>
              <w:rPr>
                <w:rFonts w:eastAsia="Calibri"/>
                <w:b/>
                <w:sz w:val="20"/>
                <w:szCs w:val="20"/>
                <w:lang w:eastAsia="en-US"/>
              </w:rPr>
              <w:t xml:space="preserve">№     п/п</w:t>
            </w:r>
            <w:r>
              <w:rPr>
                <w:rFonts w:eastAsia="Calibri"/>
                <w:b/>
                <w:sz w:val="20"/>
                <w:szCs w:val="20"/>
                <w:lang w:eastAsia="en-US"/>
              </w:rPr>
            </w:r>
            <w:r>
              <w:rPr>
                <w:rFonts w:eastAsia="Calibri"/>
                <w:b/>
                <w:sz w:val="20"/>
                <w:szCs w:val="20"/>
                <w:lang w:eastAsia="en-US"/>
              </w:rPr>
            </w:r>
          </w:p>
        </w:tc>
        <w:tc>
          <w:tcPr>
            <w:tcW w:w="2835" w:type="dxa"/>
            <w:vAlign w:val="center"/>
            <w:textDirection w:val="lrTb"/>
            <w:noWrap w:val="false"/>
          </w:tcPr>
          <w:p>
            <w:pPr>
              <w:pStyle w:val="1135"/>
              <w:jc w:val="center"/>
              <w:rPr>
                <w:rFonts w:eastAsia="Calibri"/>
                <w:b/>
                <w:sz w:val="20"/>
                <w:szCs w:val="20"/>
                <w:lang w:eastAsia="en-US"/>
              </w:rPr>
            </w:pPr>
            <w:r>
              <w:rPr>
                <w:rFonts w:eastAsia="Calibri"/>
                <w:b/>
                <w:sz w:val="20"/>
                <w:szCs w:val="20"/>
                <w:lang w:eastAsia="en-US"/>
              </w:rPr>
              <w:t xml:space="preserve">Наименование услуги</w:t>
            </w:r>
            <w:r>
              <w:rPr>
                <w:rFonts w:eastAsia="Calibri"/>
                <w:b/>
                <w:sz w:val="20"/>
                <w:szCs w:val="20"/>
                <w:lang w:eastAsia="en-US"/>
              </w:rPr>
            </w:r>
            <w:r>
              <w:rPr>
                <w:rFonts w:eastAsia="Calibri"/>
                <w:b/>
                <w:sz w:val="20"/>
                <w:szCs w:val="20"/>
                <w:lang w:eastAsia="en-US"/>
              </w:rPr>
            </w:r>
          </w:p>
        </w:tc>
        <w:tc>
          <w:tcPr>
            <w:tcW w:w="2268" w:type="dxa"/>
            <w:vAlign w:val="center"/>
            <w:textDirection w:val="lrTb"/>
            <w:noWrap w:val="false"/>
          </w:tcPr>
          <w:p>
            <w:pPr>
              <w:pStyle w:val="1135"/>
              <w:jc w:val="center"/>
              <w:rPr>
                <w:rFonts w:eastAsia="Calibri"/>
                <w:b/>
                <w:sz w:val="20"/>
                <w:szCs w:val="20"/>
                <w:lang w:eastAsia="en-US"/>
              </w:rPr>
            </w:pPr>
            <w:r>
              <w:rPr>
                <w:rFonts w:eastAsia="Calibri"/>
                <w:b/>
                <w:sz w:val="20"/>
                <w:szCs w:val="20"/>
                <w:lang w:eastAsia="en-US"/>
              </w:rPr>
              <w:t xml:space="preserve">Тариф</w:t>
            </w:r>
            <w:r>
              <w:rPr>
                <w:rFonts w:eastAsia="Calibri"/>
                <w:b/>
                <w:sz w:val="20"/>
                <w:szCs w:val="20"/>
                <w:lang w:eastAsia="en-US"/>
              </w:rPr>
            </w:r>
            <w:r>
              <w:rPr>
                <w:rFonts w:eastAsia="Calibri"/>
                <w:b/>
                <w:sz w:val="20"/>
                <w:szCs w:val="20"/>
                <w:lang w:eastAsia="en-US"/>
              </w:rPr>
            </w:r>
          </w:p>
        </w:tc>
        <w:tc>
          <w:tcPr>
            <w:tcW w:w="4111" w:type="dxa"/>
            <w:vAlign w:val="center"/>
            <w:textDirection w:val="lrTb"/>
            <w:noWrap w:val="false"/>
          </w:tcPr>
          <w:p>
            <w:pPr>
              <w:pStyle w:val="1135"/>
              <w:jc w:val="center"/>
              <w:rPr>
                <w:rFonts w:eastAsia="Calibri"/>
                <w:b/>
                <w:sz w:val="20"/>
                <w:szCs w:val="20"/>
                <w:lang w:eastAsia="en-US"/>
              </w:rPr>
            </w:pPr>
            <w:r>
              <w:rPr>
                <w:rFonts w:eastAsia="Calibri"/>
                <w:b/>
                <w:sz w:val="20"/>
                <w:szCs w:val="20"/>
                <w:lang w:eastAsia="en-US"/>
              </w:rPr>
              <w:t xml:space="preserve">Примечание</w:t>
            </w:r>
            <w:r>
              <w:rPr>
                <w:rFonts w:eastAsia="Calibri"/>
                <w:b/>
                <w:sz w:val="20"/>
                <w:szCs w:val="20"/>
                <w:lang w:eastAsia="en-US"/>
              </w:rPr>
            </w:r>
            <w:r>
              <w:rPr>
                <w:rFonts w:eastAsia="Calibri"/>
                <w:b/>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135"/>
              <w:jc w:val="center"/>
              <w:rPr>
                <w:rFonts w:eastAsia="Calibri"/>
                <w:sz w:val="20"/>
                <w:szCs w:val="20"/>
                <w:lang w:eastAsia="en-US"/>
              </w:rPr>
            </w:pPr>
            <w:r>
              <w:rPr>
                <w:rFonts w:eastAsia="Calibri"/>
                <w:sz w:val="20"/>
                <w:szCs w:val="20"/>
                <w:lang w:eastAsia="en-US"/>
              </w:rPr>
              <w:t xml:space="preserve">3.1.</w:t>
            </w:r>
            <w:r>
              <w:rPr>
                <w:rFonts w:eastAsia="Calibri"/>
                <w:sz w:val="20"/>
                <w:szCs w:val="20"/>
                <w:lang w:eastAsia="en-US"/>
              </w:rPr>
            </w:r>
            <w:r>
              <w:rPr>
                <w:rFonts w:eastAsia="Calibri"/>
                <w:sz w:val="20"/>
                <w:szCs w:val="20"/>
                <w:lang w:eastAsia="en-US"/>
              </w:rPr>
            </w:r>
          </w:p>
        </w:tc>
        <w:tc>
          <w:tcPr>
            <w:tcBorders>
              <w:bottom w:val="single" w:color="000000" w:sz="4" w:space="0"/>
            </w:tcBorders>
            <w:tcW w:w="2835" w:type="dxa"/>
            <w:vAlign w:val="top"/>
            <w:textDirection w:val="lrTb"/>
            <w:noWrap w:val="false"/>
          </w:tcPr>
          <w:p>
            <w:pPr>
              <w:pStyle w:val="1135"/>
              <w:rPr>
                <w:rFonts w:eastAsia="Calibri"/>
                <w:sz w:val="20"/>
                <w:szCs w:val="20"/>
                <w:lang w:eastAsia="en-US"/>
              </w:rPr>
            </w:pPr>
            <w:r>
              <w:rPr>
                <w:rFonts w:eastAsia="Calibri"/>
                <w:sz w:val="20"/>
                <w:szCs w:val="20"/>
                <w:lang w:eastAsia="en-US"/>
              </w:rPr>
              <w:t xml:space="preserve">Выполнение функций агента валютного контроля по операциям резидентов, осуществляемым с постановкой контракта (кредитного договора) на учет в Банке и без постановки контракта (кредитного договора) на учет в Банке**</w:t>
            </w:r>
            <w:r>
              <w:rPr>
                <w:rFonts w:eastAsia="Calibri"/>
                <w:sz w:val="20"/>
                <w:szCs w:val="20"/>
                <w:lang w:eastAsia="en-US"/>
              </w:rPr>
            </w:r>
            <w:r>
              <w:rPr>
                <w:rFonts w:eastAsia="Calibri"/>
                <w:sz w:val="20"/>
                <w:szCs w:val="20"/>
                <w:lang w:eastAsia="en-US"/>
              </w:rPr>
            </w:r>
          </w:p>
        </w:tc>
        <w:tc>
          <w:tcPr>
            <w:tcBorders>
              <w:bottom w:val="single" w:color="000000" w:sz="4" w:space="0"/>
            </w:tcBorders>
            <w:tcW w:w="2268" w:type="dxa"/>
            <w:vAlign w:val="top"/>
            <w:textDirection w:val="lrTb"/>
            <w:noWrap w:val="false"/>
          </w:tcPr>
          <w:p>
            <w:pPr>
              <w:pStyle w:val="1135"/>
              <w:contextualSpacing/>
              <w:jc w:val="center"/>
              <w:spacing w:before="40" w:after="200"/>
              <w:rPr>
                <w:rFonts w:eastAsia="Calibri"/>
                <w:sz w:val="20"/>
                <w:szCs w:val="20"/>
                <w:lang w:eastAsia="en-US"/>
              </w:rPr>
            </w:pPr>
            <w:r>
              <w:rPr>
                <w:rFonts w:eastAsia="Calibri"/>
                <w:sz w:val="20"/>
                <w:szCs w:val="20"/>
                <w:lang w:eastAsia="en-US"/>
              </w:rPr>
              <w:t xml:space="preserve">0,15 %          </w:t>
            </w:r>
            <w:r>
              <w:rPr>
                <w:rFonts w:eastAsia="Calibri"/>
                <w:sz w:val="20"/>
                <w:szCs w:val="20"/>
                <w:lang w:eastAsia="en-US"/>
              </w:rPr>
            </w:r>
            <w:r>
              <w:rPr>
                <w:rFonts w:eastAsia="Calibri"/>
                <w:sz w:val="20"/>
                <w:szCs w:val="20"/>
                <w:lang w:eastAsia="en-US"/>
              </w:rPr>
            </w:r>
          </w:p>
          <w:p>
            <w:pPr>
              <w:pStyle w:val="1135"/>
              <w:contextualSpacing/>
              <w:jc w:val="center"/>
              <w:spacing w:before="40" w:after="200"/>
              <w:rPr>
                <w:rFonts w:eastAsia="Calibri"/>
                <w:sz w:val="20"/>
                <w:szCs w:val="20"/>
                <w:lang w:eastAsia="en-US"/>
              </w:rPr>
            </w:pPr>
            <w:r>
              <w:rPr>
                <w:rFonts w:eastAsia="Calibri"/>
                <w:sz w:val="20"/>
                <w:szCs w:val="20"/>
                <w:lang w:eastAsia="en-US"/>
              </w:rPr>
              <w:t xml:space="preserve">минимум 300 руб.</w:t>
            </w:r>
            <w:r>
              <w:rPr>
                <w:rFonts w:eastAsia="Calibri"/>
                <w:sz w:val="20"/>
                <w:szCs w:val="20"/>
                <w:lang w:eastAsia="en-US"/>
              </w:rPr>
              <w:t xml:space="preserve"> </w:t>
            </w:r>
            <w:r>
              <w:rPr>
                <w:rFonts w:eastAsia="Calibri"/>
                <w:sz w:val="20"/>
                <w:szCs w:val="20"/>
                <w:lang w:eastAsia="en-US"/>
              </w:rPr>
            </w:r>
            <w:r>
              <w:rPr>
                <w:rFonts w:eastAsia="Calibri"/>
                <w:sz w:val="20"/>
                <w:szCs w:val="20"/>
                <w:lang w:eastAsia="en-US"/>
              </w:rPr>
            </w:r>
          </w:p>
        </w:tc>
        <w:tc>
          <w:tcPr>
            <w:tcBorders>
              <w:bottom w:val="single" w:color="000000" w:sz="4" w:space="0"/>
            </w:tcBorders>
            <w:tcW w:w="4111" w:type="dxa"/>
            <w:vAlign w:val="top"/>
            <w:textDirection w:val="lrTb"/>
            <w:noWrap w:val="false"/>
          </w:tcPr>
          <w:p>
            <w:pPr>
              <w:pStyle w:val="1135"/>
              <w:jc w:val="both"/>
              <w:rPr>
                <w:rFonts w:eastAsia="Calibri"/>
                <w:sz w:val="20"/>
                <w:szCs w:val="20"/>
                <w:lang w:eastAsia="en-US"/>
              </w:rPr>
            </w:pPr>
            <w:r>
              <w:rPr>
                <w:rFonts w:eastAsia="Calibri"/>
                <w:sz w:val="20"/>
                <w:szCs w:val="20"/>
                <w:lang w:eastAsia="en-US"/>
              </w:rPr>
              <w:t xml:space="preserve">Комиссия взимается в срок не позднее следующего</w:t>
            </w:r>
            <w:r>
              <w:rPr>
                <w:rFonts w:eastAsia="Calibri"/>
                <w:sz w:val="20"/>
                <w:szCs w:val="20"/>
                <w:lang w:eastAsia="en-US"/>
              </w:rPr>
              <w:t xml:space="preserve"> </w:t>
            </w:r>
            <w:r>
              <w:rPr>
                <w:rFonts w:eastAsia="Calibri"/>
                <w:sz w:val="20"/>
                <w:szCs w:val="20"/>
                <w:lang w:eastAsia="en-US"/>
              </w:rPr>
              <w:t xml:space="preserve">рабочего дня после дня оказания услуги***, от суммы зачисления/списания со счета/на счет, открытый в Банке, либо от суммы  операции, информация о которой подлежит отражению в ведомости банковского контроля. </w:t>
            </w:r>
            <w:r>
              <w:rPr>
                <w:rFonts w:eastAsia="Calibri"/>
                <w:sz w:val="20"/>
                <w:szCs w:val="20"/>
                <w:lang w:eastAsia="en-US"/>
              </w:rPr>
            </w:r>
            <w:r>
              <w:rPr>
                <w:rFonts w:eastAsia="Calibri"/>
                <w:sz w:val="20"/>
                <w:szCs w:val="20"/>
                <w:lang w:eastAsia="en-US"/>
              </w:rPr>
            </w:r>
          </w:p>
          <w:p>
            <w:pPr>
              <w:pStyle w:val="1135"/>
              <w:jc w:val="both"/>
              <w:tabs>
                <w:tab w:val="right" w:pos="2761" w:leader="none"/>
              </w:tabs>
              <w:rPr>
                <w:rFonts w:eastAsia="Calibri"/>
                <w:sz w:val="20"/>
                <w:szCs w:val="20"/>
                <w:lang w:eastAsia="en-US"/>
              </w:rPr>
            </w:pPr>
            <w:r>
              <w:rPr>
                <w:rFonts w:eastAsia="Calibri"/>
                <w:b/>
                <w:sz w:val="20"/>
                <w:szCs w:val="20"/>
                <w:lang w:eastAsia="en-US"/>
              </w:rPr>
              <w:t xml:space="preserve">Комиссия не взимается</w:t>
            </w:r>
            <w:r>
              <w:rPr>
                <w:rFonts w:eastAsia="Calibri"/>
                <w:sz w:val="20"/>
                <w:szCs w:val="20"/>
                <w:lang w:eastAsia="en-US"/>
              </w:rPr>
              <w:t xml:space="preserve">:</w:t>
            </w:r>
            <w:r>
              <w:rPr>
                <w:rFonts w:eastAsia="Calibri"/>
                <w:sz w:val="20"/>
                <w:szCs w:val="20"/>
                <w:lang w:eastAsia="en-US"/>
              </w:rPr>
            </w:r>
            <w:r>
              <w:rPr>
                <w:rFonts w:eastAsia="Calibri"/>
                <w:sz w:val="20"/>
                <w:szCs w:val="20"/>
                <w:lang w:eastAsia="en-US"/>
              </w:rPr>
            </w:r>
          </w:p>
          <w:p>
            <w:pPr>
              <w:pStyle w:val="1135"/>
              <w:jc w:val="both"/>
              <w:rPr>
                <w:rFonts w:eastAsia="Calibri"/>
                <w:sz w:val="20"/>
                <w:szCs w:val="20"/>
                <w:lang w:eastAsia="en-US"/>
              </w:rPr>
            </w:pPr>
            <w:r>
              <w:rPr>
                <w:rFonts w:eastAsia="Calibri"/>
                <w:sz w:val="20"/>
                <w:szCs w:val="20"/>
                <w:lang w:eastAsia="en-US"/>
              </w:rPr>
              <w:t xml:space="preserve">- по операциям между резидентом и Банком;</w:t>
            </w:r>
            <w:r>
              <w:rPr>
                <w:rFonts w:eastAsia="Calibri"/>
                <w:sz w:val="20"/>
                <w:szCs w:val="20"/>
                <w:lang w:eastAsia="en-US"/>
              </w:rPr>
            </w:r>
            <w:r>
              <w:rPr>
                <w:rFonts w:eastAsia="Calibri"/>
                <w:sz w:val="20"/>
                <w:szCs w:val="20"/>
                <w:lang w:eastAsia="en-US"/>
              </w:rPr>
            </w:r>
          </w:p>
          <w:p>
            <w:pPr>
              <w:pStyle w:val="1135"/>
              <w:jc w:val="both"/>
              <w:rPr>
                <w:rFonts w:eastAsia="Calibri"/>
                <w:sz w:val="20"/>
                <w:szCs w:val="20"/>
                <w:lang w:eastAsia="en-US"/>
              </w:rPr>
            </w:pPr>
            <w:r>
              <w:rPr>
                <w:rFonts w:eastAsia="Calibri"/>
                <w:sz w:val="20"/>
                <w:szCs w:val="20"/>
                <w:lang w:eastAsia="en-US"/>
              </w:rPr>
              <w:t xml:space="preserve">- по операциям между резидентом и другими уполномоченными банками;</w:t>
            </w:r>
            <w:r>
              <w:rPr>
                <w:rFonts w:eastAsia="Calibri"/>
                <w:sz w:val="20"/>
                <w:szCs w:val="20"/>
                <w:lang w:eastAsia="en-US"/>
              </w:rPr>
            </w:r>
            <w:r>
              <w:rPr>
                <w:rFonts w:eastAsia="Calibri"/>
                <w:sz w:val="20"/>
                <w:szCs w:val="20"/>
                <w:lang w:eastAsia="en-US"/>
              </w:rPr>
            </w:r>
          </w:p>
          <w:p>
            <w:pPr>
              <w:pStyle w:val="1135"/>
              <w:jc w:val="both"/>
              <w:rPr>
                <w:rFonts w:eastAsia="Calibri"/>
                <w:sz w:val="20"/>
                <w:szCs w:val="20"/>
                <w:lang w:eastAsia="en-US"/>
              </w:rPr>
            </w:pPr>
            <w:r>
              <w:rPr>
                <w:rFonts w:eastAsia="Calibri"/>
                <w:sz w:val="20"/>
                <w:szCs w:val="20"/>
                <w:lang w:eastAsia="en-US"/>
              </w:rPr>
              <w:t xml:space="preserve">- по операциям, связанным с перечислением денежных средств с транзитного валютного счета резидента для зачисления на расчетный валютный счет этого же резидента, открытый в Банке;</w:t>
            </w:r>
            <w:r>
              <w:rPr>
                <w:rFonts w:eastAsia="Calibri"/>
                <w:sz w:val="20"/>
                <w:szCs w:val="20"/>
                <w:lang w:eastAsia="en-US"/>
              </w:rPr>
            </w:r>
            <w:r>
              <w:rPr>
                <w:rFonts w:eastAsia="Calibri"/>
                <w:sz w:val="20"/>
                <w:szCs w:val="20"/>
                <w:lang w:eastAsia="en-US"/>
              </w:rPr>
            </w:r>
          </w:p>
          <w:p>
            <w:pPr>
              <w:pStyle w:val="1135"/>
              <w:jc w:val="both"/>
              <w:rPr>
                <w:rFonts w:eastAsia="Calibri"/>
                <w:sz w:val="20"/>
                <w:szCs w:val="20"/>
                <w:lang w:eastAsia="en-US"/>
              </w:rPr>
            </w:pPr>
            <w:r>
              <w:rPr>
                <w:rFonts w:eastAsia="Calibri"/>
                <w:sz w:val="20"/>
                <w:szCs w:val="20"/>
                <w:lang w:eastAsia="en-US"/>
              </w:rPr>
              <w:t xml:space="preserve">- по операциям, связанным с переводом резидентом денежных средств на свои расчетные и депозитные счета, открытые в Банке и в других уполномоченных банках на территории Российской Федерации;</w:t>
            </w:r>
            <w:r>
              <w:rPr>
                <w:rFonts w:eastAsia="Calibri"/>
                <w:sz w:val="20"/>
                <w:szCs w:val="20"/>
                <w:lang w:eastAsia="en-US"/>
              </w:rPr>
            </w:r>
            <w:r>
              <w:rPr>
                <w:rFonts w:eastAsia="Calibri"/>
                <w:sz w:val="20"/>
                <w:szCs w:val="20"/>
                <w:lang w:eastAsia="en-US"/>
              </w:rPr>
            </w:r>
          </w:p>
          <w:p>
            <w:pPr>
              <w:pStyle w:val="1135"/>
              <w:jc w:val="both"/>
              <w:rPr>
                <w:rFonts w:eastAsia="Calibri"/>
                <w:sz w:val="20"/>
                <w:szCs w:val="20"/>
                <w:lang w:eastAsia="en-US"/>
              </w:rPr>
            </w:pPr>
            <w:r>
              <w:rPr>
                <w:rFonts w:eastAsia="Calibri"/>
                <w:sz w:val="20"/>
                <w:szCs w:val="20"/>
                <w:lang w:eastAsia="en-US"/>
              </w:rPr>
              <w:t xml:space="preserve">- по операциям, связанным с зачислением денежных средств на расчетный и депозитный счет, открытый в Банке, перечисленных со своего счета, открытого в банке-нерезиденте;</w:t>
            </w:r>
            <w:r>
              <w:rPr>
                <w:rFonts w:eastAsia="Calibri"/>
                <w:sz w:val="20"/>
                <w:szCs w:val="20"/>
                <w:lang w:eastAsia="en-US"/>
              </w:rPr>
            </w:r>
            <w:r>
              <w:rPr>
                <w:rFonts w:eastAsia="Calibri"/>
                <w:sz w:val="20"/>
                <w:szCs w:val="20"/>
                <w:lang w:eastAsia="en-US"/>
              </w:rPr>
            </w:r>
          </w:p>
          <w:p>
            <w:pPr>
              <w:pStyle w:val="1135"/>
              <w:jc w:val="both"/>
              <w:rPr>
                <w:rFonts w:eastAsia="Calibri"/>
                <w:sz w:val="20"/>
                <w:szCs w:val="20"/>
                <w:lang w:eastAsia="en-US"/>
              </w:rPr>
            </w:pPr>
            <w:r>
              <w:rPr>
                <w:rFonts w:eastAsia="Calibri"/>
                <w:sz w:val="20"/>
                <w:szCs w:val="20"/>
                <w:lang w:eastAsia="en-US"/>
              </w:rPr>
              <w:t xml:space="preserve">- по операциям, связанным с зачислением денежных средств на расчетные счета и идентифицированных резидентом как ошибочно зачисленные (поступившие);</w:t>
            </w:r>
            <w:r>
              <w:rPr>
                <w:rFonts w:eastAsia="Calibri"/>
                <w:sz w:val="20"/>
                <w:szCs w:val="20"/>
                <w:lang w:eastAsia="en-US"/>
              </w:rPr>
            </w:r>
            <w:r>
              <w:rPr>
                <w:rFonts w:eastAsia="Calibri"/>
                <w:sz w:val="20"/>
                <w:szCs w:val="20"/>
                <w:lang w:eastAsia="en-US"/>
              </w:rPr>
            </w:r>
          </w:p>
          <w:p>
            <w:pPr>
              <w:pStyle w:val="1135"/>
              <w:jc w:val="both"/>
              <w:rPr>
                <w:rFonts w:eastAsia="Calibri"/>
                <w:sz w:val="20"/>
                <w:szCs w:val="20"/>
                <w:lang w:eastAsia="en-US"/>
              </w:rPr>
            </w:pPr>
            <w:r>
              <w:rPr>
                <w:rFonts w:eastAsia="Calibri"/>
                <w:sz w:val="20"/>
                <w:szCs w:val="20"/>
                <w:lang w:eastAsia="en-US"/>
              </w:rPr>
              <w:t xml:space="preserve">- по операциям, связанным со списанием/зачислением денежных средств, при возврате ранее списанных/зачисленных денежных средств со счетов/на счета клиентов, открытые в Банке;</w:t>
            </w:r>
            <w:r>
              <w:rPr>
                <w:rFonts w:eastAsia="Calibri"/>
                <w:sz w:val="20"/>
                <w:szCs w:val="20"/>
                <w:lang w:eastAsia="en-US"/>
              </w:rPr>
            </w:r>
            <w:r>
              <w:rPr>
                <w:rFonts w:eastAsia="Calibri"/>
                <w:sz w:val="20"/>
                <w:szCs w:val="20"/>
                <w:lang w:eastAsia="en-US"/>
              </w:rPr>
            </w:r>
          </w:p>
          <w:p>
            <w:pPr>
              <w:pStyle w:val="1135"/>
              <w:jc w:val="both"/>
              <w:rPr>
                <w:rFonts w:eastAsia="Calibri"/>
                <w:sz w:val="20"/>
                <w:szCs w:val="20"/>
                <w:lang w:eastAsia="en-US"/>
              </w:rPr>
            </w:pPr>
            <w:r>
              <w:rPr>
                <w:rFonts w:eastAsia="Calibri"/>
                <w:sz w:val="20"/>
                <w:szCs w:val="20"/>
                <w:lang w:eastAsia="en-US"/>
              </w:rPr>
              <w:t xml:space="preserve">- при списании денежных средств, связанных с уплатой налогов, пошлин и иных обязательных платежей в соответствии с законодательством Российской Федерации;</w:t>
            </w:r>
            <w:r>
              <w:rPr>
                <w:rFonts w:eastAsia="Calibri"/>
                <w:sz w:val="20"/>
                <w:szCs w:val="20"/>
                <w:lang w:eastAsia="en-US"/>
              </w:rPr>
            </w:r>
            <w:r>
              <w:rPr>
                <w:rFonts w:eastAsia="Calibri"/>
                <w:sz w:val="20"/>
                <w:szCs w:val="20"/>
                <w:lang w:eastAsia="en-US"/>
              </w:rPr>
            </w:r>
          </w:p>
          <w:p>
            <w:pPr>
              <w:pStyle w:val="1135"/>
              <w:jc w:val="both"/>
              <w:rPr>
                <w:rFonts w:eastAsia="Calibri"/>
                <w:sz w:val="20"/>
                <w:szCs w:val="20"/>
                <w:lang w:eastAsia="en-US"/>
              </w:rPr>
            </w:pPr>
            <w:r>
              <w:rPr>
                <w:rFonts w:eastAsia="Calibri"/>
                <w:sz w:val="20"/>
                <w:szCs w:val="20"/>
                <w:lang w:eastAsia="en-US"/>
              </w:rPr>
              <w:t xml:space="preserve">- </w:t>
            </w:r>
            <w:r>
              <w:rPr>
                <w:rFonts w:eastAsia="Calibri"/>
                <w:bCs/>
                <w:sz w:val="20"/>
                <w:szCs w:val="20"/>
                <w:lang w:eastAsia="en-US"/>
              </w:rPr>
              <w:t xml:space="preserve">по операциям в рамках договоров о перечислении юридическим лицом денежных средств со своего банковского счета в пользу нескольких физических лиц-клиентов Банка</w:t>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none" w:color="000000" w:sz="4" w:space="0"/>
            </w:tcBorders>
            <w:tcW w:w="851" w:type="dxa"/>
            <w:vAlign w:val="top"/>
            <w:textDirection w:val="lrTb"/>
            <w:noWrap w:val="false"/>
          </w:tcPr>
          <w:p>
            <w:pPr>
              <w:pStyle w:val="1135"/>
              <w:jc w:val="center"/>
              <w:rPr>
                <w:rFonts w:eastAsia="Calibri"/>
                <w:sz w:val="20"/>
                <w:szCs w:val="20"/>
                <w:lang w:eastAsia="en-US"/>
              </w:rPr>
            </w:pPr>
            <w:r>
              <w:rPr>
                <w:rFonts w:eastAsia="Calibri"/>
                <w:sz w:val="20"/>
                <w:szCs w:val="20"/>
                <w:lang w:eastAsia="en-US"/>
              </w:rPr>
              <w:t xml:space="preserve">3.2.</w:t>
            </w:r>
            <w:r>
              <w:rPr>
                <w:rFonts w:eastAsia="Calibri"/>
                <w:sz w:val="20"/>
                <w:szCs w:val="20"/>
                <w:lang w:eastAsia="en-US"/>
              </w:rPr>
            </w:r>
            <w:r>
              <w:rPr>
                <w:rFonts w:eastAsia="Calibri"/>
                <w:sz w:val="20"/>
                <w:szCs w:val="20"/>
                <w:lang w:eastAsia="en-US"/>
              </w:rPr>
            </w:r>
          </w:p>
        </w:tc>
        <w:tc>
          <w:tcPr>
            <w:tcBorders>
              <w:bottom w:val="none" w:color="000000" w:sz="4" w:space="0"/>
            </w:tcBorders>
            <w:tcW w:w="2835" w:type="dxa"/>
            <w:vAlign w:val="top"/>
            <w:textDirection w:val="lrTb"/>
            <w:noWrap w:val="false"/>
          </w:tcPr>
          <w:p>
            <w:pPr>
              <w:pStyle w:val="1135"/>
              <w:rPr>
                <w:rFonts w:eastAsia="Calibri"/>
                <w:sz w:val="20"/>
                <w:szCs w:val="20"/>
                <w:lang w:eastAsia="en-US"/>
              </w:rPr>
            </w:pPr>
            <w:r>
              <w:rPr>
                <w:rFonts w:eastAsia="Calibri"/>
                <w:sz w:val="20"/>
                <w:szCs w:val="20"/>
                <w:lang w:eastAsia="en-US"/>
              </w:rPr>
              <w:t xml:space="preserve">Предоставление по запросу резидента информации о коде вида операции, который отражен Банком в данных по операциям при направлении документов резиденту:</w:t>
            </w:r>
            <w:r>
              <w:rPr>
                <w:rFonts w:eastAsia="Calibri"/>
                <w:sz w:val="20"/>
                <w:szCs w:val="20"/>
                <w:lang w:eastAsia="en-US"/>
              </w:rPr>
            </w:r>
            <w:r>
              <w:rPr>
                <w:rFonts w:eastAsia="Calibri"/>
                <w:sz w:val="20"/>
                <w:szCs w:val="20"/>
                <w:lang w:eastAsia="en-US"/>
              </w:rPr>
            </w:r>
          </w:p>
        </w:tc>
        <w:tc>
          <w:tcPr>
            <w:tcBorders>
              <w:bottom w:val="none" w:color="000000" w:sz="4" w:space="0"/>
            </w:tcBorders>
            <w:tcW w:w="2268" w:type="dxa"/>
            <w:vAlign w:val="center"/>
            <w:textDirection w:val="lrTb"/>
            <w:noWrap w:val="false"/>
          </w:tcPr>
          <w:p>
            <w:pPr>
              <w:pStyle w:val="1135"/>
              <w:jc w:val="center"/>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bottom w:val="none" w:color="000000" w:sz="4" w:space="0"/>
            </w:tcBorders>
            <w:tcW w:w="4111" w:type="dxa"/>
            <w:vAlign w:val="top"/>
            <w:textDirection w:val="lrTb"/>
            <w:noWrap w:val="false"/>
          </w:tcPr>
          <w:p>
            <w:pPr>
              <w:pStyle w:val="1135"/>
              <w:jc w:val="both"/>
              <w:tabs>
                <w:tab w:val="left" w:pos="269" w:leader="none"/>
              </w:tabs>
              <w:rPr>
                <w:rFonts w:eastAsia="Calibri"/>
                <w:sz w:val="20"/>
                <w:szCs w:val="20"/>
                <w:lang w:eastAsia="en-US"/>
              </w:rPr>
            </w:pPr>
            <w:r>
              <w:rPr>
                <w:rFonts w:eastAsia="Calibri"/>
                <w:sz w:val="20"/>
                <w:szCs w:val="20"/>
                <w:lang w:eastAsia="en-US"/>
              </w:rPr>
              <w:t xml:space="preserve">Комиссия взимается в срок не позднее следующего рабочего дня после дня оказания услуги***</w:t>
            </w:r>
            <w:r>
              <w:rPr>
                <w:rFonts w:eastAsia="Calibri"/>
                <w:sz w:val="20"/>
                <w:szCs w:val="20"/>
                <w:lang w:eastAsia="en-US"/>
              </w:rPr>
            </w:r>
            <w:r>
              <w:rPr>
                <w:rFonts w:eastAsia="Calibri"/>
                <w:sz w:val="20"/>
                <w:szCs w:val="20"/>
                <w:lang w:eastAsia="en-US"/>
              </w:rPr>
            </w:r>
          </w:p>
          <w:p>
            <w:pPr>
              <w:pStyle w:val="1135"/>
              <w:jc w:val="both"/>
              <w:tabs>
                <w:tab w:val="left" w:pos="269"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1" w:type="dxa"/>
            <w:vAlign w:val="top"/>
            <w:textDirection w:val="lrTb"/>
            <w:noWrap w:val="false"/>
          </w:tcPr>
          <w:p>
            <w:pPr>
              <w:pStyle w:val="1135"/>
              <w:jc w:val="center"/>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top w:val="none" w:color="000000" w:sz="4" w:space="0"/>
              <w:bottom w:val="none" w:color="000000" w:sz="4" w:space="0"/>
            </w:tcBorders>
            <w:tcW w:w="2835" w:type="dxa"/>
            <w:vAlign w:val="top"/>
            <w:textDirection w:val="lrTb"/>
            <w:noWrap w:val="false"/>
          </w:tcPr>
          <w:p>
            <w:pPr>
              <w:pStyle w:val="1135"/>
              <w:rPr>
                <w:rFonts w:eastAsia="Calibri"/>
                <w:sz w:val="20"/>
                <w:szCs w:val="20"/>
                <w:lang w:eastAsia="en-US"/>
              </w:rPr>
            </w:pPr>
            <w:r>
              <w:rPr>
                <w:rFonts w:eastAsia="Calibri"/>
                <w:sz w:val="20"/>
                <w:szCs w:val="20"/>
                <w:lang w:eastAsia="en-US"/>
              </w:rPr>
              <w:t xml:space="preserve">- с использованием системы дистанционного банковского обслуживания;</w:t>
            </w:r>
            <w:r>
              <w:rPr>
                <w:rFonts w:eastAsia="Calibri"/>
                <w:sz w:val="20"/>
                <w:szCs w:val="20"/>
                <w:lang w:eastAsia="en-US"/>
              </w:rPr>
            </w:r>
            <w:r>
              <w:rPr>
                <w:rFonts w:eastAsia="Calibri"/>
                <w:sz w:val="20"/>
                <w:szCs w:val="20"/>
                <w:lang w:eastAsia="en-US"/>
              </w:rPr>
            </w:r>
          </w:p>
        </w:tc>
        <w:tc>
          <w:tcPr>
            <w:tcBorders>
              <w:top w:val="none" w:color="000000" w:sz="4" w:space="0"/>
              <w:bottom w:val="none" w:color="000000" w:sz="4" w:space="0"/>
            </w:tcBorders>
            <w:tcW w:w="2268" w:type="dxa"/>
            <w:vAlign w:val="top"/>
            <w:textDirection w:val="lrTb"/>
            <w:noWrap w:val="false"/>
          </w:tcPr>
          <w:p>
            <w:pPr>
              <w:pStyle w:val="1135"/>
              <w:jc w:val="center"/>
              <w:rPr>
                <w:rFonts w:eastAsia="Calibri"/>
                <w:sz w:val="20"/>
                <w:szCs w:val="20"/>
                <w:lang w:eastAsia="en-US"/>
              </w:rPr>
            </w:pPr>
            <w:r>
              <w:rPr>
                <w:rFonts w:eastAsia="Calibri"/>
                <w:sz w:val="20"/>
                <w:szCs w:val="20"/>
                <w:lang w:eastAsia="en-US"/>
              </w:rPr>
              <w:t xml:space="preserve">450 руб.                     </w:t>
            </w:r>
            <w:r>
              <w:rPr>
                <w:rFonts w:eastAsia="Calibri"/>
                <w:sz w:val="20"/>
                <w:szCs w:val="20"/>
                <w:lang w:eastAsia="en-US"/>
              </w:rPr>
            </w:r>
            <w:r>
              <w:rPr>
                <w:rFonts w:eastAsia="Calibri"/>
                <w:sz w:val="20"/>
                <w:szCs w:val="20"/>
                <w:lang w:eastAsia="en-US"/>
              </w:rPr>
            </w:r>
          </w:p>
          <w:p>
            <w:pPr>
              <w:pStyle w:val="1135"/>
              <w:jc w:val="center"/>
              <w:rPr>
                <w:rFonts w:eastAsia="Calibri"/>
                <w:sz w:val="20"/>
                <w:szCs w:val="20"/>
                <w:lang w:eastAsia="en-US"/>
              </w:rPr>
            </w:pPr>
            <w:r>
              <w:rPr>
                <w:rFonts w:eastAsia="Calibri"/>
                <w:sz w:val="20"/>
                <w:szCs w:val="20"/>
                <w:lang w:eastAsia="en-US"/>
              </w:rPr>
              <w:t xml:space="preserve">за одну операцию</w:t>
            </w:r>
            <w:r>
              <w:rPr>
                <w:rFonts w:eastAsia="Calibri"/>
                <w:sz w:val="20"/>
                <w:szCs w:val="20"/>
                <w:lang w:eastAsia="en-US"/>
              </w:rPr>
            </w:r>
            <w:r>
              <w:rPr>
                <w:rFonts w:eastAsia="Calibri"/>
                <w:sz w:val="20"/>
                <w:szCs w:val="20"/>
                <w:lang w:eastAsia="en-US"/>
              </w:rPr>
            </w:r>
          </w:p>
        </w:tc>
        <w:tc>
          <w:tcPr>
            <w:tcBorders>
              <w:top w:val="none" w:color="000000" w:sz="4" w:space="0"/>
              <w:bottom w:val="none" w:color="000000" w:sz="4" w:space="0"/>
            </w:tcBorders>
            <w:tcW w:w="4111" w:type="dxa"/>
            <w:vAlign w:val="top"/>
            <w:textDirection w:val="lrTb"/>
            <w:noWrap w:val="false"/>
          </w:tcPr>
          <w:p>
            <w:pPr>
              <w:pStyle w:val="1135"/>
              <w:jc w:val="both"/>
              <w:tabs>
                <w:tab w:val="left" w:pos="269"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single" w:color="000000" w:sz="4" w:space="0"/>
            </w:tcBorders>
            <w:tcW w:w="851" w:type="dxa"/>
            <w:vAlign w:val="top"/>
            <w:textDirection w:val="lrTb"/>
            <w:noWrap w:val="false"/>
          </w:tcPr>
          <w:p>
            <w:pPr>
              <w:pStyle w:val="1135"/>
              <w:jc w:val="center"/>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top w:val="none" w:color="000000" w:sz="4" w:space="0"/>
              <w:bottom w:val="single" w:color="000000" w:sz="4" w:space="0"/>
            </w:tcBorders>
            <w:tcW w:w="2835" w:type="dxa"/>
            <w:vAlign w:val="top"/>
            <w:textDirection w:val="lrTb"/>
            <w:noWrap w:val="false"/>
          </w:tcPr>
          <w:p>
            <w:pPr>
              <w:pStyle w:val="1135"/>
              <w:rPr>
                <w:rFonts w:eastAsia="Calibri"/>
                <w:sz w:val="20"/>
                <w:szCs w:val="20"/>
                <w:lang w:eastAsia="en-US"/>
              </w:rPr>
            </w:pPr>
            <w:r>
              <w:rPr>
                <w:rFonts w:eastAsia="Calibri"/>
                <w:sz w:val="20"/>
                <w:szCs w:val="20"/>
                <w:lang w:eastAsia="en-US"/>
              </w:rPr>
              <w:t xml:space="preserve">- на бумажном носителе</w:t>
            </w:r>
            <w:r>
              <w:rPr>
                <w:rFonts w:eastAsia="Calibri"/>
                <w:sz w:val="20"/>
                <w:szCs w:val="20"/>
                <w:lang w:eastAsia="en-US"/>
              </w:rPr>
            </w:r>
            <w:r>
              <w:rPr>
                <w:rFonts w:eastAsia="Calibri"/>
                <w:sz w:val="20"/>
                <w:szCs w:val="20"/>
                <w:lang w:eastAsia="en-US"/>
              </w:rPr>
            </w:r>
          </w:p>
        </w:tc>
        <w:tc>
          <w:tcPr>
            <w:tcBorders>
              <w:top w:val="none" w:color="000000" w:sz="4" w:space="0"/>
              <w:bottom w:val="single" w:color="000000" w:sz="4" w:space="0"/>
            </w:tcBorders>
            <w:tcW w:w="2268" w:type="dxa"/>
            <w:vAlign w:val="top"/>
            <w:textDirection w:val="lrTb"/>
            <w:noWrap w:val="false"/>
          </w:tcPr>
          <w:p>
            <w:pPr>
              <w:pStyle w:val="1135"/>
              <w:jc w:val="center"/>
              <w:rPr>
                <w:rFonts w:eastAsia="Calibri"/>
                <w:sz w:val="20"/>
                <w:szCs w:val="20"/>
                <w:lang w:eastAsia="en-US"/>
              </w:rPr>
            </w:pPr>
            <w:r>
              <w:rPr>
                <w:rFonts w:eastAsia="Calibri"/>
                <w:sz w:val="20"/>
                <w:szCs w:val="20"/>
                <w:lang w:eastAsia="en-US"/>
              </w:rPr>
              <w:t xml:space="preserve">700 руб.                     </w:t>
            </w:r>
            <w:r>
              <w:rPr>
                <w:rFonts w:eastAsia="Calibri"/>
                <w:sz w:val="20"/>
                <w:szCs w:val="20"/>
                <w:lang w:eastAsia="en-US"/>
              </w:rPr>
            </w:r>
            <w:r>
              <w:rPr>
                <w:rFonts w:eastAsia="Calibri"/>
                <w:sz w:val="20"/>
                <w:szCs w:val="20"/>
                <w:lang w:eastAsia="en-US"/>
              </w:rPr>
            </w:r>
          </w:p>
          <w:p>
            <w:pPr>
              <w:pStyle w:val="1135"/>
              <w:jc w:val="center"/>
              <w:rPr>
                <w:rFonts w:eastAsia="Calibri"/>
                <w:sz w:val="20"/>
                <w:szCs w:val="20"/>
                <w:lang w:eastAsia="en-US"/>
              </w:rPr>
            </w:pPr>
            <w:r>
              <w:rPr>
                <w:rFonts w:eastAsia="Calibri"/>
                <w:sz w:val="20"/>
                <w:szCs w:val="20"/>
                <w:lang w:eastAsia="en-US"/>
              </w:rPr>
              <w:t xml:space="preserve">за одну операцию</w:t>
            </w:r>
            <w:r>
              <w:rPr>
                <w:rFonts w:eastAsia="Calibri"/>
                <w:sz w:val="20"/>
                <w:szCs w:val="20"/>
                <w:lang w:eastAsia="en-US"/>
              </w:rPr>
            </w:r>
            <w:r>
              <w:rPr>
                <w:rFonts w:eastAsia="Calibri"/>
                <w:sz w:val="20"/>
                <w:szCs w:val="20"/>
                <w:lang w:eastAsia="en-US"/>
              </w:rPr>
            </w:r>
          </w:p>
        </w:tc>
        <w:tc>
          <w:tcPr>
            <w:tcBorders>
              <w:top w:val="none" w:color="000000" w:sz="4" w:space="0"/>
              <w:bottom w:val="single" w:color="000000" w:sz="4" w:space="0"/>
            </w:tcBorders>
            <w:tcW w:w="4111" w:type="dxa"/>
            <w:vAlign w:val="top"/>
            <w:textDirection w:val="lrTb"/>
            <w:noWrap w:val="false"/>
          </w:tcPr>
          <w:p>
            <w:pPr>
              <w:pStyle w:val="1135"/>
              <w:jc w:val="both"/>
              <w:tabs>
                <w:tab w:val="left" w:pos="269"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135"/>
              <w:jc w:val="center"/>
              <w:spacing w:before="40" w:after="40"/>
              <w:rPr>
                <w:rFonts w:eastAsia="Calibri"/>
                <w:sz w:val="20"/>
                <w:szCs w:val="20"/>
                <w:lang w:eastAsia="en-US"/>
              </w:rPr>
            </w:pPr>
            <w:r>
              <w:rPr>
                <w:rFonts w:eastAsia="Calibri"/>
                <w:sz w:val="20"/>
                <w:szCs w:val="20"/>
                <w:lang w:eastAsia="en-US"/>
              </w:rPr>
              <w:t xml:space="preserve">3.3.</w:t>
            </w:r>
            <w:r>
              <w:rPr>
                <w:rFonts w:eastAsia="Calibri"/>
                <w:sz w:val="20"/>
                <w:szCs w:val="20"/>
                <w:lang w:eastAsia="en-US"/>
              </w:rPr>
            </w:r>
            <w:r>
              <w:rPr>
                <w:rFonts w:eastAsia="Calibri"/>
                <w:sz w:val="20"/>
                <w:szCs w:val="20"/>
                <w:lang w:eastAsia="en-US"/>
              </w:rPr>
            </w:r>
          </w:p>
        </w:tc>
        <w:tc>
          <w:tcPr>
            <w:gridSpan w:val="3"/>
            <w:tcBorders>
              <w:bottom w:val="single" w:color="000000" w:sz="4" w:space="0"/>
            </w:tcBorders>
            <w:tcW w:w="9214" w:type="dxa"/>
            <w:vAlign w:val="top"/>
            <w:textDirection w:val="lrTb"/>
            <w:noWrap w:val="false"/>
          </w:tcPr>
          <w:p>
            <w:pPr>
              <w:pStyle w:val="1135"/>
              <w:jc w:val="both"/>
              <w:spacing w:before="40" w:after="40"/>
              <w:tabs>
                <w:tab w:val="left" w:pos="269" w:leader="none"/>
              </w:tabs>
              <w:rPr>
                <w:rFonts w:eastAsia="Calibri"/>
                <w:sz w:val="20"/>
                <w:szCs w:val="20"/>
                <w:lang w:eastAsia="en-US"/>
              </w:rPr>
            </w:pPr>
            <w:r>
              <w:rPr>
                <w:rFonts w:eastAsia="Calibri"/>
                <w:sz w:val="20"/>
                <w:szCs w:val="20"/>
                <w:lang w:eastAsia="en-US"/>
              </w:rPr>
              <w:t xml:space="preserve">Постановка контракта (кредитного договора) на учет</w:t>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135"/>
              <w:jc w:val="center"/>
              <w:spacing w:before="40" w:after="40"/>
              <w:rPr>
                <w:rFonts w:eastAsia="Calibri"/>
                <w:sz w:val="20"/>
                <w:szCs w:val="20"/>
                <w:lang w:eastAsia="en-US"/>
              </w:rPr>
            </w:pPr>
            <w:r>
              <w:rPr>
                <w:rFonts w:eastAsia="Calibri"/>
                <w:sz w:val="20"/>
                <w:szCs w:val="20"/>
                <w:lang w:eastAsia="en-US"/>
              </w:rPr>
              <w:t xml:space="preserve">3.3.1.</w:t>
            </w:r>
            <w:r>
              <w:rPr>
                <w:rFonts w:eastAsia="Calibri"/>
                <w:sz w:val="20"/>
                <w:szCs w:val="20"/>
                <w:lang w:eastAsia="en-US"/>
              </w:rPr>
            </w:r>
            <w:r>
              <w:rPr>
                <w:rFonts w:eastAsia="Calibri"/>
                <w:sz w:val="20"/>
                <w:szCs w:val="20"/>
                <w:lang w:eastAsia="en-US"/>
              </w:rPr>
            </w:r>
          </w:p>
        </w:tc>
        <w:tc>
          <w:tcPr>
            <w:tcBorders>
              <w:bottom w:val="single" w:color="000000" w:sz="4" w:space="0"/>
            </w:tcBorders>
            <w:tcW w:w="2835" w:type="dxa"/>
            <w:vAlign w:val="top"/>
            <w:textDirection w:val="lrTb"/>
            <w:noWrap w:val="false"/>
          </w:tcPr>
          <w:p>
            <w:pPr>
              <w:pStyle w:val="1135"/>
              <w:spacing w:before="40" w:after="40"/>
              <w:rPr>
                <w:rFonts w:eastAsia="Calibri"/>
                <w:sz w:val="20"/>
                <w:szCs w:val="20"/>
                <w:lang w:eastAsia="en-US"/>
              </w:rPr>
            </w:pPr>
            <w:r>
              <w:rPr>
                <w:rFonts w:eastAsia="Calibri"/>
                <w:sz w:val="20"/>
                <w:szCs w:val="20"/>
                <w:lang w:eastAsia="en-US"/>
              </w:rPr>
              <w:t xml:space="preserve">Постановка контракта (кредитного договора) на учет/внесение изменений в раздел </w:t>
            </w:r>
            <w:r>
              <w:rPr>
                <w:rFonts w:eastAsia="Calibri"/>
                <w:sz w:val="20"/>
                <w:szCs w:val="20"/>
                <w:lang w:val="en-US" w:eastAsia="en-US"/>
              </w:rPr>
              <w:t xml:space="preserve">I</w:t>
            </w:r>
            <w:r>
              <w:rPr>
                <w:rFonts w:eastAsia="Calibri"/>
                <w:sz w:val="20"/>
                <w:szCs w:val="20"/>
                <w:lang w:eastAsia="en-US"/>
              </w:rPr>
              <w:t xml:space="preserve"> ведомости банковского контроля/принятие на обслуживание контракта (кредитного договора) из другого уполномоченного банка</w:t>
            </w:r>
            <w:r>
              <w:rPr>
                <w:rFonts w:eastAsia="Calibri"/>
                <w:sz w:val="20"/>
                <w:szCs w:val="20"/>
                <w:lang w:eastAsia="en-US"/>
              </w:rPr>
            </w:r>
            <w:r>
              <w:rPr>
                <w:rFonts w:eastAsia="Calibri"/>
                <w:sz w:val="20"/>
                <w:szCs w:val="20"/>
                <w:lang w:eastAsia="en-US"/>
              </w:rPr>
            </w:r>
          </w:p>
        </w:tc>
        <w:tc>
          <w:tcPr>
            <w:tcBorders>
              <w:bottom w:val="single" w:color="000000" w:sz="4" w:space="0"/>
            </w:tcBorders>
            <w:tcW w:w="2268" w:type="dxa"/>
            <w:vAlign w:val="center"/>
            <w:textDirection w:val="lrTb"/>
            <w:noWrap w:val="false"/>
          </w:tcPr>
          <w:p>
            <w:pPr>
              <w:pStyle w:val="1135"/>
              <w:jc w:val="center"/>
              <w:spacing w:before="40" w:after="40"/>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r>
              <w:rPr>
                <w:rFonts w:eastAsia="Calibri"/>
                <w:sz w:val="20"/>
                <w:szCs w:val="20"/>
                <w:lang w:eastAsia="en-US"/>
              </w:rPr>
            </w:r>
          </w:p>
        </w:tc>
        <w:tc>
          <w:tcPr>
            <w:tcW w:w="4111" w:type="dxa"/>
            <w:vAlign w:val="top"/>
            <w:textDirection w:val="lrTb"/>
            <w:noWrap w:val="false"/>
          </w:tcPr>
          <w:p>
            <w:pPr>
              <w:pStyle w:val="1135"/>
              <w:spacing w:before="40" w:after="40"/>
              <w:rPr>
                <w:rFonts w:eastAsia="Calibri"/>
                <w:b/>
                <w:sz w:val="20"/>
                <w:szCs w:val="20"/>
                <w:lang w:eastAsia="en-US"/>
              </w:rPr>
            </w:pPr>
            <w:r>
              <w:rPr>
                <w:rFonts w:eastAsia="Calibri"/>
                <w:bCs/>
                <w:sz w:val="20"/>
                <w:szCs w:val="20"/>
                <w:lang w:eastAsia="en-US"/>
              </w:rPr>
              <w:t xml:space="preserve">При условии предоставления клиентом контракта (кредитного договора) и иной информации, необходимой для постановки контракта (кредитного договора) на учет</w:t>
            </w:r>
            <w:r>
              <w:rPr>
                <w:rFonts w:eastAsia="Calibri"/>
                <w:b/>
                <w:sz w:val="20"/>
                <w:szCs w:val="20"/>
                <w:lang w:eastAsia="en-US"/>
              </w:rPr>
            </w:r>
            <w:r>
              <w:rPr>
                <w:rFonts w:eastAsia="Calibri"/>
                <w:b/>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135"/>
              <w:jc w:val="center"/>
              <w:spacing w:before="40" w:after="40"/>
              <w:rPr>
                <w:rFonts w:eastAsia="Calibri"/>
                <w:sz w:val="20"/>
                <w:szCs w:val="20"/>
                <w:lang w:eastAsia="en-US"/>
              </w:rPr>
            </w:pPr>
            <w:r>
              <w:rPr>
                <w:rFonts w:eastAsia="Calibri"/>
                <w:sz w:val="20"/>
                <w:szCs w:val="20"/>
                <w:lang w:eastAsia="en-US"/>
              </w:rPr>
              <w:t xml:space="preserve">3.3.2. </w:t>
            </w:r>
            <w:r>
              <w:rPr>
                <w:rFonts w:eastAsia="Calibri"/>
                <w:sz w:val="20"/>
                <w:szCs w:val="20"/>
                <w:lang w:eastAsia="en-US"/>
              </w:rPr>
            </w:r>
            <w:r>
              <w:rPr>
                <w:rFonts w:eastAsia="Calibri"/>
                <w:sz w:val="20"/>
                <w:szCs w:val="20"/>
                <w:lang w:eastAsia="en-US"/>
              </w:rPr>
            </w:r>
          </w:p>
        </w:tc>
        <w:tc>
          <w:tcPr>
            <w:tcBorders>
              <w:bottom w:val="single" w:color="000000" w:sz="4" w:space="0"/>
            </w:tcBorders>
            <w:tcW w:w="2835" w:type="dxa"/>
            <w:vAlign w:val="top"/>
            <w:textDirection w:val="lrTb"/>
            <w:noWrap w:val="false"/>
          </w:tcPr>
          <w:p>
            <w:pPr>
              <w:pStyle w:val="1135"/>
              <w:spacing w:before="40" w:after="40"/>
              <w:rPr>
                <w:rFonts w:eastAsia="Calibri"/>
                <w:sz w:val="20"/>
                <w:szCs w:val="20"/>
                <w:lang w:eastAsia="en-US"/>
              </w:rPr>
            </w:pPr>
            <w:r>
              <w:rPr>
                <w:rFonts w:eastAsia="Calibri"/>
                <w:sz w:val="20"/>
                <w:szCs w:val="20"/>
                <w:lang w:eastAsia="en-US"/>
              </w:rPr>
              <w:t xml:space="preserve">Постановка экспортного контракта на учет на основании сведений о контракте, необходимых для постановки экспортного контракта на учет без одновременного представления экспортного контракта</w:t>
            </w:r>
            <w:r>
              <w:rPr>
                <w:rFonts w:eastAsia="Calibri"/>
                <w:sz w:val="20"/>
                <w:szCs w:val="20"/>
                <w:lang w:eastAsia="en-US"/>
              </w:rPr>
            </w:r>
            <w:r>
              <w:rPr>
                <w:rFonts w:eastAsia="Calibri"/>
                <w:sz w:val="20"/>
                <w:szCs w:val="20"/>
                <w:lang w:eastAsia="en-US"/>
              </w:rPr>
            </w:r>
          </w:p>
        </w:tc>
        <w:tc>
          <w:tcPr>
            <w:tcBorders>
              <w:bottom w:val="single" w:color="000000" w:sz="4" w:space="0"/>
            </w:tcBorders>
            <w:tcW w:w="2268" w:type="dxa"/>
            <w:vAlign w:val="center"/>
            <w:textDirection w:val="lrTb"/>
            <w:noWrap w:val="false"/>
          </w:tcPr>
          <w:p>
            <w:pPr>
              <w:pStyle w:val="1135"/>
              <w:jc w:val="center"/>
              <w:spacing w:before="40" w:after="40"/>
              <w:rPr>
                <w:rFonts w:eastAsia="Calibri"/>
                <w:sz w:val="20"/>
                <w:szCs w:val="20"/>
                <w:lang w:eastAsia="en-US"/>
              </w:rPr>
            </w:pPr>
            <w:r>
              <w:rPr>
                <w:rFonts w:eastAsia="Calibri"/>
                <w:sz w:val="20"/>
                <w:szCs w:val="20"/>
                <w:lang w:eastAsia="en-US"/>
              </w:rPr>
              <w:t xml:space="preserve">1 500 руб.</w:t>
            </w:r>
            <w:r>
              <w:rPr>
                <w:rFonts w:eastAsia="Calibri"/>
                <w:sz w:val="20"/>
                <w:szCs w:val="20"/>
                <w:lang w:eastAsia="en-US"/>
              </w:rPr>
            </w:r>
            <w:r>
              <w:rPr>
                <w:rFonts w:eastAsia="Calibri"/>
                <w:sz w:val="20"/>
                <w:szCs w:val="20"/>
                <w:lang w:eastAsia="en-US"/>
              </w:rPr>
            </w:r>
          </w:p>
        </w:tc>
        <w:tc>
          <w:tcPr>
            <w:tcW w:w="4111" w:type="dxa"/>
            <w:vAlign w:val="top"/>
            <w:textDirection w:val="lrTb"/>
            <w:noWrap w:val="false"/>
          </w:tcPr>
          <w:p>
            <w:pPr>
              <w:pStyle w:val="1135"/>
              <w:jc w:val="both"/>
              <w:spacing w:before="40" w:after="40"/>
              <w:tabs>
                <w:tab w:val="left" w:pos="269" w:leader="none"/>
              </w:tabs>
              <w:rPr>
                <w:rFonts w:eastAsia="Calibri"/>
                <w:sz w:val="20"/>
                <w:szCs w:val="20"/>
                <w:lang w:eastAsia="en-US"/>
              </w:rPr>
            </w:pPr>
            <w:r>
              <w:rPr>
                <w:rFonts w:eastAsia="Calibri"/>
                <w:sz w:val="20"/>
                <w:szCs w:val="20"/>
                <w:lang w:eastAsia="en-US"/>
              </w:rPr>
              <w:t xml:space="preserve">Комиссия взимается в срок не позднее следующего рабочего дня после дня оказания услуги***</w:t>
            </w:r>
            <w:r>
              <w:rPr>
                <w:rFonts w:eastAsia="Calibri"/>
                <w:sz w:val="20"/>
                <w:szCs w:val="20"/>
                <w:lang w:eastAsia="en-US"/>
              </w:rPr>
            </w:r>
            <w:r>
              <w:rPr>
                <w:rFonts w:eastAsia="Calibri"/>
                <w:sz w:val="20"/>
                <w:szCs w:val="20"/>
                <w:lang w:eastAsia="en-US"/>
              </w:rPr>
            </w:r>
          </w:p>
          <w:p>
            <w:pPr>
              <w:pStyle w:val="1135"/>
              <w:spacing w:before="40" w:after="40"/>
              <w:rPr>
                <w:rFonts w:eastAsia="Calibri"/>
                <w:bCs/>
                <w:sz w:val="20"/>
                <w:szCs w:val="20"/>
                <w:lang w:eastAsia="en-US"/>
              </w:rPr>
            </w:pPr>
            <w:r>
              <w:rPr>
                <w:rFonts w:eastAsia="Calibri"/>
                <w:bCs/>
                <w:sz w:val="20"/>
                <w:szCs w:val="20"/>
                <w:lang w:eastAsia="en-US"/>
              </w:rPr>
            </w:r>
            <w:r>
              <w:rPr>
                <w:rFonts w:eastAsia="Calibri"/>
                <w:bCs/>
                <w:sz w:val="20"/>
                <w:szCs w:val="20"/>
                <w:lang w:eastAsia="en-US"/>
              </w:rPr>
            </w:r>
            <w:r>
              <w:rPr>
                <w:rFonts w:eastAsia="Calibri"/>
                <w:b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35"/>
              <w:jc w:val="center"/>
              <w:spacing w:before="40" w:after="40"/>
              <w:rPr>
                <w:rFonts w:eastAsia="Calibri"/>
                <w:sz w:val="20"/>
                <w:szCs w:val="20"/>
                <w:lang w:eastAsia="en-US"/>
              </w:rPr>
            </w:pPr>
            <w:r>
              <w:rPr>
                <w:rFonts w:eastAsia="Calibri"/>
                <w:sz w:val="20"/>
                <w:szCs w:val="20"/>
                <w:lang w:eastAsia="en-US"/>
              </w:rPr>
              <w:t xml:space="preserve">3.3.3</w:t>
            </w:r>
            <w:r>
              <w:rPr>
                <w:rFonts w:eastAsia="Calibri"/>
                <w:sz w:val="20"/>
                <w:szCs w:val="20"/>
                <w:lang w:eastAsia="en-US"/>
              </w:rPr>
            </w:r>
            <w:r>
              <w:rPr>
                <w:rFonts w:eastAsia="Calibri"/>
                <w:sz w:val="20"/>
                <w:szCs w:val="20"/>
                <w:lang w:eastAsia="en-US"/>
              </w:rPr>
            </w:r>
          </w:p>
        </w:tc>
        <w:tc>
          <w:tcPr>
            <w:tcBorders>
              <w:top w:val="single" w:color="000000" w:sz="4" w:space="0"/>
              <w:left w:val="single" w:color="000000" w:sz="4" w:space="0"/>
              <w:bottom w:val="none" w:color="000000" w:sz="4" w:space="0"/>
              <w:right w:val="single" w:color="000000" w:sz="4" w:space="0"/>
            </w:tcBorders>
            <w:tcW w:w="2835" w:type="dxa"/>
            <w:vAlign w:val="top"/>
            <w:textDirection w:val="lrTb"/>
            <w:noWrap w:val="false"/>
          </w:tcPr>
          <w:p>
            <w:pPr>
              <w:pStyle w:val="1135"/>
              <w:spacing w:before="40" w:after="40"/>
              <w:rPr>
                <w:rFonts w:eastAsia="Calibri"/>
                <w:sz w:val="20"/>
                <w:szCs w:val="20"/>
                <w:lang w:eastAsia="en-US"/>
              </w:rPr>
            </w:pPr>
            <w:r>
              <w:rPr>
                <w:rFonts w:eastAsia="Calibri"/>
                <w:sz w:val="20"/>
                <w:szCs w:val="20"/>
                <w:lang w:eastAsia="en-US"/>
              </w:rPr>
              <w:t xml:space="preserve">Предоставление по запросу клиента ведомости банковского контроля, в том числе информации о внесении изменений в I раздел ведомости банковского контроля:</w:t>
            </w:r>
            <w:r>
              <w:rPr>
                <w:rFonts w:eastAsia="Calibri"/>
                <w:sz w:val="20"/>
                <w:szCs w:val="20"/>
                <w:lang w:eastAsia="en-US"/>
              </w:rPr>
            </w:r>
            <w:r>
              <w:rPr>
                <w:rFonts w:eastAsia="Calibri"/>
                <w:sz w:val="20"/>
                <w:szCs w:val="20"/>
                <w:lang w:eastAsia="en-US"/>
              </w:rPr>
            </w:r>
          </w:p>
        </w:tc>
        <w:tc>
          <w:tcPr>
            <w:tcBorders>
              <w:top w:val="single" w:color="000000" w:sz="4" w:space="0"/>
              <w:left w:val="single" w:color="000000" w:sz="4" w:space="0"/>
              <w:bottom w:val="none" w:color="000000" w:sz="4" w:space="0"/>
              <w:right w:val="single" w:color="000000" w:sz="4" w:space="0"/>
            </w:tcBorders>
            <w:tcW w:w="2268" w:type="dxa"/>
            <w:vAlign w:val="center"/>
            <w:textDirection w:val="lrTb"/>
            <w:noWrap w:val="false"/>
          </w:tcPr>
          <w:p>
            <w:pPr>
              <w:pStyle w:val="1135"/>
              <w:jc w:val="center"/>
              <w:spacing w:before="40" w:after="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top w:val="single" w:color="000000" w:sz="4" w:space="0"/>
              <w:left w:val="single" w:color="000000" w:sz="4" w:space="0"/>
              <w:right w:val="single" w:color="000000" w:sz="4" w:space="0"/>
            </w:tcBorders>
            <w:tcW w:w="4111" w:type="dxa"/>
            <w:vAlign w:val="top"/>
            <w:vMerge w:val="restart"/>
            <w:textDirection w:val="lrTb"/>
            <w:noWrap w:val="false"/>
          </w:tcPr>
          <w:p>
            <w:pPr>
              <w:pStyle w:val="1135"/>
              <w:jc w:val="both"/>
              <w:spacing w:before="40" w:after="40"/>
              <w:tabs>
                <w:tab w:val="left" w:pos="269" w:leader="none"/>
              </w:tabs>
              <w:rPr>
                <w:rFonts w:eastAsia="Calibri"/>
                <w:sz w:val="20"/>
                <w:szCs w:val="20"/>
                <w:lang w:eastAsia="en-US"/>
              </w:rPr>
            </w:pPr>
            <w:r>
              <w:rPr>
                <w:rFonts w:eastAsia="Calibri"/>
                <w:sz w:val="20"/>
                <w:szCs w:val="20"/>
                <w:lang w:eastAsia="en-US"/>
              </w:rPr>
              <w:t xml:space="preserve">Комиссия взимается в срок не позднее следующего рабочего дня после дня оказания услуги***».</w:t>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5"/>
              <w:jc w:val="center"/>
              <w:spacing w:before="40" w:after="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2835" w:type="dxa"/>
            <w:vAlign w:val="top"/>
            <w:textDirection w:val="lrTb"/>
            <w:noWrap w:val="false"/>
          </w:tcPr>
          <w:p>
            <w:pPr>
              <w:pStyle w:val="1135"/>
              <w:spacing w:before="40" w:after="40"/>
              <w:rPr>
                <w:rFonts w:eastAsia="Calibri"/>
                <w:sz w:val="20"/>
                <w:szCs w:val="20"/>
                <w:lang w:eastAsia="en-US"/>
              </w:rPr>
            </w:pPr>
            <w:r>
              <w:rPr>
                <w:rFonts w:eastAsia="Calibri"/>
                <w:sz w:val="20"/>
                <w:szCs w:val="20"/>
                <w:lang w:eastAsia="en-US"/>
              </w:rPr>
              <w:t xml:space="preserve">- с использованием системы дистанционного банковского обслуживания;</w:t>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2268" w:type="dxa"/>
            <w:vAlign w:val="center"/>
            <w:textDirection w:val="lrTb"/>
            <w:noWrap w:val="false"/>
          </w:tcPr>
          <w:p>
            <w:pPr>
              <w:pStyle w:val="1135"/>
              <w:jc w:val="center"/>
              <w:spacing w:before="40" w:after="40"/>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r>
              <w:rPr>
                <w:rFonts w:eastAsia="Calibri"/>
                <w:sz w:val="20"/>
                <w:szCs w:val="20"/>
                <w:lang w:eastAsia="en-US"/>
              </w:rPr>
            </w:r>
          </w:p>
        </w:tc>
        <w:tc>
          <w:tcPr>
            <w:tcBorders>
              <w:left w:val="single" w:color="000000" w:sz="4" w:space="0"/>
              <w:right w:val="single" w:color="000000" w:sz="4" w:space="0"/>
            </w:tcBorders>
            <w:tcW w:w="4111" w:type="dxa"/>
            <w:vAlign w:val="top"/>
            <w:vMerge w:val="continue"/>
            <w:textDirection w:val="lrTb"/>
            <w:noWrap w:val="false"/>
          </w:tcPr>
          <w:p>
            <w:pPr>
              <w:pStyle w:val="1135"/>
              <w:jc w:val="both"/>
              <w:spacing w:before="40" w:after="40"/>
              <w:tabs>
                <w:tab w:val="left" w:pos="269"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70"/>
        </w:trPr>
        <w:tc>
          <w:tcPr>
            <w:tcBorders>
              <w:top w:val="none" w:color="000000" w:sz="4" w:space="0"/>
              <w:left w:val="single" w:color="000000" w:sz="4" w:space="0"/>
              <w:bottom w:val="single" w:color="000000" w:sz="4" w:space="0"/>
              <w:right w:val="single" w:color="000000" w:sz="4" w:space="0"/>
            </w:tcBorders>
            <w:tcW w:w="851" w:type="dxa"/>
            <w:vAlign w:val="top"/>
            <w:textDirection w:val="lrTb"/>
            <w:noWrap w:val="false"/>
          </w:tcPr>
          <w:p>
            <w:pPr>
              <w:pStyle w:val="1135"/>
              <w:jc w:val="center"/>
              <w:spacing w:before="40" w:after="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single" w:color="000000" w:sz="4" w:space="0"/>
              <w:right w:val="single" w:color="000000" w:sz="4" w:space="0"/>
            </w:tcBorders>
            <w:tcW w:w="2835" w:type="dxa"/>
            <w:vAlign w:val="top"/>
            <w:textDirection w:val="lrTb"/>
            <w:noWrap w:val="false"/>
          </w:tcPr>
          <w:p>
            <w:pPr>
              <w:pStyle w:val="1135"/>
              <w:spacing w:before="40" w:after="40"/>
              <w:rPr>
                <w:rFonts w:eastAsia="Calibri"/>
                <w:sz w:val="20"/>
                <w:szCs w:val="20"/>
                <w:lang w:eastAsia="en-US"/>
              </w:rPr>
            </w:pPr>
            <w:r>
              <w:rPr>
                <w:rFonts w:eastAsia="Calibri"/>
                <w:sz w:val="20"/>
                <w:szCs w:val="20"/>
                <w:lang w:eastAsia="en-US"/>
              </w:rPr>
              <w:t xml:space="preserve">- на бумажном носителе</w:t>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single" w:color="000000" w:sz="4" w:space="0"/>
              <w:right w:val="single" w:color="000000" w:sz="4" w:space="0"/>
            </w:tcBorders>
            <w:tcW w:w="2268" w:type="dxa"/>
            <w:vAlign w:val="center"/>
            <w:textDirection w:val="lrTb"/>
            <w:noWrap w:val="false"/>
          </w:tcPr>
          <w:p>
            <w:pPr>
              <w:pStyle w:val="1135"/>
              <w:jc w:val="center"/>
              <w:spacing w:before="40" w:after="40"/>
              <w:rPr>
                <w:rFonts w:eastAsia="Calibri"/>
                <w:sz w:val="20"/>
                <w:szCs w:val="20"/>
                <w:lang w:eastAsia="en-US"/>
              </w:rPr>
            </w:pPr>
            <w:r>
              <w:rPr>
                <w:rFonts w:eastAsia="Calibri"/>
                <w:sz w:val="20"/>
                <w:szCs w:val="20"/>
                <w:lang w:eastAsia="en-US"/>
              </w:rPr>
              <w:t xml:space="preserve">500 руб. за одну ведомость банковского контроля</w:t>
            </w:r>
            <w:r>
              <w:rPr>
                <w:rFonts w:eastAsia="Calibri"/>
                <w:sz w:val="20"/>
                <w:szCs w:val="20"/>
                <w:lang w:eastAsia="en-US"/>
              </w:rPr>
            </w:r>
            <w:r>
              <w:rPr>
                <w:rFonts w:eastAsia="Calibri"/>
                <w:sz w:val="20"/>
                <w:szCs w:val="20"/>
                <w:lang w:eastAsia="en-US"/>
              </w:rPr>
            </w:r>
          </w:p>
          <w:p>
            <w:pPr>
              <w:pStyle w:val="1135"/>
              <w:jc w:val="center"/>
              <w:spacing w:before="40" w:after="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left w:val="single" w:color="000000" w:sz="4" w:space="0"/>
              <w:right w:val="single" w:color="000000" w:sz="4" w:space="0"/>
            </w:tcBorders>
            <w:tcW w:w="4111" w:type="dxa"/>
            <w:vAlign w:val="top"/>
            <w:vMerge w:val="continue"/>
            <w:textDirection w:val="lrTb"/>
            <w:noWrap w:val="false"/>
          </w:tcPr>
          <w:p>
            <w:pPr>
              <w:pStyle w:val="1135"/>
              <w:jc w:val="both"/>
              <w:spacing w:before="40" w:after="40"/>
              <w:tabs>
                <w:tab w:val="left" w:pos="269"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423"/>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35"/>
              <w:jc w:val="center"/>
              <w:spacing w:before="40" w:after="40"/>
              <w:rPr>
                <w:rFonts w:eastAsia="Calibri"/>
                <w:sz w:val="20"/>
                <w:szCs w:val="20"/>
                <w:lang w:eastAsia="en-US"/>
              </w:rPr>
            </w:pPr>
            <w:r>
              <w:rPr>
                <w:rFonts w:eastAsia="Calibri"/>
                <w:sz w:val="20"/>
                <w:szCs w:val="20"/>
                <w:lang w:eastAsia="en-US"/>
              </w:rPr>
              <w:t xml:space="preserve">3.3.4</w:t>
            </w:r>
            <w:r>
              <w:rPr>
                <w:rFonts w:eastAsia="Calibri"/>
                <w:sz w:val="20"/>
                <w:szCs w:val="20"/>
                <w:lang w:eastAsia="en-US"/>
              </w:rPr>
            </w:r>
            <w:r>
              <w:rPr>
                <w:rFonts w:eastAsia="Calibri"/>
                <w:sz w:val="20"/>
                <w:szCs w:val="20"/>
                <w:lang w:eastAsia="en-US"/>
              </w:rPr>
            </w:r>
          </w:p>
        </w:tc>
        <w:tc>
          <w:tcPr>
            <w:tcBorders>
              <w:top w:val="single" w:color="000000" w:sz="4" w:space="0"/>
              <w:left w:val="single" w:color="000000" w:sz="4" w:space="0"/>
              <w:bottom w:val="single" w:color="000000" w:sz="4" w:space="0"/>
              <w:right w:val="single" w:color="000000" w:sz="4" w:space="0"/>
            </w:tcBorders>
            <w:tcW w:w="2835" w:type="dxa"/>
            <w:vAlign w:val="top"/>
            <w:textDirection w:val="lrTb"/>
            <w:noWrap w:val="false"/>
          </w:tcPr>
          <w:p>
            <w:pPr>
              <w:pStyle w:val="1135"/>
              <w:rPr>
                <w:sz w:val="20"/>
                <w:szCs w:val="20"/>
              </w:rPr>
            </w:pPr>
            <w:r>
              <w:rPr>
                <w:sz w:val="20"/>
                <w:szCs w:val="20"/>
              </w:rPr>
              <w:t xml:space="preserve">Постановка контракта (кредитного договора) на учет на условиях срочности</w:t>
            </w:r>
            <w:r>
              <w:rPr>
                <w:sz w:val="20"/>
                <w:szCs w:val="20"/>
              </w:rPr>
            </w:r>
            <w:r>
              <w:rPr>
                <w:sz w:val="20"/>
                <w:szCs w:val="20"/>
              </w:rPr>
            </w:r>
          </w:p>
          <w:p>
            <w:pPr>
              <w:pStyle w:val="1135"/>
              <w:rPr>
                <w:sz w:val="20"/>
                <w:szCs w:val="20"/>
              </w:rPr>
            </w:pPr>
            <w:r>
              <w:rPr>
                <w:sz w:val="20"/>
                <w:szCs w:val="20"/>
              </w:rPr>
            </w:r>
            <w:r>
              <w:rPr>
                <w:sz w:val="20"/>
                <w:szCs w:val="20"/>
              </w:rPr>
            </w:r>
            <w:r>
              <w:rPr>
                <w:sz w:val="20"/>
                <w:szCs w:val="20"/>
              </w:rPr>
            </w:r>
          </w:p>
          <w:p>
            <w:pPr>
              <w:pStyle w:val="1135"/>
              <w:rPr>
                <w:sz w:val="20"/>
                <w:szCs w:val="20"/>
              </w:rPr>
            </w:pPr>
            <w:r>
              <w:rPr>
                <w:sz w:val="20"/>
                <w:szCs w:val="20"/>
              </w:rPr>
              <w:t xml:space="preserve">- при использовании для предоставления/ получения документов системы дистанционного банковского обслуживания (формализованное сообщение);</w:t>
            </w:r>
            <w:r>
              <w:rPr>
                <w:sz w:val="20"/>
                <w:szCs w:val="20"/>
              </w:rPr>
            </w:r>
            <w:r>
              <w:rPr>
                <w:sz w:val="20"/>
                <w:szCs w:val="20"/>
              </w:rPr>
            </w:r>
          </w:p>
          <w:p>
            <w:pPr>
              <w:pStyle w:val="1135"/>
              <w:rPr>
                <w:sz w:val="20"/>
                <w:szCs w:val="20"/>
              </w:rPr>
            </w:pPr>
            <w:r>
              <w:rPr>
                <w:sz w:val="20"/>
                <w:szCs w:val="20"/>
              </w:rPr>
            </w:r>
            <w:r>
              <w:rPr>
                <w:sz w:val="20"/>
                <w:szCs w:val="20"/>
              </w:rPr>
            </w:r>
            <w:r>
              <w:rPr>
                <w:sz w:val="20"/>
                <w:szCs w:val="20"/>
              </w:rPr>
            </w:r>
          </w:p>
          <w:p>
            <w:pPr>
              <w:pStyle w:val="1135"/>
              <w:rPr>
                <w:sz w:val="20"/>
                <w:szCs w:val="20"/>
              </w:rPr>
            </w:pPr>
            <w:r>
              <w:rPr>
                <w:sz w:val="20"/>
                <w:szCs w:val="20"/>
              </w:rPr>
              <w:t xml:space="preserve">- при предоставлении/получении документов на бумажном носителе</w:t>
            </w:r>
            <w:r>
              <w:rPr>
                <w:sz w:val="20"/>
                <w:szCs w:val="20"/>
              </w:rPr>
            </w:r>
            <w:r>
              <w:rPr>
                <w:sz w:val="20"/>
                <w:szCs w:val="20"/>
              </w:rPr>
            </w:r>
          </w:p>
          <w:p>
            <w:pPr>
              <w:pStyle w:val="1135"/>
              <w:spacing w:before="40" w:after="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top w:val="single" w:color="000000" w:sz="4" w:space="0"/>
              <w:left w:val="single" w:color="000000" w:sz="4" w:space="0"/>
              <w:bottom w:val="single" w:color="000000" w:sz="4" w:space="0"/>
              <w:right w:val="single" w:color="000000" w:sz="4" w:space="0"/>
            </w:tcBorders>
            <w:tcW w:w="2268" w:type="dxa"/>
            <w:vAlign w:val="center"/>
            <w:textDirection w:val="lrTb"/>
            <w:noWrap w:val="false"/>
          </w:tcPr>
          <w:p>
            <w:pPr>
              <w:pStyle w:val="1135"/>
              <w:jc w:val="center"/>
              <w:spacing w:before="40" w:after="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35"/>
              <w:jc w:val="center"/>
              <w:spacing w:before="40" w:after="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35"/>
              <w:jc w:val="center"/>
              <w:spacing w:before="40" w:after="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35"/>
              <w:jc w:val="center"/>
              <w:spacing w:before="40" w:after="40"/>
              <w:rPr>
                <w:rFonts w:eastAsia="Calibri"/>
                <w:sz w:val="20"/>
                <w:szCs w:val="20"/>
                <w:lang w:eastAsia="en-US"/>
              </w:rPr>
            </w:pPr>
            <w:r>
              <w:rPr>
                <w:rFonts w:eastAsia="Calibri"/>
                <w:sz w:val="20"/>
                <w:szCs w:val="20"/>
                <w:lang w:eastAsia="en-US"/>
              </w:rPr>
              <w:t xml:space="preserve">1500 руб.</w:t>
            </w:r>
            <w:r>
              <w:rPr>
                <w:rFonts w:eastAsia="Calibri"/>
                <w:sz w:val="20"/>
                <w:szCs w:val="20"/>
                <w:lang w:eastAsia="en-US"/>
              </w:rPr>
            </w:r>
            <w:r>
              <w:rPr>
                <w:rFonts w:eastAsia="Calibri"/>
                <w:sz w:val="20"/>
                <w:szCs w:val="20"/>
                <w:lang w:eastAsia="en-US"/>
              </w:rPr>
            </w:r>
          </w:p>
          <w:p>
            <w:pPr>
              <w:pStyle w:val="1135"/>
              <w:jc w:val="center"/>
              <w:spacing w:before="40" w:after="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35"/>
              <w:jc w:val="center"/>
              <w:spacing w:before="40" w:after="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35"/>
              <w:jc w:val="center"/>
              <w:spacing w:before="40" w:after="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35"/>
              <w:jc w:val="center"/>
              <w:spacing w:before="40" w:after="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35"/>
              <w:jc w:val="center"/>
              <w:spacing w:before="40" w:after="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35"/>
              <w:jc w:val="center"/>
              <w:spacing w:before="40" w:after="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35"/>
              <w:jc w:val="center"/>
              <w:spacing w:before="40" w:after="40"/>
              <w:rPr>
                <w:rFonts w:eastAsia="Calibri"/>
                <w:sz w:val="20"/>
                <w:szCs w:val="20"/>
                <w:lang w:eastAsia="en-US"/>
              </w:rPr>
            </w:pPr>
            <w:r>
              <w:rPr>
                <w:rFonts w:eastAsia="Calibri"/>
                <w:sz w:val="20"/>
                <w:szCs w:val="20"/>
                <w:lang w:eastAsia="en-US"/>
              </w:rPr>
              <w:t xml:space="preserve">4000 руб.</w:t>
            </w:r>
            <w:r>
              <w:rPr>
                <w:rFonts w:eastAsia="Calibri"/>
                <w:sz w:val="20"/>
                <w:szCs w:val="20"/>
                <w:lang w:eastAsia="en-US"/>
              </w:rPr>
            </w:r>
            <w:r>
              <w:rPr>
                <w:rFonts w:eastAsia="Calibri"/>
                <w:sz w:val="20"/>
                <w:szCs w:val="20"/>
                <w:lang w:eastAsia="en-US"/>
              </w:rPr>
            </w:r>
          </w:p>
          <w:p>
            <w:pPr>
              <w:pStyle w:val="1135"/>
              <w:jc w:val="center"/>
              <w:spacing w:before="40" w:after="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top w:val="single" w:color="000000" w:sz="4" w:space="0"/>
              <w:left w:val="single" w:color="000000" w:sz="4" w:space="0"/>
              <w:right w:val="single" w:color="000000" w:sz="4" w:space="0"/>
            </w:tcBorders>
            <w:tcW w:w="4111" w:type="dxa"/>
            <w:vAlign w:val="top"/>
            <w:textDirection w:val="lrTb"/>
            <w:noWrap w:val="false"/>
          </w:tcPr>
          <w:p>
            <w:pPr>
              <w:pStyle w:val="1135"/>
              <w:jc w:val="both"/>
              <w:rPr>
                <w:rFonts w:eastAsia="Calibri"/>
                <w:bCs/>
                <w:sz w:val="20"/>
                <w:szCs w:val="20"/>
                <w:lang w:eastAsia="en-US"/>
              </w:rPr>
            </w:pPr>
            <w:r>
              <w:rPr>
                <w:rFonts w:eastAsia="Calibri"/>
                <w:bCs/>
                <w:sz w:val="20"/>
                <w:szCs w:val="20"/>
                <w:lang w:eastAsia="en-US"/>
              </w:rPr>
              <w:t xml:space="preserve">Комиссия взимается за каждый контракт (кредитный договор), представленный в Банк для постановки на учет на условиях срочности.</w:t>
            </w:r>
            <w:r>
              <w:rPr>
                <w:rFonts w:eastAsia="Calibri"/>
                <w:bCs/>
                <w:sz w:val="20"/>
                <w:szCs w:val="20"/>
                <w:lang w:eastAsia="en-US"/>
              </w:rPr>
            </w:r>
            <w:r>
              <w:rPr>
                <w:rFonts w:eastAsia="Calibri"/>
                <w:bCs/>
                <w:sz w:val="20"/>
                <w:szCs w:val="20"/>
                <w:lang w:eastAsia="en-US"/>
              </w:rPr>
            </w:r>
          </w:p>
          <w:p>
            <w:pPr>
              <w:pStyle w:val="1135"/>
              <w:jc w:val="both"/>
              <w:spacing w:before="40"/>
              <w:rPr>
                <w:rFonts w:eastAsia="Calibri"/>
                <w:bCs/>
                <w:sz w:val="20"/>
                <w:szCs w:val="20"/>
                <w:lang w:eastAsia="en-US"/>
              </w:rPr>
            </w:pPr>
            <w:r>
              <w:rPr>
                <w:rFonts w:eastAsia="Calibri"/>
                <w:bCs/>
                <w:sz w:val="20"/>
                <w:szCs w:val="20"/>
                <w:lang w:eastAsia="en-US"/>
              </w:rPr>
              <w:t xml:space="preserve">Комиссия взимается дополнительно к комиссии по пункта</w:t>
            </w:r>
            <w:r>
              <w:rPr>
                <w:rFonts w:eastAsia="Calibri"/>
                <w:bCs/>
                <w:sz w:val="20"/>
                <w:szCs w:val="20"/>
                <w:lang w:eastAsia="en-US"/>
              </w:rPr>
              <w:t xml:space="preserve">м 3.3.1 и 3.3.2 - при условии проставления клиентом отметки о срочной постановке на учет на формализованном бланке Сведений о контракте для постановки на учет/ Сведений о кредитном договоре для постановки на учет. Комиссия взимается в день оказания услуги.</w:t>
            </w:r>
            <w:r>
              <w:rPr>
                <w:rFonts w:eastAsia="Calibri"/>
                <w:bCs/>
                <w:sz w:val="20"/>
                <w:szCs w:val="20"/>
                <w:lang w:eastAsia="en-US"/>
              </w:rPr>
            </w:r>
            <w:r>
              <w:rPr>
                <w:rFonts w:eastAsia="Calibri"/>
                <w:bCs/>
                <w:sz w:val="20"/>
                <w:szCs w:val="20"/>
                <w:lang w:eastAsia="en-US"/>
              </w:rPr>
            </w:r>
          </w:p>
          <w:p>
            <w:pPr>
              <w:pStyle w:val="1135"/>
              <w:jc w:val="both"/>
              <w:spacing w:before="40"/>
              <w:rPr>
                <w:rFonts w:eastAsia="Calibri"/>
                <w:bCs/>
                <w:sz w:val="20"/>
                <w:szCs w:val="20"/>
                <w:lang w:eastAsia="en-US"/>
              </w:rPr>
            </w:pPr>
            <w:r>
              <w:rPr>
                <w:rFonts w:eastAsia="Calibri"/>
                <w:bCs/>
                <w:sz w:val="20"/>
                <w:szCs w:val="20"/>
                <w:lang w:eastAsia="en-US"/>
              </w:rPr>
              <w:t xml:space="preserve">По контрактам (кредитным договорам), постановка на учет которых осуществлялась ранее в другом банке, услуга не оказывается.</w:t>
            </w:r>
            <w:r>
              <w:rPr>
                <w:rFonts w:eastAsia="Calibri"/>
                <w:bCs/>
                <w:sz w:val="20"/>
                <w:szCs w:val="20"/>
                <w:lang w:eastAsia="en-US"/>
              </w:rPr>
            </w:r>
            <w:r>
              <w:rPr>
                <w:rFonts w:eastAsia="Calibri"/>
                <w:bCs/>
                <w:sz w:val="20"/>
                <w:szCs w:val="20"/>
                <w:lang w:eastAsia="en-US"/>
              </w:rPr>
            </w:r>
          </w:p>
          <w:p>
            <w:pPr>
              <w:pStyle w:val="1135"/>
              <w:jc w:val="both"/>
              <w:spacing w:before="40"/>
              <w:rPr>
                <w:rFonts w:eastAsia="Calibri"/>
                <w:bCs/>
                <w:sz w:val="20"/>
                <w:szCs w:val="20"/>
                <w:lang w:eastAsia="en-US"/>
              </w:rPr>
            </w:pPr>
            <w:r>
              <w:rPr>
                <w:rFonts w:eastAsia="Calibri"/>
                <w:bCs/>
                <w:sz w:val="20"/>
                <w:szCs w:val="20"/>
                <w:lang w:eastAsia="en-US"/>
              </w:rPr>
              <w:t xml:space="preserve">Услуга оказывае</w:t>
            </w:r>
            <w:r>
              <w:rPr>
                <w:rFonts w:eastAsia="Calibri"/>
                <w:bCs/>
                <w:sz w:val="20"/>
                <w:szCs w:val="20"/>
                <w:lang w:eastAsia="en-US"/>
              </w:rPr>
              <w:t xml:space="preserve">тся при условии предоставления в Банк до 15:00 ч. текущего рабочего дня (по местному времени) полного пакета надлежащим образом оформленных документов и информации. Услуга оказывается не позднее рабочего дня предоставления клиентом документов и информации.</w:t>
            </w:r>
            <w:r>
              <w:rPr>
                <w:rFonts w:eastAsia="Calibri"/>
                <w:bCs/>
                <w:sz w:val="20"/>
                <w:szCs w:val="20"/>
                <w:lang w:eastAsia="en-US"/>
              </w:rPr>
            </w:r>
            <w:r>
              <w:rPr>
                <w:rFonts w:eastAsia="Calibri"/>
                <w:bCs/>
                <w:sz w:val="20"/>
                <w:szCs w:val="20"/>
                <w:lang w:eastAsia="en-US"/>
              </w:rPr>
            </w:r>
          </w:p>
          <w:p>
            <w:pPr>
              <w:pStyle w:val="1135"/>
              <w:jc w:val="both"/>
              <w:spacing w:before="40" w:after="40"/>
              <w:tabs>
                <w:tab w:val="left" w:pos="269" w:leader="none"/>
              </w:tabs>
              <w:rPr>
                <w:rFonts w:eastAsia="Calibri"/>
                <w:sz w:val="20"/>
                <w:szCs w:val="20"/>
                <w:lang w:eastAsia="en-US"/>
              </w:rPr>
            </w:pPr>
            <w:r>
              <w:rPr>
                <w:rFonts w:eastAsia="Calibri"/>
                <w:bCs/>
                <w:sz w:val="20"/>
                <w:szCs w:val="20"/>
                <w:lang w:eastAsia="en-US"/>
              </w:rPr>
              <w:t xml:space="preserve">В случае отсутствия на счете клиента денежных средств в сумме, достаточной для оплаты комиссии, услуги по валютному контролю оказываются без учета условия срочности.».</w:t>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135"/>
              <w:jc w:val="center"/>
              <w:spacing w:before="40" w:after="40"/>
              <w:rPr>
                <w:rFonts w:eastAsia="Calibri"/>
                <w:sz w:val="20"/>
                <w:szCs w:val="20"/>
                <w:lang w:eastAsia="en-US"/>
              </w:rPr>
            </w:pPr>
            <w:r>
              <w:rPr>
                <w:rFonts w:eastAsia="Calibri"/>
                <w:sz w:val="20"/>
                <w:szCs w:val="20"/>
                <w:lang w:eastAsia="en-US"/>
              </w:rPr>
              <w:t xml:space="preserve">3.4.</w:t>
            </w:r>
            <w:r>
              <w:rPr>
                <w:rFonts w:eastAsia="Calibri"/>
                <w:sz w:val="20"/>
                <w:szCs w:val="20"/>
                <w:lang w:eastAsia="en-US"/>
              </w:rPr>
            </w:r>
            <w:r>
              <w:rPr>
                <w:rFonts w:eastAsia="Calibri"/>
                <w:sz w:val="20"/>
                <w:szCs w:val="20"/>
                <w:lang w:eastAsia="en-US"/>
              </w:rPr>
            </w:r>
          </w:p>
        </w:tc>
        <w:tc>
          <w:tcPr>
            <w:gridSpan w:val="3"/>
            <w:tcBorders>
              <w:bottom w:val="single" w:color="000000" w:sz="4" w:space="0"/>
            </w:tcBorders>
            <w:tcW w:w="9214" w:type="dxa"/>
            <w:vAlign w:val="top"/>
            <w:textDirection w:val="lrTb"/>
            <w:noWrap w:val="false"/>
          </w:tcPr>
          <w:p>
            <w:pPr>
              <w:pStyle w:val="1135"/>
              <w:jc w:val="both"/>
              <w:spacing w:before="40" w:after="40"/>
              <w:tabs>
                <w:tab w:val="left" w:pos="269" w:leader="none"/>
              </w:tabs>
              <w:rPr>
                <w:rFonts w:eastAsia="Calibri"/>
                <w:sz w:val="20"/>
                <w:szCs w:val="20"/>
                <w:lang w:eastAsia="en-US"/>
              </w:rPr>
            </w:pPr>
            <w:r>
              <w:rPr>
                <w:rFonts w:eastAsia="Calibri"/>
                <w:sz w:val="20"/>
                <w:szCs w:val="20"/>
                <w:lang w:eastAsia="en-US"/>
              </w:rPr>
              <w:t xml:space="preserve">Проверка и оформление Банком документов валютного контроля за резидента</w:t>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none" w:color="000000" w:sz="4" w:space="0"/>
            </w:tcBorders>
            <w:tcW w:w="851" w:type="dxa"/>
            <w:vAlign w:val="top"/>
            <w:textDirection w:val="lrTb"/>
            <w:noWrap w:val="false"/>
          </w:tcPr>
          <w:p>
            <w:pPr>
              <w:pStyle w:val="1135"/>
              <w:jc w:val="center"/>
              <w:rPr>
                <w:rFonts w:eastAsia="Calibri"/>
                <w:sz w:val="20"/>
                <w:szCs w:val="20"/>
                <w:lang w:eastAsia="en-US"/>
              </w:rPr>
            </w:pPr>
            <w:r>
              <w:rPr>
                <w:rFonts w:eastAsia="Calibri"/>
                <w:sz w:val="20"/>
                <w:szCs w:val="20"/>
                <w:lang w:eastAsia="en-US"/>
              </w:rPr>
              <w:t xml:space="preserve">3.4.1.</w:t>
            </w:r>
            <w:r>
              <w:rPr>
                <w:rFonts w:eastAsia="Calibri"/>
                <w:sz w:val="20"/>
                <w:szCs w:val="20"/>
                <w:lang w:eastAsia="en-US"/>
              </w:rPr>
            </w:r>
            <w:r>
              <w:rPr>
                <w:rFonts w:eastAsia="Calibri"/>
                <w:sz w:val="20"/>
                <w:szCs w:val="20"/>
                <w:lang w:eastAsia="en-US"/>
              </w:rPr>
            </w:r>
          </w:p>
        </w:tc>
        <w:tc>
          <w:tcPr>
            <w:tcBorders>
              <w:bottom w:val="none" w:color="000000" w:sz="4" w:space="0"/>
            </w:tcBorders>
            <w:tcW w:w="2835" w:type="dxa"/>
            <w:vAlign w:val="top"/>
            <w:textDirection w:val="lrTb"/>
            <w:noWrap w:val="false"/>
          </w:tcPr>
          <w:p>
            <w:pPr>
              <w:pStyle w:val="1135"/>
              <w:rPr>
                <w:rFonts w:eastAsia="Calibri"/>
                <w:sz w:val="20"/>
                <w:szCs w:val="20"/>
                <w:lang w:eastAsia="en-US"/>
              </w:rPr>
            </w:pPr>
            <w:r>
              <w:rPr>
                <w:rFonts w:eastAsia="Calibri"/>
                <w:sz w:val="20"/>
                <w:szCs w:val="20"/>
                <w:lang w:eastAsia="en-US"/>
              </w:rPr>
              <w:t xml:space="preserve">Проверка справки о подтверждающих документах (далее –  СПД), включая СПД, содержащую скорректированные сведения, при предоставлении документов:</w:t>
            </w:r>
            <w:r>
              <w:rPr>
                <w:rFonts w:eastAsia="Calibri"/>
                <w:sz w:val="20"/>
                <w:szCs w:val="20"/>
                <w:lang w:eastAsia="en-US"/>
              </w:rPr>
            </w:r>
            <w:r>
              <w:rPr>
                <w:rFonts w:eastAsia="Calibri"/>
                <w:sz w:val="20"/>
                <w:szCs w:val="20"/>
                <w:lang w:eastAsia="en-US"/>
              </w:rPr>
            </w:r>
          </w:p>
        </w:tc>
        <w:tc>
          <w:tcPr>
            <w:tcBorders>
              <w:bottom w:val="none" w:color="000000" w:sz="4" w:space="0"/>
            </w:tcBorders>
            <w:tcW w:w="2268" w:type="dxa"/>
            <w:vAlign w:val="top"/>
            <w:textDirection w:val="lrTb"/>
            <w:noWrap w:val="false"/>
          </w:tcPr>
          <w:p>
            <w:pPr>
              <w:pStyle w:val="1135"/>
              <w:jc w:val="center"/>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W w:w="4111" w:type="dxa"/>
            <w:vAlign w:val="top"/>
            <w:vMerge w:val="restart"/>
            <w:textDirection w:val="lrTb"/>
            <w:noWrap w:val="false"/>
          </w:tcPr>
          <w:p>
            <w:pPr>
              <w:pStyle w:val="1135"/>
              <w:jc w:val="both"/>
              <w:rPr>
                <w:rFonts w:eastAsia="Calibri"/>
                <w:b/>
                <w:sz w:val="20"/>
                <w:szCs w:val="20"/>
                <w:lang w:eastAsia="en-US"/>
              </w:rPr>
            </w:pPr>
            <w:r>
              <w:rPr>
                <w:rFonts w:eastAsia="Calibri"/>
                <w:bCs/>
                <w:sz w:val="20"/>
                <w:szCs w:val="20"/>
                <w:lang w:eastAsia="en-US"/>
              </w:rPr>
              <w:t xml:space="preserve">Комиссия взимается в срок не позднее следующего рабочего дня после дня оказания услуги***</w:t>
            </w:r>
            <w:r>
              <w:rPr>
                <w:rFonts w:eastAsia="Calibri"/>
                <w:b/>
                <w:sz w:val="20"/>
                <w:szCs w:val="20"/>
                <w:lang w:eastAsia="en-US"/>
              </w:rPr>
            </w:r>
            <w:r>
              <w:rPr>
                <w:rFonts w:eastAsia="Calibri"/>
                <w:b/>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1" w:type="dxa"/>
            <w:vAlign w:val="top"/>
            <w:textDirection w:val="lrTb"/>
            <w:noWrap w:val="false"/>
          </w:tcPr>
          <w:p>
            <w:pPr>
              <w:pStyle w:val="1135"/>
              <w:jc w:val="center"/>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top w:val="none" w:color="000000" w:sz="4" w:space="0"/>
              <w:bottom w:val="none" w:color="000000" w:sz="4" w:space="0"/>
            </w:tcBorders>
            <w:tcW w:w="2835" w:type="dxa"/>
            <w:vAlign w:val="top"/>
            <w:textDirection w:val="lrTb"/>
            <w:noWrap w:val="false"/>
          </w:tcPr>
          <w:p>
            <w:pPr>
              <w:pStyle w:val="1135"/>
              <w:rPr>
                <w:rFonts w:eastAsia="Calibri"/>
                <w:sz w:val="20"/>
                <w:szCs w:val="20"/>
                <w:lang w:eastAsia="en-US"/>
              </w:rPr>
            </w:pPr>
            <w:r>
              <w:rPr>
                <w:rFonts w:eastAsia="Calibri"/>
                <w:sz w:val="20"/>
                <w:szCs w:val="20"/>
                <w:lang w:eastAsia="en-US"/>
              </w:rPr>
              <w:t xml:space="preserve">- с использованием системы дистанционного банковского обслуживания;</w:t>
            </w:r>
            <w:r>
              <w:rPr>
                <w:rFonts w:eastAsia="Calibri"/>
                <w:sz w:val="20"/>
                <w:szCs w:val="20"/>
                <w:lang w:eastAsia="en-US"/>
              </w:rPr>
            </w:r>
            <w:r>
              <w:rPr>
                <w:rFonts w:eastAsia="Calibri"/>
                <w:sz w:val="20"/>
                <w:szCs w:val="20"/>
                <w:lang w:eastAsia="en-US"/>
              </w:rPr>
            </w:r>
          </w:p>
        </w:tc>
        <w:tc>
          <w:tcPr>
            <w:tcBorders>
              <w:top w:val="none" w:color="000000" w:sz="4" w:space="0"/>
              <w:bottom w:val="none" w:color="000000" w:sz="4" w:space="0"/>
            </w:tcBorders>
            <w:tcW w:w="2268" w:type="dxa"/>
            <w:vAlign w:val="top"/>
            <w:textDirection w:val="lrTb"/>
            <w:noWrap w:val="false"/>
          </w:tcPr>
          <w:p>
            <w:pPr>
              <w:pStyle w:val="1135"/>
              <w:jc w:val="center"/>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r>
              <w:rPr>
                <w:rFonts w:eastAsia="Calibri"/>
                <w:sz w:val="20"/>
                <w:szCs w:val="20"/>
                <w:lang w:eastAsia="en-US"/>
              </w:rPr>
            </w:r>
          </w:p>
        </w:tc>
        <w:tc>
          <w:tcPr>
            <w:tcW w:w="4111" w:type="dxa"/>
            <w:vAlign w:val="top"/>
            <w:vMerge w:val="continue"/>
            <w:textDirection w:val="lrTb"/>
            <w:noWrap w:val="false"/>
          </w:tcPr>
          <w:p>
            <w:pPr>
              <w:pStyle w:val="1135"/>
              <w:jc w:val="center"/>
              <w:rPr>
                <w:rFonts w:eastAsia="Calibri"/>
                <w:b/>
                <w:sz w:val="20"/>
                <w:szCs w:val="20"/>
                <w:lang w:eastAsia="en-US"/>
              </w:rPr>
            </w:pPr>
            <w:r>
              <w:rPr>
                <w:rFonts w:eastAsia="Calibri"/>
                <w:b/>
                <w:sz w:val="20"/>
                <w:szCs w:val="20"/>
                <w:lang w:eastAsia="en-US"/>
              </w:rPr>
            </w:r>
            <w:r>
              <w:rPr>
                <w:rFonts w:eastAsia="Calibri"/>
                <w:b/>
                <w:sz w:val="20"/>
                <w:szCs w:val="20"/>
                <w:lang w:eastAsia="en-US"/>
              </w:rPr>
            </w:r>
            <w:r>
              <w:rPr>
                <w:rFonts w:eastAsia="Calibri"/>
                <w:b/>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tcBorders>
            <w:tcW w:w="851" w:type="dxa"/>
            <w:vAlign w:val="top"/>
            <w:textDirection w:val="lrTb"/>
            <w:noWrap w:val="false"/>
          </w:tcPr>
          <w:p>
            <w:pPr>
              <w:pStyle w:val="1135"/>
              <w:jc w:val="center"/>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top w:val="none" w:color="000000" w:sz="4" w:space="0"/>
            </w:tcBorders>
            <w:tcW w:w="2835" w:type="dxa"/>
            <w:vAlign w:val="top"/>
            <w:textDirection w:val="lrTb"/>
            <w:noWrap w:val="false"/>
          </w:tcPr>
          <w:p>
            <w:pPr>
              <w:pStyle w:val="1135"/>
              <w:rPr>
                <w:rFonts w:eastAsia="Calibri"/>
                <w:sz w:val="20"/>
                <w:szCs w:val="20"/>
                <w:lang w:eastAsia="en-US"/>
              </w:rPr>
            </w:pPr>
            <w:r>
              <w:rPr>
                <w:rFonts w:eastAsia="Calibri"/>
                <w:sz w:val="20"/>
                <w:szCs w:val="20"/>
                <w:lang w:eastAsia="en-US"/>
              </w:rPr>
              <w:t xml:space="preserve">- на бумажном носителе</w:t>
            </w:r>
            <w:r>
              <w:rPr>
                <w:rFonts w:eastAsia="Calibri"/>
                <w:sz w:val="20"/>
                <w:szCs w:val="20"/>
                <w:lang w:eastAsia="en-US"/>
              </w:rPr>
            </w:r>
            <w:r>
              <w:rPr>
                <w:rFonts w:eastAsia="Calibri"/>
                <w:sz w:val="20"/>
                <w:szCs w:val="20"/>
                <w:lang w:eastAsia="en-US"/>
              </w:rPr>
            </w:r>
          </w:p>
        </w:tc>
        <w:tc>
          <w:tcPr>
            <w:tcBorders>
              <w:top w:val="none" w:color="000000" w:sz="4" w:space="0"/>
            </w:tcBorders>
            <w:tcW w:w="2268" w:type="dxa"/>
            <w:vAlign w:val="top"/>
            <w:textDirection w:val="lrTb"/>
            <w:noWrap w:val="false"/>
          </w:tcPr>
          <w:p>
            <w:pPr>
              <w:pStyle w:val="1135"/>
              <w:jc w:val="center"/>
              <w:rPr>
                <w:rFonts w:eastAsia="Calibri"/>
                <w:sz w:val="20"/>
                <w:szCs w:val="20"/>
                <w:lang w:eastAsia="en-US"/>
              </w:rPr>
            </w:pPr>
            <w:r>
              <w:rPr>
                <w:rFonts w:eastAsia="Calibri"/>
                <w:sz w:val="20"/>
                <w:szCs w:val="20"/>
                <w:lang w:eastAsia="en-US"/>
              </w:rPr>
              <w:t xml:space="preserve">500 руб.                   </w:t>
            </w:r>
            <w:r>
              <w:rPr>
                <w:rFonts w:eastAsia="Calibri"/>
                <w:sz w:val="20"/>
                <w:szCs w:val="20"/>
                <w:lang w:eastAsia="en-US"/>
              </w:rPr>
            </w:r>
            <w:r>
              <w:rPr>
                <w:rFonts w:eastAsia="Calibri"/>
                <w:sz w:val="20"/>
                <w:szCs w:val="20"/>
                <w:lang w:eastAsia="en-US"/>
              </w:rPr>
            </w:r>
          </w:p>
          <w:p>
            <w:pPr>
              <w:pStyle w:val="1135"/>
              <w:jc w:val="center"/>
              <w:rPr>
                <w:rFonts w:eastAsia="Calibri"/>
                <w:sz w:val="20"/>
                <w:szCs w:val="20"/>
                <w:lang w:eastAsia="en-US"/>
              </w:rPr>
            </w:pPr>
            <w:r>
              <w:rPr>
                <w:rFonts w:eastAsia="Calibri"/>
                <w:sz w:val="20"/>
                <w:szCs w:val="20"/>
                <w:lang w:eastAsia="en-US"/>
              </w:rPr>
              <w:t xml:space="preserve"> за один документ</w:t>
            </w:r>
            <w:r>
              <w:rPr>
                <w:rFonts w:eastAsia="Calibri"/>
                <w:sz w:val="20"/>
                <w:szCs w:val="20"/>
                <w:lang w:eastAsia="en-US"/>
              </w:rPr>
            </w:r>
            <w:r>
              <w:rPr>
                <w:rFonts w:eastAsia="Calibri"/>
                <w:sz w:val="20"/>
                <w:szCs w:val="20"/>
                <w:lang w:eastAsia="en-US"/>
              </w:rPr>
            </w:r>
          </w:p>
          <w:p>
            <w:pPr>
              <w:pStyle w:val="1135"/>
              <w:jc w:val="center"/>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W w:w="4111" w:type="dxa"/>
            <w:vAlign w:val="top"/>
            <w:vMerge w:val="continue"/>
            <w:textDirection w:val="lrTb"/>
            <w:noWrap w:val="false"/>
          </w:tcPr>
          <w:p>
            <w:pPr>
              <w:pStyle w:val="1135"/>
              <w:jc w:val="center"/>
              <w:rPr>
                <w:rFonts w:eastAsia="Calibri"/>
                <w:b/>
                <w:sz w:val="20"/>
                <w:szCs w:val="20"/>
                <w:lang w:eastAsia="en-US"/>
              </w:rPr>
            </w:pPr>
            <w:r>
              <w:rPr>
                <w:rFonts w:eastAsia="Calibri"/>
                <w:b/>
                <w:sz w:val="20"/>
                <w:szCs w:val="20"/>
                <w:lang w:eastAsia="en-US"/>
              </w:rPr>
            </w:r>
            <w:r>
              <w:rPr>
                <w:rFonts w:eastAsia="Calibri"/>
                <w:b/>
                <w:sz w:val="20"/>
                <w:szCs w:val="20"/>
                <w:lang w:eastAsia="en-US"/>
              </w:rPr>
            </w:r>
            <w:r>
              <w:rPr>
                <w:rFonts w:eastAsia="Calibri"/>
                <w:b/>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1" w:type="dxa"/>
            <w:vAlign w:val="top"/>
            <w:textDirection w:val="lrTb"/>
            <w:noWrap w:val="false"/>
          </w:tcPr>
          <w:p>
            <w:pPr>
              <w:pStyle w:val="1135"/>
              <w:jc w:val="center"/>
              <w:rPr>
                <w:rFonts w:eastAsia="Calibri"/>
                <w:sz w:val="20"/>
                <w:szCs w:val="20"/>
                <w:lang w:eastAsia="en-US"/>
              </w:rPr>
            </w:pPr>
            <w:r>
              <w:rPr>
                <w:rFonts w:eastAsia="Calibri"/>
                <w:sz w:val="20"/>
                <w:szCs w:val="20"/>
                <w:lang w:eastAsia="en-US"/>
              </w:rPr>
              <w:t xml:space="preserve">3.4.2.</w:t>
            </w:r>
            <w:r>
              <w:rPr>
                <w:rFonts w:eastAsia="Calibri"/>
                <w:sz w:val="20"/>
                <w:szCs w:val="20"/>
                <w:lang w:eastAsia="en-US"/>
              </w:rPr>
            </w:r>
            <w:r>
              <w:rPr>
                <w:rFonts w:eastAsia="Calibri"/>
                <w:sz w:val="20"/>
                <w:szCs w:val="20"/>
                <w:lang w:eastAsia="en-US"/>
              </w:rPr>
            </w:r>
          </w:p>
        </w:tc>
        <w:tc>
          <w:tcPr>
            <w:tcBorders>
              <w:top w:val="none" w:color="000000" w:sz="4" w:space="0"/>
              <w:bottom w:val="none" w:color="000000" w:sz="4" w:space="0"/>
            </w:tcBorders>
            <w:tcW w:w="2835" w:type="dxa"/>
            <w:vAlign w:val="top"/>
            <w:textDirection w:val="lrTb"/>
            <w:noWrap w:val="false"/>
          </w:tcPr>
          <w:p>
            <w:pPr>
              <w:pStyle w:val="1135"/>
              <w:rPr>
                <w:rFonts w:eastAsia="Calibri"/>
                <w:sz w:val="20"/>
                <w:szCs w:val="20"/>
                <w:lang w:eastAsia="en-US"/>
              </w:rPr>
            </w:pPr>
            <w:r>
              <w:rPr>
                <w:rFonts w:eastAsia="Calibri"/>
                <w:sz w:val="20"/>
                <w:szCs w:val="20"/>
                <w:lang w:eastAsia="en-US"/>
              </w:rPr>
              <w:t xml:space="preserve">Оформление Банком СПД, включая СПД, содержащую скорректированные сведения, за резидента при предоставлении документов:</w:t>
            </w:r>
            <w:r>
              <w:rPr>
                <w:rFonts w:eastAsia="Calibri"/>
                <w:sz w:val="20"/>
                <w:szCs w:val="20"/>
                <w:lang w:eastAsia="en-US"/>
              </w:rPr>
            </w:r>
            <w:r>
              <w:rPr>
                <w:rFonts w:eastAsia="Calibri"/>
                <w:sz w:val="20"/>
                <w:szCs w:val="20"/>
                <w:lang w:eastAsia="en-US"/>
              </w:rPr>
            </w:r>
          </w:p>
        </w:tc>
        <w:tc>
          <w:tcPr>
            <w:tcBorders>
              <w:top w:val="none" w:color="000000" w:sz="4" w:space="0"/>
              <w:bottom w:val="none" w:color="000000" w:sz="4" w:space="0"/>
            </w:tcBorders>
            <w:tcW w:w="2268" w:type="dxa"/>
            <w:vAlign w:val="top"/>
            <w:textDirection w:val="lrTb"/>
            <w:noWrap w:val="false"/>
          </w:tcPr>
          <w:p>
            <w:pPr>
              <w:pStyle w:val="1135"/>
              <w:jc w:val="center"/>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bottom w:val="none" w:color="000000" w:sz="4" w:space="0"/>
            </w:tcBorders>
            <w:tcW w:w="4111" w:type="dxa"/>
            <w:vAlign w:val="top"/>
            <w:textDirection w:val="lrTb"/>
            <w:noWrap w:val="false"/>
          </w:tcPr>
          <w:p>
            <w:pPr>
              <w:pStyle w:val="1135"/>
              <w:jc w:val="both"/>
              <w:rPr>
                <w:rFonts w:eastAsia="Calibri"/>
                <w:sz w:val="20"/>
                <w:szCs w:val="20"/>
                <w:lang w:eastAsia="en-US"/>
              </w:rPr>
            </w:pPr>
            <w:r>
              <w:rPr>
                <w:rFonts w:eastAsia="Calibri"/>
                <w:bCs/>
                <w:sz w:val="20"/>
                <w:szCs w:val="20"/>
                <w:lang w:eastAsia="en-US"/>
              </w:rPr>
              <w:t xml:space="preserve">Комиссия взимается в срок не позднее следующего рабочего дня после дня оказания услуги*** при условии предоставления клиентом полного комплекта документов и информации для оформления Банком СПД</w:t>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1" w:type="dxa"/>
            <w:vAlign w:val="top"/>
            <w:textDirection w:val="lrTb"/>
            <w:noWrap w:val="false"/>
          </w:tcPr>
          <w:p>
            <w:pPr>
              <w:pStyle w:val="1135"/>
              <w:jc w:val="center"/>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top w:val="none" w:color="000000" w:sz="4" w:space="0"/>
              <w:bottom w:val="none" w:color="000000" w:sz="4" w:space="0"/>
            </w:tcBorders>
            <w:tcW w:w="2835" w:type="dxa"/>
            <w:vAlign w:val="top"/>
            <w:textDirection w:val="lrTb"/>
            <w:noWrap w:val="false"/>
          </w:tcPr>
          <w:p>
            <w:pPr>
              <w:pStyle w:val="1135"/>
              <w:rPr>
                <w:rFonts w:eastAsia="Calibri"/>
                <w:sz w:val="20"/>
                <w:szCs w:val="20"/>
                <w:lang w:eastAsia="en-US"/>
              </w:rPr>
            </w:pPr>
            <w:r>
              <w:rPr>
                <w:rFonts w:eastAsia="Calibri"/>
                <w:sz w:val="20"/>
                <w:szCs w:val="20"/>
                <w:lang w:eastAsia="en-US"/>
              </w:rPr>
              <w:t xml:space="preserve">- с использованием системы дистанционного банковского обслуживания;</w:t>
            </w:r>
            <w:r>
              <w:rPr>
                <w:rFonts w:eastAsia="Calibri"/>
                <w:sz w:val="20"/>
                <w:szCs w:val="20"/>
                <w:lang w:eastAsia="en-US"/>
              </w:rPr>
            </w:r>
            <w:r>
              <w:rPr>
                <w:rFonts w:eastAsia="Calibri"/>
                <w:sz w:val="20"/>
                <w:szCs w:val="20"/>
                <w:lang w:eastAsia="en-US"/>
              </w:rPr>
            </w:r>
          </w:p>
        </w:tc>
        <w:tc>
          <w:tcPr>
            <w:tcBorders>
              <w:top w:val="none" w:color="000000" w:sz="4" w:space="0"/>
              <w:bottom w:val="none" w:color="000000" w:sz="4" w:space="0"/>
            </w:tcBorders>
            <w:tcW w:w="2268" w:type="dxa"/>
            <w:vAlign w:val="top"/>
            <w:textDirection w:val="lrTb"/>
            <w:noWrap w:val="false"/>
          </w:tcPr>
          <w:p>
            <w:pPr>
              <w:pStyle w:val="1135"/>
              <w:jc w:val="center"/>
              <w:rPr>
                <w:rFonts w:eastAsia="Calibri"/>
                <w:sz w:val="20"/>
                <w:szCs w:val="20"/>
                <w:lang w:eastAsia="en-US"/>
              </w:rPr>
            </w:pPr>
            <w:r>
              <w:rPr>
                <w:rFonts w:eastAsia="Calibri"/>
                <w:sz w:val="20"/>
                <w:szCs w:val="20"/>
                <w:lang w:eastAsia="en-US"/>
              </w:rPr>
              <w:t xml:space="preserve">450 руб. за один подтверждающий документ</w:t>
            </w:r>
            <w:r>
              <w:rPr>
                <w:rFonts w:eastAsia="Calibri"/>
                <w:sz w:val="20"/>
                <w:szCs w:val="20"/>
                <w:lang w:eastAsia="en-US"/>
              </w:rPr>
            </w:r>
            <w:r>
              <w:rPr>
                <w:rFonts w:eastAsia="Calibri"/>
                <w:sz w:val="20"/>
                <w:szCs w:val="20"/>
                <w:lang w:eastAsia="en-US"/>
              </w:rPr>
            </w:r>
          </w:p>
        </w:tc>
        <w:tc>
          <w:tcPr>
            <w:tcBorders>
              <w:top w:val="none" w:color="000000" w:sz="4" w:space="0"/>
              <w:bottom w:val="none" w:color="000000" w:sz="4" w:space="0"/>
            </w:tcBorders>
            <w:tcW w:w="4111" w:type="dxa"/>
            <w:vAlign w:val="top"/>
            <w:textDirection w:val="lrTb"/>
            <w:noWrap w:val="false"/>
          </w:tcPr>
          <w:p>
            <w:pPr>
              <w:pStyle w:val="1135"/>
              <w:jc w:val="both"/>
              <w:rPr>
                <w:rFonts w:eastAsia="Calibri"/>
                <w:bCs/>
                <w:sz w:val="20"/>
                <w:szCs w:val="20"/>
                <w:lang w:eastAsia="en-US"/>
              </w:rPr>
            </w:pPr>
            <w:r>
              <w:rPr>
                <w:rFonts w:eastAsia="Calibri"/>
                <w:bCs/>
                <w:sz w:val="20"/>
                <w:szCs w:val="20"/>
                <w:lang w:eastAsia="en-US"/>
              </w:rPr>
            </w:r>
            <w:r>
              <w:rPr>
                <w:rFonts w:eastAsia="Calibri"/>
                <w:bCs/>
                <w:sz w:val="20"/>
                <w:szCs w:val="20"/>
                <w:lang w:eastAsia="en-US"/>
              </w:rPr>
            </w:r>
            <w:r>
              <w:rPr>
                <w:rFonts w:eastAsia="Calibri"/>
                <w:b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1" w:type="dxa"/>
            <w:vAlign w:val="top"/>
            <w:textDirection w:val="lrTb"/>
            <w:noWrap w:val="false"/>
          </w:tcPr>
          <w:p>
            <w:pPr>
              <w:pStyle w:val="1135"/>
              <w:jc w:val="center"/>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top w:val="none" w:color="000000" w:sz="4" w:space="0"/>
              <w:bottom w:val="none" w:color="000000" w:sz="4" w:space="0"/>
            </w:tcBorders>
            <w:tcW w:w="2835" w:type="dxa"/>
            <w:vAlign w:val="top"/>
            <w:textDirection w:val="lrTb"/>
            <w:noWrap w:val="false"/>
          </w:tcPr>
          <w:p>
            <w:pPr>
              <w:pStyle w:val="1135"/>
              <w:rPr>
                <w:rFonts w:eastAsia="Calibri"/>
                <w:sz w:val="20"/>
                <w:szCs w:val="20"/>
                <w:lang w:eastAsia="en-US"/>
              </w:rPr>
            </w:pPr>
            <w:r>
              <w:rPr>
                <w:rFonts w:eastAsia="Calibri"/>
                <w:sz w:val="20"/>
                <w:szCs w:val="20"/>
                <w:lang w:eastAsia="en-US"/>
              </w:rPr>
              <w:t xml:space="preserve">- на бумажном носителе</w:t>
            </w:r>
            <w:r>
              <w:rPr>
                <w:rFonts w:eastAsia="Calibri"/>
                <w:sz w:val="20"/>
                <w:szCs w:val="20"/>
                <w:lang w:eastAsia="en-US"/>
              </w:rPr>
            </w:r>
            <w:r>
              <w:rPr>
                <w:rFonts w:eastAsia="Calibri"/>
                <w:sz w:val="20"/>
                <w:szCs w:val="20"/>
                <w:lang w:eastAsia="en-US"/>
              </w:rPr>
            </w:r>
          </w:p>
        </w:tc>
        <w:tc>
          <w:tcPr>
            <w:tcBorders>
              <w:top w:val="none" w:color="000000" w:sz="4" w:space="0"/>
              <w:bottom w:val="none" w:color="000000" w:sz="4" w:space="0"/>
            </w:tcBorders>
            <w:tcW w:w="2268" w:type="dxa"/>
            <w:vAlign w:val="top"/>
            <w:textDirection w:val="lrTb"/>
            <w:noWrap w:val="false"/>
          </w:tcPr>
          <w:p>
            <w:pPr>
              <w:pStyle w:val="1135"/>
              <w:jc w:val="center"/>
              <w:rPr>
                <w:rFonts w:eastAsia="Calibri"/>
                <w:sz w:val="20"/>
                <w:szCs w:val="20"/>
                <w:lang w:eastAsia="en-US"/>
              </w:rPr>
            </w:pPr>
            <w:r>
              <w:rPr>
                <w:rFonts w:eastAsia="Calibri"/>
                <w:sz w:val="20"/>
                <w:szCs w:val="20"/>
                <w:lang w:eastAsia="en-US"/>
              </w:rPr>
              <w:t xml:space="preserve">700 руб. за один подтверждающий документ</w:t>
            </w:r>
            <w:r>
              <w:rPr>
                <w:rFonts w:eastAsia="Calibri"/>
                <w:sz w:val="20"/>
                <w:szCs w:val="20"/>
                <w:lang w:eastAsia="en-US"/>
              </w:rPr>
            </w:r>
            <w:r>
              <w:rPr>
                <w:rFonts w:eastAsia="Calibri"/>
                <w:sz w:val="20"/>
                <w:szCs w:val="20"/>
                <w:lang w:eastAsia="en-US"/>
              </w:rPr>
            </w:r>
          </w:p>
        </w:tc>
        <w:tc>
          <w:tcPr>
            <w:tcBorders>
              <w:top w:val="none" w:color="000000" w:sz="4" w:space="0"/>
            </w:tcBorders>
            <w:tcW w:w="4111" w:type="dxa"/>
            <w:vAlign w:val="top"/>
            <w:textDirection w:val="lrTb"/>
            <w:noWrap w:val="false"/>
          </w:tcPr>
          <w:p>
            <w:pPr>
              <w:pStyle w:val="1135"/>
              <w:jc w:val="both"/>
              <w:rPr>
                <w:rFonts w:eastAsia="Calibri"/>
                <w:bCs/>
                <w:sz w:val="20"/>
                <w:szCs w:val="20"/>
                <w:lang w:eastAsia="en-US"/>
              </w:rPr>
            </w:pPr>
            <w:r>
              <w:rPr>
                <w:rFonts w:eastAsia="Calibri"/>
                <w:bCs/>
                <w:sz w:val="20"/>
                <w:szCs w:val="20"/>
                <w:lang w:eastAsia="en-US"/>
              </w:rPr>
            </w:r>
            <w:r>
              <w:rPr>
                <w:rFonts w:eastAsia="Calibri"/>
                <w:bCs/>
                <w:sz w:val="20"/>
                <w:szCs w:val="20"/>
                <w:lang w:eastAsia="en-US"/>
              </w:rPr>
            </w:r>
            <w:r>
              <w:rPr>
                <w:rFonts w:eastAsia="Calibri"/>
                <w:b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35"/>
              <w:jc w:val="center"/>
              <w:spacing w:before="40" w:after="40"/>
              <w:rPr>
                <w:rFonts w:eastAsia="Calibri"/>
                <w:sz w:val="20"/>
                <w:szCs w:val="20"/>
                <w:lang w:eastAsia="en-US"/>
              </w:rPr>
            </w:pPr>
            <w:r>
              <w:rPr>
                <w:rFonts w:eastAsia="Calibri"/>
                <w:sz w:val="20"/>
                <w:szCs w:val="20"/>
                <w:lang w:eastAsia="en-US"/>
              </w:rPr>
              <w:t xml:space="preserve">3.5.</w:t>
            </w:r>
            <w:r>
              <w:rPr>
                <w:rFonts w:eastAsia="Calibri"/>
                <w:sz w:val="20"/>
                <w:szCs w:val="20"/>
                <w:lang w:eastAsia="en-US"/>
              </w:rPr>
            </w:r>
            <w:r>
              <w:rPr>
                <w:rFonts w:eastAsia="Calibri"/>
                <w:sz w:val="20"/>
                <w:szCs w:val="20"/>
                <w:lang w:eastAsia="en-US"/>
              </w:rPr>
            </w:r>
          </w:p>
        </w:tc>
        <w:tc>
          <w:tcPr>
            <w:gridSpan w:val="3"/>
            <w:tcW w:w="9214" w:type="dxa"/>
            <w:vAlign w:val="center"/>
            <w:textDirection w:val="lrTb"/>
            <w:noWrap w:val="false"/>
          </w:tcPr>
          <w:p>
            <w:pPr>
              <w:pStyle w:val="1135"/>
              <w:spacing w:before="40" w:after="40"/>
              <w:rPr>
                <w:rFonts w:eastAsia="Calibri"/>
                <w:sz w:val="20"/>
                <w:szCs w:val="20"/>
                <w:lang w:eastAsia="en-US"/>
              </w:rPr>
            </w:pPr>
            <w:r>
              <w:rPr>
                <w:rFonts w:eastAsia="Calibri"/>
                <w:sz w:val="20"/>
                <w:szCs w:val="20"/>
                <w:lang w:eastAsia="en-US"/>
              </w:rPr>
              <w:t xml:space="preserve">Снятие контракта (кредитного договора) с учета</w:t>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35"/>
              <w:jc w:val="center"/>
              <w:rPr>
                <w:rFonts w:eastAsia="Calibri"/>
                <w:sz w:val="20"/>
                <w:szCs w:val="20"/>
                <w:lang w:eastAsia="en-US"/>
              </w:rPr>
            </w:pPr>
            <w:r>
              <w:rPr>
                <w:rFonts w:eastAsia="Calibri"/>
                <w:sz w:val="20"/>
                <w:szCs w:val="20"/>
                <w:lang w:eastAsia="en-US"/>
              </w:rPr>
              <w:t xml:space="preserve">3.5.1.</w:t>
            </w:r>
            <w:r>
              <w:rPr>
                <w:rFonts w:eastAsia="Calibri"/>
                <w:sz w:val="20"/>
                <w:szCs w:val="20"/>
                <w:lang w:eastAsia="en-US"/>
              </w:rPr>
            </w:r>
            <w:r>
              <w:rPr>
                <w:rFonts w:eastAsia="Calibri"/>
                <w:sz w:val="20"/>
                <w:szCs w:val="20"/>
                <w:lang w:eastAsia="en-US"/>
              </w:rPr>
            </w:r>
          </w:p>
        </w:tc>
        <w:tc>
          <w:tcPr>
            <w:tcW w:w="2835" w:type="dxa"/>
            <w:vAlign w:val="top"/>
            <w:textDirection w:val="lrTb"/>
            <w:noWrap w:val="false"/>
          </w:tcPr>
          <w:p>
            <w:pPr>
              <w:pStyle w:val="1135"/>
              <w:rPr>
                <w:rFonts w:eastAsia="Calibri"/>
                <w:sz w:val="20"/>
                <w:szCs w:val="20"/>
                <w:lang w:eastAsia="en-US"/>
              </w:rPr>
            </w:pPr>
            <w:r>
              <w:rPr>
                <w:rFonts w:eastAsia="Calibri"/>
                <w:sz w:val="20"/>
                <w:szCs w:val="20"/>
                <w:lang w:eastAsia="en-US"/>
              </w:rPr>
              <w:t xml:space="preserve">при отсутствии сведений о платежах и сведений о подтверждающих документах</w:t>
            </w:r>
            <w:r>
              <w:rPr>
                <w:rFonts w:eastAsia="Calibri"/>
                <w:sz w:val="20"/>
                <w:szCs w:val="20"/>
                <w:lang w:eastAsia="en-US"/>
              </w:rPr>
            </w:r>
            <w:r>
              <w:rPr>
                <w:rFonts w:eastAsia="Calibri"/>
                <w:sz w:val="20"/>
                <w:szCs w:val="20"/>
                <w:lang w:eastAsia="en-US"/>
              </w:rPr>
            </w:r>
          </w:p>
          <w:p>
            <w:pPr>
              <w:pStyle w:val="1135"/>
              <w:rPr>
                <w:rFonts w:eastAsia="Calibri"/>
                <w:sz w:val="20"/>
                <w:szCs w:val="20"/>
                <w:lang w:eastAsia="en-US"/>
              </w:rPr>
            </w:pPr>
            <w:r>
              <w:rPr>
                <w:rFonts w:eastAsia="Calibri"/>
                <w:sz w:val="20"/>
                <w:szCs w:val="20"/>
                <w:lang w:eastAsia="en-US"/>
              </w:rPr>
              <w:t xml:space="preserve">за исключением случаев перевода контракта (кредитного договора) на учет в другой уполномоченный банк</w:t>
            </w:r>
            <w:r>
              <w:rPr>
                <w:rFonts w:eastAsia="Calibri"/>
                <w:sz w:val="20"/>
                <w:szCs w:val="20"/>
                <w:lang w:eastAsia="en-US"/>
              </w:rPr>
            </w:r>
            <w:r>
              <w:rPr>
                <w:rFonts w:eastAsia="Calibri"/>
                <w:sz w:val="20"/>
                <w:szCs w:val="20"/>
                <w:lang w:eastAsia="en-US"/>
              </w:rPr>
            </w:r>
          </w:p>
        </w:tc>
        <w:tc>
          <w:tcPr>
            <w:tcW w:w="2268" w:type="dxa"/>
            <w:vAlign w:val="top"/>
            <w:textDirection w:val="lrTb"/>
            <w:noWrap w:val="false"/>
          </w:tcPr>
          <w:p>
            <w:pPr>
              <w:pStyle w:val="1135"/>
              <w:jc w:val="center"/>
              <w:rPr>
                <w:rFonts w:eastAsia="Calibri"/>
                <w:sz w:val="20"/>
                <w:szCs w:val="20"/>
                <w:lang w:eastAsia="en-US"/>
              </w:rPr>
            </w:pPr>
            <w:r>
              <w:rPr>
                <w:rFonts w:eastAsia="Calibri"/>
                <w:sz w:val="20"/>
                <w:szCs w:val="20"/>
                <w:lang w:eastAsia="en-US"/>
              </w:rPr>
              <w:t xml:space="preserve">3 000 руб.</w:t>
            </w:r>
            <w:r>
              <w:rPr>
                <w:rFonts w:eastAsia="Calibri"/>
                <w:sz w:val="20"/>
                <w:szCs w:val="20"/>
                <w:lang w:eastAsia="en-US"/>
              </w:rPr>
            </w:r>
            <w:r>
              <w:rPr>
                <w:rFonts w:eastAsia="Calibri"/>
                <w:sz w:val="20"/>
                <w:szCs w:val="20"/>
                <w:lang w:eastAsia="en-US"/>
              </w:rPr>
            </w:r>
          </w:p>
          <w:p>
            <w:pPr>
              <w:pStyle w:val="1135"/>
              <w:jc w:val="center"/>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W w:w="4111" w:type="dxa"/>
            <w:vAlign w:val="top"/>
            <w:vMerge w:val="restart"/>
            <w:textDirection w:val="lrTb"/>
            <w:noWrap w:val="false"/>
          </w:tcPr>
          <w:p>
            <w:pPr>
              <w:pStyle w:val="1135"/>
              <w:jc w:val="both"/>
              <w:tabs>
                <w:tab w:val="left" w:pos="257" w:leader="none"/>
              </w:tabs>
              <w:rPr>
                <w:rFonts w:eastAsia="Calibri"/>
                <w:sz w:val="20"/>
                <w:szCs w:val="20"/>
                <w:lang w:eastAsia="en-US"/>
              </w:rPr>
            </w:pPr>
            <w:r>
              <w:rPr>
                <w:rFonts w:eastAsia="Calibri"/>
                <w:sz w:val="20"/>
                <w:szCs w:val="20"/>
                <w:lang w:eastAsia="en-US"/>
              </w:rPr>
              <w:t xml:space="preserve">Комиссия взимается в день оказания услуги***</w:t>
            </w:r>
            <w:r>
              <w:rPr>
                <w:rFonts w:eastAsia="Calibri"/>
                <w:sz w:val="20"/>
                <w:szCs w:val="20"/>
                <w:lang w:eastAsia="en-US"/>
              </w:rPr>
            </w:r>
            <w:r>
              <w:rPr>
                <w:rFonts w:eastAsia="Calibri"/>
                <w:sz w:val="20"/>
                <w:szCs w:val="20"/>
                <w:lang w:eastAsia="en-US"/>
              </w:rPr>
            </w:r>
          </w:p>
          <w:p>
            <w:pPr>
              <w:pStyle w:val="1135"/>
              <w:jc w:val="both"/>
              <w:tabs>
                <w:tab w:val="left" w:pos="257" w:leader="none"/>
                <w:tab w:val="left" w:pos="1134" w:leader="none"/>
              </w:tabs>
              <w:rPr>
                <w:rFonts w:eastAsia="Calibri"/>
                <w:bCs/>
                <w:sz w:val="20"/>
                <w:szCs w:val="20"/>
                <w:lang w:eastAsia="en-US"/>
              </w:rPr>
            </w:pPr>
            <w:r>
              <w:rPr>
                <w:rFonts w:eastAsia="Calibri"/>
                <w:bCs/>
                <w:sz w:val="20"/>
                <w:szCs w:val="20"/>
                <w:lang w:eastAsia="en-US"/>
              </w:rPr>
              <w:t xml:space="preserve">Комиссия не взимается:</w:t>
            </w:r>
            <w:r>
              <w:rPr>
                <w:rFonts w:eastAsia="Calibri"/>
                <w:bCs/>
                <w:sz w:val="20"/>
                <w:szCs w:val="20"/>
                <w:lang w:eastAsia="en-US"/>
              </w:rPr>
            </w:r>
            <w:r>
              <w:rPr>
                <w:rFonts w:eastAsia="Calibri"/>
                <w:bCs/>
                <w:sz w:val="20"/>
                <w:szCs w:val="20"/>
                <w:lang w:eastAsia="en-US"/>
              </w:rPr>
            </w:r>
          </w:p>
          <w:p>
            <w:pPr>
              <w:pStyle w:val="1135"/>
              <w:jc w:val="both"/>
              <w:tabs>
                <w:tab w:val="left" w:pos="257" w:leader="none"/>
                <w:tab w:val="left" w:pos="1134" w:leader="none"/>
              </w:tabs>
              <w:rPr>
                <w:rFonts w:eastAsia="Calibri"/>
                <w:sz w:val="20"/>
                <w:szCs w:val="20"/>
                <w:lang w:eastAsia="en-US"/>
              </w:rPr>
            </w:pPr>
            <w:r>
              <w:rPr>
                <w:rFonts w:eastAsia="Calibri"/>
                <w:sz w:val="20"/>
                <w:szCs w:val="20"/>
                <w:lang w:eastAsia="en-US"/>
              </w:rPr>
              <w:t xml:space="preserve">- при переводе контракта (кредитного договора) из головного офиса Банка в региональный филиал Банка;</w:t>
            </w:r>
            <w:r>
              <w:rPr>
                <w:rFonts w:eastAsia="Calibri"/>
                <w:sz w:val="20"/>
                <w:szCs w:val="20"/>
                <w:lang w:eastAsia="en-US"/>
              </w:rPr>
            </w:r>
            <w:r>
              <w:rPr>
                <w:rFonts w:eastAsia="Calibri"/>
                <w:sz w:val="20"/>
                <w:szCs w:val="20"/>
                <w:lang w:eastAsia="en-US"/>
              </w:rPr>
            </w:r>
          </w:p>
          <w:p>
            <w:pPr>
              <w:pStyle w:val="1135"/>
              <w:jc w:val="both"/>
              <w:rPr>
                <w:rFonts w:eastAsia="Calibri"/>
                <w:sz w:val="20"/>
                <w:szCs w:val="20"/>
                <w:lang w:eastAsia="en-US"/>
              </w:rPr>
            </w:pPr>
            <w:r>
              <w:rPr>
                <w:rFonts w:eastAsia="Calibri"/>
                <w:sz w:val="20"/>
                <w:szCs w:val="20"/>
                <w:lang w:eastAsia="en-US"/>
              </w:rPr>
              <w:t xml:space="preserve">- при переводе контракта (кредитного договора)  из регионального филиала Банка в головной офис Банка;</w:t>
            </w:r>
            <w:r>
              <w:rPr>
                <w:rFonts w:eastAsia="Calibri"/>
                <w:sz w:val="20"/>
                <w:szCs w:val="20"/>
                <w:lang w:eastAsia="en-US"/>
              </w:rPr>
            </w:r>
            <w:r>
              <w:rPr>
                <w:rFonts w:eastAsia="Calibri"/>
                <w:sz w:val="20"/>
                <w:szCs w:val="20"/>
                <w:lang w:eastAsia="en-US"/>
              </w:rPr>
            </w:r>
          </w:p>
          <w:p>
            <w:pPr>
              <w:pStyle w:val="1135"/>
              <w:jc w:val="both"/>
              <w:rPr>
                <w:rFonts w:eastAsia="Calibri"/>
                <w:sz w:val="20"/>
                <w:szCs w:val="20"/>
                <w:lang w:eastAsia="en-US"/>
              </w:rPr>
            </w:pPr>
            <w:r>
              <w:rPr>
                <w:rFonts w:eastAsia="Calibri"/>
                <w:sz w:val="20"/>
                <w:szCs w:val="20"/>
                <w:lang w:eastAsia="en-US"/>
              </w:rPr>
              <w:t xml:space="preserve">- при переводе контракта (кредитного договора)  из одного регионального филиала Банка в другой региональный филиал Банка</w:t>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35"/>
              <w:jc w:val="center"/>
              <w:rPr>
                <w:rFonts w:eastAsia="Calibri"/>
                <w:sz w:val="20"/>
                <w:szCs w:val="20"/>
                <w:lang w:eastAsia="en-US"/>
              </w:rPr>
            </w:pPr>
            <w:r>
              <w:rPr>
                <w:rFonts w:eastAsia="Calibri"/>
                <w:sz w:val="20"/>
                <w:szCs w:val="20"/>
                <w:lang w:eastAsia="en-US"/>
              </w:rPr>
              <w:t xml:space="preserve">3.5.2.</w:t>
            </w:r>
            <w:r>
              <w:rPr>
                <w:rFonts w:eastAsia="Calibri"/>
                <w:sz w:val="20"/>
                <w:szCs w:val="20"/>
                <w:lang w:eastAsia="en-US"/>
              </w:rPr>
            </w:r>
            <w:r>
              <w:rPr>
                <w:rFonts w:eastAsia="Calibri"/>
                <w:sz w:val="20"/>
                <w:szCs w:val="20"/>
                <w:lang w:eastAsia="en-US"/>
              </w:rPr>
            </w:r>
          </w:p>
        </w:tc>
        <w:tc>
          <w:tcPr>
            <w:tcW w:w="2835" w:type="dxa"/>
            <w:vAlign w:val="top"/>
            <w:textDirection w:val="lrTb"/>
            <w:noWrap w:val="false"/>
          </w:tcPr>
          <w:p>
            <w:pPr>
              <w:pStyle w:val="1135"/>
              <w:rPr>
                <w:rFonts w:eastAsia="Calibri"/>
                <w:sz w:val="20"/>
                <w:szCs w:val="20"/>
                <w:lang w:eastAsia="en-US"/>
              </w:rPr>
            </w:pPr>
            <w:r>
              <w:rPr>
                <w:rFonts w:eastAsia="Calibri"/>
                <w:sz w:val="20"/>
                <w:szCs w:val="20"/>
                <w:lang w:eastAsia="en-US"/>
              </w:rPr>
              <w:t xml:space="preserve">при переводе </w:t>
            </w:r>
            <w:r>
              <w:rPr>
                <w:rFonts w:eastAsia="Calibri"/>
                <w:bCs/>
                <w:sz w:val="20"/>
                <w:szCs w:val="20"/>
                <w:lang w:eastAsia="en-US"/>
              </w:rPr>
              <w:t xml:space="preserve">контракта (кредитного договора) на учет </w:t>
            </w:r>
            <w:r>
              <w:rPr>
                <w:rFonts w:eastAsia="Calibri"/>
                <w:sz w:val="20"/>
                <w:szCs w:val="20"/>
                <w:lang w:eastAsia="en-US"/>
              </w:rPr>
              <w:t xml:space="preserve">в другой уполномоченный банк либо при закрытии резидентом всех расчетных счетов в Банке**** </w:t>
            </w:r>
            <w:r>
              <w:rPr>
                <w:rFonts w:eastAsia="Calibri"/>
                <w:sz w:val="20"/>
                <w:szCs w:val="20"/>
                <w:lang w:eastAsia="en-US"/>
              </w:rPr>
            </w:r>
            <w:r>
              <w:rPr>
                <w:rFonts w:eastAsia="Calibri"/>
                <w:sz w:val="20"/>
                <w:szCs w:val="20"/>
                <w:lang w:eastAsia="en-US"/>
              </w:rPr>
            </w:r>
          </w:p>
        </w:tc>
        <w:tc>
          <w:tcPr>
            <w:tcW w:w="2268" w:type="dxa"/>
            <w:vAlign w:val="top"/>
            <w:textDirection w:val="lrTb"/>
            <w:noWrap w:val="false"/>
          </w:tcPr>
          <w:p>
            <w:pPr>
              <w:pStyle w:val="1135"/>
              <w:jc w:val="center"/>
              <w:rPr>
                <w:rFonts w:eastAsia="Calibri"/>
                <w:sz w:val="20"/>
                <w:szCs w:val="20"/>
                <w:lang w:eastAsia="en-US"/>
              </w:rPr>
            </w:pPr>
            <w:r>
              <w:rPr>
                <w:rFonts w:eastAsia="Calibri"/>
                <w:sz w:val="20"/>
                <w:szCs w:val="20"/>
                <w:lang w:eastAsia="en-US"/>
              </w:rPr>
              <w:t xml:space="preserve">10</w:t>
            </w:r>
            <w:r>
              <w:rPr>
                <w:rFonts w:eastAsia="Calibri"/>
                <w:sz w:val="20"/>
                <w:szCs w:val="20"/>
                <w:lang w:eastAsia="en-US"/>
              </w:rPr>
              <w:t xml:space="preserve"> 000 руб.</w:t>
            </w:r>
            <w:r>
              <w:rPr>
                <w:rFonts w:eastAsia="Calibri"/>
                <w:sz w:val="20"/>
                <w:szCs w:val="20"/>
                <w:lang w:eastAsia="en-US"/>
              </w:rPr>
            </w:r>
            <w:r>
              <w:rPr>
                <w:rFonts w:eastAsia="Calibri"/>
                <w:sz w:val="20"/>
                <w:szCs w:val="20"/>
                <w:lang w:eastAsia="en-US"/>
              </w:rPr>
            </w:r>
          </w:p>
        </w:tc>
        <w:tc>
          <w:tcPr>
            <w:tcW w:w="4111" w:type="dxa"/>
            <w:vAlign w:val="top"/>
            <w:vMerge w:val="continue"/>
            <w:textDirection w:val="lrTb"/>
            <w:noWrap w:val="false"/>
          </w:tcPr>
          <w:p>
            <w:pPr>
              <w:pStyle w:val="1135"/>
              <w:jc w:val="both"/>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35"/>
              <w:jc w:val="center"/>
              <w:rPr>
                <w:rFonts w:eastAsia="Calibri"/>
                <w:sz w:val="20"/>
                <w:szCs w:val="20"/>
                <w:lang w:eastAsia="en-US"/>
              </w:rPr>
            </w:pPr>
            <w:r>
              <w:rPr>
                <w:rFonts w:eastAsia="Calibri"/>
                <w:sz w:val="20"/>
                <w:szCs w:val="20"/>
                <w:lang w:eastAsia="en-US"/>
              </w:rPr>
              <w:t xml:space="preserve">3.5.3.</w:t>
            </w:r>
            <w:r>
              <w:rPr>
                <w:rFonts w:eastAsia="Calibri"/>
                <w:sz w:val="20"/>
                <w:szCs w:val="20"/>
                <w:lang w:eastAsia="en-US"/>
              </w:rPr>
            </w:r>
            <w:r>
              <w:rPr>
                <w:rFonts w:eastAsia="Calibri"/>
                <w:sz w:val="20"/>
                <w:szCs w:val="20"/>
                <w:lang w:eastAsia="en-US"/>
              </w:rPr>
            </w:r>
          </w:p>
        </w:tc>
        <w:tc>
          <w:tcPr>
            <w:tcW w:w="2835" w:type="dxa"/>
            <w:vAlign w:val="top"/>
            <w:textDirection w:val="lrTb"/>
            <w:noWrap w:val="false"/>
          </w:tcPr>
          <w:p>
            <w:pPr>
              <w:pStyle w:val="1135"/>
              <w:rPr>
                <w:rFonts w:eastAsia="Calibri"/>
                <w:sz w:val="20"/>
                <w:szCs w:val="20"/>
                <w:lang w:eastAsia="en-US"/>
              </w:rPr>
            </w:pPr>
            <w:r>
              <w:rPr>
                <w:rFonts w:eastAsia="Calibri"/>
                <w:sz w:val="20"/>
                <w:szCs w:val="20"/>
                <w:lang w:eastAsia="en-US"/>
              </w:rPr>
              <w:t xml:space="preserve">при отсутствии сведений о платежах (полностью или частично), но при наличии сведений о подтверждающих документах</w:t>
            </w:r>
            <w:r>
              <w:rPr>
                <w:rFonts w:eastAsia="Calibri"/>
                <w:sz w:val="20"/>
                <w:szCs w:val="20"/>
                <w:lang w:eastAsia="en-US"/>
              </w:rPr>
            </w:r>
            <w:r>
              <w:rPr>
                <w:rFonts w:eastAsia="Calibri"/>
                <w:sz w:val="20"/>
                <w:szCs w:val="20"/>
                <w:lang w:eastAsia="en-US"/>
              </w:rPr>
            </w:r>
          </w:p>
        </w:tc>
        <w:tc>
          <w:tcPr>
            <w:tcW w:w="2268" w:type="dxa"/>
            <w:vAlign w:val="top"/>
            <w:textDirection w:val="lrTb"/>
            <w:noWrap w:val="false"/>
          </w:tcPr>
          <w:p>
            <w:pPr>
              <w:pStyle w:val="1135"/>
              <w:jc w:val="center"/>
              <w:rPr>
                <w:rFonts w:eastAsia="Calibri"/>
                <w:sz w:val="20"/>
                <w:szCs w:val="20"/>
                <w:lang w:eastAsia="en-US"/>
              </w:rPr>
            </w:pPr>
            <w:r>
              <w:rPr>
                <w:rFonts w:eastAsia="Calibri"/>
                <w:sz w:val="20"/>
                <w:szCs w:val="20"/>
                <w:lang w:eastAsia="en-US"/>
              </w:rPr>
              <w:t xml:space="preserve">0,15 % </w:t>
            </w:r>
            <w:r>
              <w:rPr>
                <w:rFonts w:eastAsia="Calibri"/>
                <w:sz w:val="20"/>
                <w:szCs w:val="20"/>
                <w:lang w:eastAsia="en-US"/>
              </w:rPr>
            </w:r>
            <w:r>
              <w:rPr>
                <w:rFonts w:eastAsia="Calibri"/>
                <w:sz w:val="20"/>
                <w:szCs w:val="20"/>
                <w:lang w:eastAsia="en-US"/>
              </w:rPr>
            </w:r>
          </w:p>
          <w:p>
            <w:pPr>
              <w:pStyle w:val="1135"/>
              <w:jc w:val="center"/>
              <w:rPr>
                <w:rFonts w:eastAsia="Calibri"/>
                <w:sz w:val="20"/>
                <w:szCs w:val="20"/>
                <w:lang w:eastAsia="en-US"/>
              </w:rPr>
            </w:pPr>
            <w:r>
              <w:rPr>
                <w:rFonts w:eastAsia="Calibri"/>
                <w:sz w:val="20"/>
                <w:szCs w:val="20"/>
                <w:lang w:eastAsia="en-US"/>
              </w:rPr>
              <w:t xml:space="preserve">минимум 300 руб., максимум 80 000 руб. </w:t>
            </w:r>
            <w:r>
              <w:rPr>
                <w:rFonts w:eastAsia="Calibri"/>
                <w:sz w:val="20"/>
                <w:szCs w:val="20"/>
                <w:lang w:eastAsia="en-US"/>
              </w:rPr>
            </w:r>
            <w:r>
              <w:rPr>
                <w:rFonts w:eastAsia="Calibri"/>
                <w:sz w:val="20"/>
                <w:szCs w:val="20"/>
                <w:lang w:eastAsia="en-US"/>
              </w:rPr>
            </w:r>
          </w:p>
          <w:p>
            <w:pPr>
              <w:pStyle w:val="1135"/>
              <w:jc w:val="center"/>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W w:w="4111" w:type="dxa"/>
            <w:vAlign w:val="top"/>
            <w:textDirection w:val="lrTb"/>
            <w:noWrap w:val="false"/>
          </w:tcPr>
          <w:p>
            <w:pPr>
              <w:pStyle w:val="1135"/>
              <w:jc w:val="both"/>
              <w:rPr>
                <w:rFonts w:eastAsia="Calibri"/>
                <w:sz w:val="20"/>
                <w:szCs w:val="20"/>
                <w:lang w:eastAsia="en-US"/>
              </w:rPr>
            </w:pPr>
            <w:r>
              <w:rPr>
                <w:rFonts w:eastAsia="Calibri"/>
                <w:sz w:val="20"/>
                <w:szCs w:val="20"/>
                <w:lang w:eastAsia="en-US"/>
              </w:rPr>
              <w:t xml:space="preserve">Комиссия взимается в день оказания услуги***.</w:t>
            </w:r>
            <w:r>
              <w:rPr>
                <w:rFonts w:eastAsia="Calibri"/>
                <w:sz w:val="20"/>
                <w:szCs w:val="20"/>
                <w:lang w:eastAsia="en-US"/>
              </w:rPr>
            </w:r>
            <w:r>
              <w:rPr>
                <w:rFonts w:eastAsia="Calibri"/>
                <w:sz w:val="20"/>
                <w:szCs w:val="20"/>
                <w:lang w:eastAsia="en-US"/>
              </w:rPr>
            </w:r>
          </w:p>
          <w:p>
            <w:pPr>
              <w:pStyle w:val="1135"/>
              <w:jc w:val="both"/>
              <w:rPr>
                <w:rFonts w:eastAsia="Calibri"/>
                <w:sz w:val="20"/>
                <w:szCs w:val="20"/>
                <w:lang w:eastAsia="en-US"/>
              </w:rPr>
            </w:pPr>
            <w:r>
              <w:rPr>
                <w:rFonts w:eastAsia="Calibri"/>
                <w:sz w:val="20"/>
                <w:szCs w:val="20"/>
                <w:lang w:eastAsia="en-US"/>
              </w:rPr>
              <w:t xml:space="preserve">Комиссия взимается:</w:t>
            </w:r>
            <w:r>
              <w:rPr>
                <w:rFonts w:eastAsia="Calibri"/>
                <w:sz w:val="20"/>
                <w:szCs w:val="20"/>
                <w:lang w:eastAsia="en-US"/>
              </w:rPr>
            </w:r>
            <w:r>
              <w:rPr>
                <w:rFonts w:eastAsia="Calibri"/>
                <w:sz w:val="20"/>
                <w:szCs w:val="20"/>
                <w:lang w:eastAsia="en-US"/>
              </w:rPr>
            </w:r>
          </w:p>
          <w:p>
            <w:pPr>
              <w:pStyle w:val="1135"/>
              <w:jc w:val="both"/>
              <w:rPr>
                <w:rFonts w:eastAsia="Calibri"/>
                <w:sz w:val="20"/>
                <w:szCs w:val="20"/>
                <w:lang w:eastAsia="en-US"/>
              </w:rPr>
            </w:pPr>
            <w:r>
              <w:rPr>
                <w:rFonts w:eastAsia="Calibri"/>
                <w:sz w:val="20"/>
                <w:szCs w:val="20"/>
                <w:lang w:eastAsia="en-US"/>
              </w:rPr>
              <w:t xml:space="preserve">- от общей суммы неоплаченных подтверждающих документов. Рассчитывается от разницы между суммой подтверждающих документов и суммой платежей на основании сведений, содержащихся в ведомости банковского контроля.</w:t>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35"/>
              <w:jc w:val="center"/>
              <w:spacing w:before="40"/>
              <w:rPr>
                <w:rFonts w:eastAsia="Calibri"/>
                <w:sz w:val="20"/>
                <w:szCs w:val="20"/>
                <w:lang w:eastAsia="en-US"/>
              </w:rPr>
            </w:pPr>
            <w:r>
              <w:rPr>
                <w:rFonts w:eastAsia="Calibri"/>
                <w:sz w:val="20"/>
                <w:szCs w:val="20"/>
                <w:lang w:eastAsia="en-US"/>
              </w:rPr>
              <w:t xml:space="preserve">3.6.</w:t>
            </w:r>
            <w:r>
              <w:rPr>
                <w:rFonts w:eastAsia="Calibri"/>
                <w:sz w:val="20"/>
                <w:szCs w:val="20"/>
                <w:lang w:eastAsia="en-US"/>
              </w:rPr>
            </w:r>
            <w:r>
              <w:rPr>
                <w:rFonts w:eastAsia="Calibri"/>
                <w:sz w:val="20"/>
                <w:szCs w:val="20"/>
                <w:lang w:eastAsia="en-US"/>
              </w:rPr>
            </w:r>
          </w:p>
        </w:tc>
        <w:tc>
          <w:tcPr>
            <w:tcW w:w="2835" w:type="dxa"/>
            <w:vAlign w:val="top"/>
            <w:textDirection w:val="lrTb"/>
            <w:noWrap w:val="false"/>
          </w:tcPr>
          <w:p>
            <w:pPr>
              <w:pStyle w:val="1135"/>
              <w:spacing w:before="40"/>
              <w:rPr>
                <w:rFonts w:eastAsia="Calibri"/>
                <w:sz w:val="20"/>
                <w:szCs w:val="20"/>
                <w:lang w:eastAsia="en-US"/>
              </w:rPr>
            </w:pPr>
            <w:r>
              <w:rPr>
                <w:rFonts w:eastAsia="Calibri"/>
                <w:sz w:val="20"/>
                <w:szCs w:val="20"/>
                <w:lang w:eastAsia="en-US"/>
              </w:rPr>
              <w:t xml:space="preserve">Выполнение функций агента валютного контроля по валютным операциям нерезидентов, осуществляемым при списании валюты Российской Федерации с расчетного счета, открытого в Банке</w:t>
            </w:r>
            <w:r>
              <w:rPr>
                <w:rFonts w:eastAsia="Calibri"/>
                <w:sz w:val="20"/>
                <w:szCs w:val="20"/>
                <w:lang w:eastAsia="en-US"/>
              </w:rPr>
            </w:r>
            <w:r>
              <w:rPr>
                <w:rFonts w:eastAsia="Calibri"/>
                <w:sz w:val="20"/>
                <w:szCs w:val="20"/>
                <w:lang w:eastAsia="en-US"/>
              </w:rPr>
            </w:r>
          </w:p>
        </w:tc>
        <w:tc>
          <w:tcPr>
            <w:tcW w:w="2268" w:type="dxa"/>
            <w:vAlign w:val="top"/>
            <w:textDirection w:val="lrTb"/>
            <w:noWrap w:val="false"/>
          </w:tcPr>
          <w:p>
            <w:pPr>
              <w:pStyle w:val="1135"/>
              <w:contextualSpacing/>
              <w:jc w:val="center"/>
              <w:rPr>
                <w:rFonts w:eastAsia="Calibri"/>
                <w:sz w:val="20"/>
                <w:szCs w:val="20"/>
                <w:lang w:eastAsia="en-US"/>
              </w:rPr>
            </w:pPr>
            <w:r>
              <w:rPr>
                <w:rFonts w:eastAsia="Calibri"/>
                <w:sz w:val="20"/>
                <w:szCs w:val="20"/>
                <w:lang w:eastAsia="en-US"/>
              </w:rPr>
              <w:t xml:space="preserve">0,12%</w:t>
            </w:r>
            <w:r>
              <w:rPr>
                <w:rFonts w:eastAsia="Calibri"/>
                <w:sz w:val="20"/>
                <w:szCs w:val="20"/>
                <w:lang w:eastAsia="en-US"/>
              </w:rPr>
            </w:r>
            <w:r>
              <w:rPr>
                <w:rFonts w:eastAsia="Calibri"/>
                <w:sz w:val="20"/>
                <w:szCs w:val="20"/>
                <w:lang w:eastAsia="en-US"/>
              </w:rPr>
            </w:r>
          </w:p>
          <w:p>
            <w:pPr>
              <w:pStyle w:val="1135"/>
              <w:contextualSpacing/>
              <w:jc w:val="center"/>
              <w:rPr>
                <w:rFonts w:eastAsia="Calibri"/>
                <w:sz w:val="20"/>
                <w:szCs w:val="20"/>
                <w:lang w:eastAsia="en-US"/>
              </w:rPr>
            </w:pPr>
            <w:r>
              <w:rPr>
                <w:rFonts w:eastAsia="Calibri"/>
                <w:sz w:val="20"/>
                <w:szCs w:val="20"/>
                <w:lang w:eastAsia="en-US"/>
              </w:rPr>
              <w:t xml:space="preserve">минимум 150 руб.,</w:t>
            </w:r>
            <w:r>
              <w:rPr>
                <w:rFonts w:eastAsia="Calibri"/>
                <w:sz w:val="20"/>
                <w:szCs w:val="20"/>
                <w:lang w:eastAsia="en-US"/>
              </w:rPr>
            </w:r>
            <w:r>
              <w:rPr>
                <w:rFonts w:eastAsia="Calibri"/>
                <w:sz w:val="20"/>
                <w:szCs w:val="20"/>
                <w:lang w:eastAsia="en-US"/>
              </w:rPr>
            </w:r>
          </w:p>
          <w:p>
            <w:pPr>
              <w:pStyle w:val="1135"/>
              <w:contextualSpacing/>
              <w:jc w:val="center"/>
              <w:rPr>
                <w:rFonts w:eastAsia="Calibri"/>
                <w:sz w:val="20"/>
                <w:szCs w:val="20"/>
                <w:lang w:eastAsia="en-US"/>
              </w:rPr>
            </w:pPr>
            <w:r>
              <w:rPr>
                <w:rFonts w:eastAsia="Calibri"/>
                <w:sz w:val="20"/>
                <w:szCs w:val="20"/>
                <w:lang w:eastAsia="en-US"/>
              </w:rPr>
              <w:t xml:space="preserve">максимум 5 000 руб.</w:t>
            </w:r>
            <w:r>
              <w:rPr>
                <w:rFonts w:eastAsia="Calibri"/>
                <w:sz w:val="20"/>
                <w:szCs w:val="20"/>
                <w:lang w:eastAsia="en-US"/>
              </w:rPr>
            </w:r>
            <w:r>
              <w:rPr>
                <w:rFonts w:eastAsia="Calibri"/>
                <w:sz w:val="20"/>
                <w:szCs w:val="20"/>
                <w:lang w:eastAsia="en-US"/>
              </w:rPr>
            </w:r>
          </w:p>
          <w:p>
            <w:pPr>
              <w:pStyle w:val="1135"/>
              <w:contextualSpacing/>
              <w:jc w:val="center"/>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W w:w="4111" w:type="dxa"/>
            <w:vAlign w:val="top"/>
            <w:textDirection w:val="lrTb"/>
            <w:noWrap w:val="false"/>
          </w:tcPr>
          <w:p>
            <w:pPr>
              <w:pStyle w:val="1135"/>
              <w:jc w:val="both"/>
              <w:rPr>
                <w:rFonts w:eastAsia="Calibri"/>
                <w:bCs/>
                <w:sz w:val="20"/>
                <w:szCs w:val="20"/>
                <w:lang w:eastAsia="en-US"/>
              </w:rPr>
            </w:pPr>
            <w:r>
              <w:rPr>
                <w:rFonts w:eastAsia="Calibri"/>
                <w:sz w:val="20"/>
                <w:szCs w:val="20"/>
                <w:lang w:eastAsia="en-US"/>
              </w:rPr>
              <w:t xml:space="preserve">Комиссия взимается от суммы расчетного документа при каждом списании в срок не позднее следующего рабочего дня после дня </w:t>
            </w:r>
            <w:r>
              <w:rPr>
                <w:rFonts w:eastAsia="Calibri"/>
                <w:bCs/>
                <w:sz w:val="20"/>
                <w:szCs w:val="20"/>
                <w:lang w:eastAsia="en-US"/>
              </w:rPr>
              <w:t xml:space="preserve">оказания услуги</w:t>
            </w:r>
            <w:r>
              <w:rPr>
                <w:rFonts w:eastAsia="Calibri"/>
                <w:sz w:val="20"/>
                <w:szCs w:val="20"/>
                <w:lang w:eastAsia="en-US"/>
              </w:rPr>
              <w:t xml:space="preserve">*</w:t>
            </w:r>
            <w:r>
              <w:rPr>
                <w:rFonts w:eastAsia="Calibri"/>
                <w:bCs/>
                <w:sz w:val="20"/>
                <w:szCs w:val="20"/>
                <w:lang w:eastAsia="en-US"/>
              </w:rPr>
              <w:t xml:space="preserve">**</w:t>
            </w:r>
            <w:r>
              <w:rPr>
                <w:rFonts w:eastAsia="Calibri"/>
                <w:bCs/>
                <w:sz w:val="20"/>
                <w:szCs w:val="20"/>
                <w:lang w:eastAsia="en-US"/>
              </w:rPr>
            </w:r>
            <w:r>
              <w:rPr>
                <w:rFonts w:eastAsia="Calibri"/>
                <w:bCs/>
                <w:sz w:val="20"/>
                <w:szCs w:val="20"/>
                <w:lang w:eastAsia="en-US"/>
              </w:rPr>
            </w:r>
          </w:p>
          <w:p>
            <w:pPr>
              <w:pStyle w:val="1135"/>
              <w:jc w:val="both"/>
              <w:rPr>
                <w:rFonts w:eastAsia="Calibri"/>
                <w:b/>
                <w:sz w:val="20"/>
                <w:szCs w:val="20"/>
                <w:lang w:eastAsia="en-US"/>
              </w:rPr>
            </w:pPr>
            <w:r>
              <w:rPr>
                <w:rFonts w:eastAsia="Calibri"/>
                <w:b/>
                <w:sz w:val="20"/>
                <w:szCs w:val="20"/>
                <w:lang w:eastAsia="en-US"/>
              </w:rPr>
              <w:t xml:space="preserve">Комиссия не взимается:</w:t>
            </w:r>
            <w:r>
              <w:rPr>
                <w:rFonts w:eastAsia="Calibri"/>
                <w:b/>
                <w:sz w:val="20"/>
                <w:szCs w:val="20"/>
                <w:lang w:eastAsia="en-US"/>
              </w:rPr>
            </w:r>
            <w:r>
              <w:rPr>
                <w:rFonts w:eastAsia="Calibri"/>
                <w:b/>
                <w:sz w:val="20"/>
                <w:szCs w:val="20"/>
                <w:lang w:eastAsia="en-US"/>
              </w:rPr>
            </w:r>
          </w:p>
          <w:p>
            <w:pPr>
              <w:pStyle w:val="1135"/>
              <w:jc w:val="both"/>
              <w:rPr>
                <w:rFonts w:eastAsia="Calibri"/>
                <w:sz w:val="20"/>
                <w:szCs w:val="20"/>
                <w:lang w:eastAsia="en-US"/>
              </w:rPr>
            </w:pPr>
            <w:r>
              <w:rPr>
                <w:rFonts w:eastAsia="Calibri"/>
                <w:sz w:val="20"/>
                <w:szCs w:val="20"/>
                <w:lang w:eastAsia="en-US"/>
              </w:rPr>
              <w:t xml:space="preserve">- по операциям между нерезидентом и Банком;</w:t>
            </w:r>
            <w:r>
              <w:rPr>
                <w:rFonts w:eastAsia="Calibri"/>
                <w:sz w:val="20"/>
                <w:szCs w:val="20"/>
                <w:lang w:eastAsia="en-US"/>
              </w:rPr>
            </w:r>
            <w:r>
              <w:rPr>
                <w:rFonts w:eastAsia="Calibri"/>
                <w:sz w:val="20"/>
                <w:szCs w:val="20"/>
                <w:lang w:eastAsia="en-US"/>
              </w:rPr>
            </w:r>
          </w:p>
          <w:p>
            <w:pPr>
              <w:pStyle w:val="1135"/>
              <w:jc w:val="both"/>
              <w:rPr>
                <w:rFonts w:eastAsia="Calibri"/>
                <w:sz w:val="20"/>
                <w:szCs w:val="20"/>
                <w:lang w:eastAsia="en-US"/>
              </w:rPr>
            </w:pPr>
            <w:r>
              <w:rPr>
                <w:rFonts w:eastAsia="Calibri"/>
                <w:sz w:val="20"/>
                <w:szCs w:val="20"/>
                <w:lang w:eastAsia="en-US"/>
              </w:rPr>
              <w:t xml:space="preserve">- по операциям, связанным с уплатой налогов, пошлин и иных обязательных платежей в соответствии с законодательством  Российской Федерации;</w:t>
            </w:r>
            <w:r>
              <w:rPr>
                <w:rFonts w:eastAsia="Calibri"/>
                <w:sz w:val="20"/>
                <w:szCs w:val="20"/>
                <w:lang w:eastAsia="en-US"/>
              </w:rPr>
            </w:r>
            <w:r>
              <w:rPr>
                <w:rFonts w:eastAsia="Calibri"/>
                <w:sz w:val="20"/>
                <w:szCs w:val="20"/>
                <w:lang w:eastAsia="en-US"/>
              </w:rPr>
            </w:r>
          </w:p>
          <w:p>
            <w:pPr>
              <w:pStyle w:val="1135"/>
              <w:jc w:val="both"/>
              <w:rPr>
                <w:rFonts w:eastAsia="Calibri"/>
                <w:sz w:val="20"/>
                <w:szCs w:val="20"/>
                <w:lang w:eastAsia="en-US"/>
              </w:rPr>
            </w:pPr>
            <w:r>
              <w:rPr>
                <w:rFonts w:eastAsia="Calibri"/>
                <w:sz w:val="20"/>
                <w:szCs w:val="20"/>
                <w:lang w:eastAsia="en-US"/>
              </w:rPr>
              <w:t xml:space="preserve">- по операциям, связанным с переводом нерезидентом денежных средств на свои расчетные и депозитные счета, открытые в Банке/в других уполномоченных банках на территории Российской Федерации, а также в банках-нерезидентах;</w:t>
            </w:r>
            <w:r>
              <w:rPr>
                <w:rFonts w:eastAsia="Calibri"/>
                <w:sz w:val="20"/>
                <w:szCs w:val="20"/>
                <w:lang w:eastAsia="en-US"/>
              </w:rPr>
            </w:r>
            <w:r>
              <w:rPr>
                <w:rFonts w:eastAsia="Calibri"/>
                <w:sz w:val="20"/>
                <w:szCs w:val="20"/>
                <w:lang w:eastAsia="en-US"/>
              </w:rPr>
            </w:r>
          </w:p>
          <w:p>
            <w:pPr>
              <w:pStyle w:val="1135"/>
              <w:jc w:val="both"/>
              <w:rPr>
                <w:rFonts w:eastAsia="Calibri"/>
                <w:sz w:val="20"/>
                <w:szCs w:val="20"/>
                <w:lang w:eastAsia="en-US"/>
              </w:rPr>
            </w:pPr>
            <w:r>
              <w:rPr>
                <w:rFonts w:eastAsia="Calibri"/>
                <w:sz w:val="20"/>
                <w:szCs w:val="20"/>
                <w:lang w:eastAsia="en-US"/>
              </w:rPr>
              <w:t xml:space="preserve">- по операциям, связанным с возвратом денежных средств, зачисленных ранее на расчетные счета</w:t>
            </w:r>
            <w:r>
              <w:rPr>
                <w:rFonts w:eastAsia="Calibri"/>
                <w:sz w:val="20"/>
                <w:szCs w:val="20"/>
                <w:lang w:eastAsia="en-US"/>
              </w:rPr>
            </w:r>
            <w:r>
              <w:rPr>
                <w:rFonts w:eastAsia="Calibri"/>
                <w:sz w:val="20"/>
                <w:szCs w:val="20"/>
                <w:lang w:eastAsia="en-US"/>
              </w:rPr>
            </w:r>
          </w:p>
          <w:p>
            <w:pPr>
              <w:pStyle w:val="1135"/>
              <w:jc w:val="both"/>
              <w:tabs>
                <w:tab w:val="left" w:pos="1134" w:leader="none"/>
              </w:tabs>
              <w:rPr>
                <w:rFonts w:eastAsia="Calibri"/>
                <w:sz w:val="20"/>
                <w:szCs w:val="20"/>
                <w:lang w:eastAsia="en-US"/>
              </w:rPr>
            </w:pPr>
            <w:r>
              <w:rPr>
                <w:rFonts w:eastAsia="Calibri"/>
                <w:sz w:val="20"/>
                <w:szCs w:val="20"/>
                <w:lang w:eastAsia="en-US"/>
              </w:rPr>
              <w:t xml:space="preserve">- по операциям в рамках договоров о перечислении юридическим лицом денежных средств со своего банковского счета в пользу нескольких физических лиц-клиентов Банка</w:t>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35"/>
              <w:jc w:val="center"/>
              <w:rPr>
                <w:rFonts w:eastAsia="Calibri"/>
                <w:sz w:val="20"/>
                <w:szCs w:val="20"/>
                <w:lang w:eastAsia="en-US"/>
              </w:rPr>
            </w:pPr>
            <w:r>
              <w:rPr>
                <w:rFonts w:eastAsia="Calibri"/>
                <w:sz w:val="20"/>
                <w:szCs w:val="20"/>
                <w:lang w:eastAsia="en-US"/>
              </w:rPr>
              <w:t xml:space="preserve">3.7.</w:t>
            </w:r>
            <w:r>
              <w:rPr>
                <w:rFonts w:eastAsia="Calibri"/>
                <w:sz w:val="20"/>
                <w:szCs w:val="20"/>
                <w:lang w:eastAsia="en-US"/>
              </w:rPr>
            </w:r>
            <w:r>
              <w:rPr>
                <w:rFonts w:eastAsia="Calibri"/>
                <w:sz w:val="20"/>
                <w:szCs w:val="20"/>
                <w:lang w:eastAsia="en-US"/>
              </w:rPr>
            </w:r>
          </w:p>
        </w:tc>
        <w:tc>
          <w:tcPr>
            <w:tcW w:w="2835" w:type="dxa"/>
            <w:vAlign w:val="top"/>
            <w:textDirection w:val="lrTb"/>
            <w:noWrap w:val="false"/>
          </w:tcPr>
          <w:p>
            <w:pPr>
              <w:pStyle w:val="1135"/>
              <w:rPr>
                <w:rFonts w:eastAsia="Calibri"/>
                <w:sz w:val="20"/>
                <w:szCs w:val="20"/>
                <w:lang w:eastAsia="en-US"/>
              </w:rPr>
            </w:pPr>
            <w:r>
              <w:rPr>
                <w:rFonts w:eastAsia="Calibri"/>
                <w:sz w:val="20"/>
                <w:szCs w:val="20"/>
                <w:lang w:eastAsia="en-US"/>
              </w:rPr>
              <w:t xml:space="preserve">Оказание консультационных услуг клиенту Банка по вопросам применения валютного законодательства Российской Федерации</w:t>
            </w:r>
            <w:r>
              <w:rPr>
                <w:rFonts w:eastAsia="Calibri"/>
                <w:sz w:val="20"/>
                <w:szCs w:val="20"/>
                <w:lang w:eastAsia="en-US"/>
              </w:rPr>
            </w:r>
            <w:r>
              <w:rPr>
                <w:rFonts w:eastAsia="Calibri"/>
                <w:sz w:val="20"/>
                <w:szCs w:val="20"/>
                <w:lang w:eastAsia="en-US"/>
              </w:rPr>
            </w:r>
          </w:p>
        </w:tc>
        <w:tc>
          <w:tcPr>
            <w:tcW w:w="2268" w:type="dxa"/>
            <w:vAlign w:val="top"/>
            <w:textDirection w:val="lrTb"/>
            <w:noWrap w:val="false"/>
          </w:tcPr>
          <w:p>
            <w:pPr>
              <w:pStyle w:val="1135"/>
              <w:jc w:val="center"/>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r>
              <w:rPr>
                <w:rFonts w:eastAsia="Calibri"/>
                <w:sz w:val="20"/>
                <w:szCs w:val="20"/>
                <w:lang w:eastAsia="en-US"/>
              </w:rPr>
            </w:r>
          </w:p>
        </w:tc>
        <w:tc>
          <w:tcPr>
            <w:tcW w:w="4111" w:type="dxa"/>
            <w:vAlign w:val="top"/>
            <w:textDirection w:val="lrTb"/>
            <w:noWrap w:val="false"/>
          </w:tcPr>
          <w:p>
            <w:pPr>
              <w:pStyle w:val="1135"/>
              <w:jc w:val="both"/>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215"/>
        </w:trPr>
        <w:tc>
          <w:tcPr>
            <w:tcW w:w="851" w:type="dxa"/>
            <w:vAlign w:val="top"/>
            <w:textDirection w:val="lrTb"/>
            <w:noWrap w:val="false"/>
          </w:tcPr>
          <w:p>
            <w:pPr>
              <w:pStyle w:val="1135"/>
              <w:jc w:val="center"/>
              <w:rPr>
                <w:rFonts w:eastAsia="Calibri"/>
                <w:sz w:val="20"/>
                <w:szCs w:val="20"/>
                <w:lang w:eastAsia="en-US"/>
              </w:rPr>
            </w:pPr>
            <w:r>
              <w:rPr>
                <w:rFonts w:eastAsia="Calibri"/>
                <w:sz w:val="20"/>
                <w:szCs w:val="20"/>
                <w:lang w:eastAsia="en-US"/>
              </w:rPr>
              <w:t xml:space="preserve">3.8.</w:t>
            </w:r>
            <w:r>
              <w:rPr>
                <w:rFonts w:eastAsia="Calibri"/>
                <w:sz w:val="20"/>
                <w:szCs w:val="20"/>
                <w:lang w:eastAsia="en-US"/>
              </w:rPr>
            </w:r>
            <w:r>
              <w:rPr>
                <w:rFonts w:eastAsia="Calibri"/>
                <w:sz w:val="20"/>
                <w:szCs w:val="20"/>
                <w:lang w:eastAsia="en-US"/>
              </w:rPr>
            </w:r>
          </w:p>
        </w:tc>
        <w:tc>
          <w:tcPr>
            <w:tcW w:w="2835" w:type="dxa"/>
            <w:vAlign w:val="top"/>
            <w:textDirection w:val="lrTb"/>
            <w:noWrap w:val="false"/>
          </w:tcPr>
          <w:p>
            <w:pPr>
              <w:pStyle w:val="1135"/>
              <w:rPr>
                <w:rFonts w:eastAsia="Calibri"/>
                <w:sz w:val="20"/>
                <w:szCs w:val="20"/>
                <w:lang w:eastAsia="en-US"/>
              </w:rPr>
            </w:pPr>
            <w:r>
              <w:rPr>
                <w:rFonts w:eastAsia="Calibri"/>
                <w:sz w:val="20"/>
                <w:szCs w:val="20"/>
                <w:lang w:eastAsia="en-US"/>
              </w:rPr>
              <w:t xml:space="preserve">Предоставление по запросу клиента копий документов, находящихся в досье валютного контроля</w:t>
            </w:r>
            <w:r>
              <w:rPr>
                <w:rFonts w:eastAsia="Calibri"/>
                <w:sz w:val="20"/>
                <w:szCs w:val="20"/>
                <w:lang w:eastAsia="en-US"/>
              </w:rPr>
            </w:r>
            <w:r>
              <w:rPr>
                <w:rFonts w:eastAsia="Calibri"/>
                <w:sz w:val="20"/>
                <w:szCs w:val="20"/>
                <w:lang w:eastAsia="en-US"/>
              </w:rPr>
            </w:r>
          </w:p>
          <w:p>
            <w:pPr>
              <w:pStyle w:val="1135"/>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35"/>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W w:w="2268" w:type="dxa"/>
            <w:vAlign w:val="center"/>
            <w:textDirection w:val="lrTb"/>
            <w:noWrap w:val="false"/>
          </w:tcPr>
          <w:p>
            <w:pPr>
              <w:pStyle w:val="1135"/>
              <w:jc w:val="center"/>
              <w:rPr>
                <w:rFonts w:eastAsia="Calibri"/>
                <w:sz w:val="20"/>
                <w:szCs w:val="20"/>
                <w:lang w:eastAsia="en-US"/>
              </w:rPr>
            </w:pPr>
            <w:r>
              <w:rPr>
                <w:rFonts w:eastAsia="Calibri"/>
                <w:sz w:val="20"/>
                <w:szCs w:val="20"/>
                <w:lang w:eastAsia="en-US"/>
              </w:rPr>
              <w:t xml:space="preserve">50 руб. за лист, максимум 1 000 руб.</w:t>
            </w:r>
            <w:r>
              <w:rPr>
                <w:rFonts w:eastAsia="Calibri"/>
                <w:sz w:val="20"/>
                <w:szCs w:val="20"/>
                <w:lang w:eastAsia="en-US"/>
              </w:rPr>
            </w:r>
            <w:r>
              <w:rPr>
                <w:rFonts w:eastAsia="Calibri"/>
                <w:sz w:val="20"/>
                <w:szCs w:val="20"/>
                <w:lang w:eastAsia="en-US"/>
              </w:rPr>
            </w:r>
          </w:p>
          <w:p>
            <w:pPr>
              <w:pStyle w:val="1135"/>
              <w:jc w:val="center"/>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35"/>
              <w:jc w:val="center"/>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35"/>
              <w:jc w:val="center"/>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35"/>
              <w:jc w:val="center"/>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W w:w="4111" w:type="dxa"/>
            <w:vAlign w:val="top"/>
            <w:textDirection w:val="lrTb"/>
            <w:noWrap w:val="false"/>
          </w:tcPr>
          <w:p>
            <w:pPr>
              <w:pStyle w:val="1135"/>
              <w:jc w:val="both"/>
              <w:rPr>
                <w:rFonts w:eastAsia="Calibri"/>
                <w:sz w:val="20"/>
                <w:szCs w:val="20"/>
                <w:lang w:eastAsia="en-US"/>
              </w:rPr>
            </w:pPr>
            <w:r>
              <w:rPr>
                <w:rFonts w:eastAsia="Calibri"/>
                <w:sz w:val="20"/>
                <w:szCs w:val="20"/>
                <w:lang w:eastAsia="en-US"/>
              </w:rPr>
              <w:t xml:space="preserve">Комиссия взимается в срок не позднее следующего рабочего дня после дня оказания</w:t>
            </w:r>
            <w:r>
              <w:rPr>
                <w:rFonts w:eastAsia="Calibri"/>
                <w:bCs/>
                <w:sz w:val="20"/>
                <w:szCs w:val="20"/>
                <w:lang w:eastAsia="en-US"/>
              </w:rPr>
              <w:t xml:space="preserve"> услуги***</w:t>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62"/>
        </w:trPr>
        <w:tc>
          <w:tcPr>
            <w:tcW w:w="851" w:type="dxa"/>
            <w:vAlign w:val="top"/>
            <w:textDirection w:val="lrTb"/>
            <w:noWrap w:val="false"/>
          </w:tcPr>
          <w:p>
            <w:pPr>
              <w:pStyle w:val="1135"/>
              <w:jc w:val="center"/>
              <w:rPr>
                <w:rFonts w:eastAsia="Calibri"/>
                <w:sz w:val="20"/>
                <w:szCs w:val="20"/>
                <w:lang w:eastAsia="en-US"/>
              </w:rPr>
            </w:pPr>
            <w:r>
              <w:rPr>
                <w:rFonts w:eastAsia="Calibri"/>
                <w:sz w:val="20"/>
                <w:szCs w:val="20"/>
                <w:lang w:eastAsia="en-US"/>
              </w:rPr>
              <w:t xml:space="preserve">3.9</w:t>
            </w:r>
            <w:r>
              <w:rPr>
                <w:rFonts w:eastAsia="Calibri"/>
                <w:sz w:val="20"/>
                <w:szCs w:val="20"/>
                <w:lang w:eastAsia="en-US"/>
              </w:rPr>
            </w:r>
            <w:r>
              <w:rPr>
                <w:rFonts w:eastAsia="Calibri"/>
                <w:sz w:val="20"/>
                <w:szCs w:val="20"/>
                <w:lang w:eastAsia="en-US"/>
              </w:rPr>
            </w:r>
          </w:p>
        </w:tc>
        <w:tc>
          <w:tcPr>
            <w:tcW w:w="2835" w:type="dxa"/>
            <w:vAlign w:val="top"/>
            <w:textDirection w:val="lrTb"/>
            <w:noWrap w:val="false"/>
          </w:tcPr>
          <w:p>
            <w:pPr>
              <w:pStyle w:val="1135"/>
              <w:rPr>
                <w:rFonts w:eastAsia="Calibri"/>
                <w:sz w:val="20"/>
                <w:szCs w:val="20"/>
                <w:lang w:eastAsia="en-US"/>
              </w:rPr>
            </w:pPr>
            <w:r>
              <w:rPr>
                <w:rFonts w:eastAsia="Calibri"/>
                <w:sz w:val="20"/>
                <w:szCs w:val="20"/>
                <w:lang w:eastAsia="en-US"/>
              </w:rPr>
              <w:t xml:space="preserve">СМС-информирование о статусах документов валютного контроля</w:t>
            </w:r>
            <w:r>
              <w:rPr>
                <w:rFonts w:eastAsia="Calibri"/>
                <w:sz w:val="20"/>
                <w:szCs w:val="20"/>
                <w:lang w:eastAsia="en-US"/>
              </w:rPr>
            </w:r>
            <w:r>
              <w:rPr>
                <w:rFonts w:eastAsia="Calibri"/>
                <w:sz w:val="20"/>
                <w:szCs w:val="20"/>
                <w:lang w:eastAsia="en-US"/>
              </w:rPr>
            </w:r>
          </w:p>
          <w:p>
            <w:pPr>
              <w:pStyle w:val="1135"/>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35"/>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35"/>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bottom w:val="single" w:color="000000" w:sz="4" w:space="0"/>
            </w:tcBorders>
            <w:tcW w:w="2268" w:type="dxa"/>
            <w:vAlign w:val="center"/>
            <w:textDirection w:val="lrTb"/>
            <w:noWrap w:val="false"/>
          </w:tcPr>
          <w:p>
            <w:pPr>
              <w:pStyle w:val="1135"/>
              <w:rPr>
                <w:sz w:val="20"/>
                <w:szCs w:val="20"/>
              </w:rPr>
            </w:pPr>
            <w:r>
              <w:rPr>
                <w:sz w:val="20"/>
                <w:szCs w:val="20"/>
              </w:rPr>
              <w:t xml:space="preserve">200 руб. </w:t>
              <w:br w:type="textWrapping" w:clear="all"/>
              <w:t xml:space="preserve">в месяц</w:t>
            </w:r>
            <w:r>
              <w:rPr>
                <w:sz w:val="20"/>
                <w:szCs w:val="20"/>
              </w:rPr>
            </w:r>
            <w:r>
              <w:rPr>
                <w:sz w:val="20"/>
                <w:szCs w:val="20"/>
              </w:rPr>
            </w:r>
          </w:p>
          <w:p>
            <w:pPr>
              <w:pStyle w:val="1135"/>
              <w:rPr>
                <w:sz w:val="20"/>
                <w:szCs w:val="20"/>
              </w:rPr>
            </w:pPr>
            <w:r>
              <w:rPr>
                <w:sz w:val="20"/>
                <w:szCs w:val="20"/>
              </w:rPr>
            </w:r>
            <w:r>
              <w:rPr>
                <w:sz w:val="20"/>
                <w:szCs w:val="20"/>
              </w:rPr>
            </w:r>
            <w:r>
              <w:rPr>
                <w:sz w:val="20"/>
                <w:szCs w:val="20"/>
              </w:rPr>
            </w:r>
          </w:p>
          <w:p>
            <w:pPr>
              <w:pStyle w:val="1135"/>
              <w:rPr>
                <w:sz w:val="20"/>
                <w:szCs w:val="20"/>
              </w:rPr>
            </w:pPr>
            <w:r>
              <w:rPr>
                <w:sz w:val="20"/>
                <w:szCs w:val="20"/>
              </w:rPr>
            </w:r>
            <w:r>
              <w:rPr>
                <w:sz w:val="20"/>
                <w:szCs w:val="20"/>
              </w:rPr>
            </w:r>
            <w:r>
              <w:rPr>
                <w:sz w:val="20"/>
                <w:szCs w:val="20"/>
              </w:rPr>
            </w:r>
          </w:p>
          <w:p>
            <w:pPr>
              <w:pStyle w:val="1135"/>
              <w:rPr>
                <w:sz w:val="20"/>
                <w:szCs w:val="20"/>
              </w:rPr>
            </w:pPr>
            <w:r>
              <w:rPr>
                <w:sz w:val="20"/>
                <w:szCs w:val="20"/>
              </w:rPr>
            </w:r>
            <w:r>
              <w:rPr>
                <w:sz w:val="20"/>
                <w:szCs w:val="20"/>
              </w:rPr>
            </w:r>
            <w:r>
              <w:rPr>
                <w:sz w:val="20"/>
                <w:szCs w:val="20"/>
              </w:rPr>
            </w:r>
          </w:p>
          <w:p>
            <w:pPr>
              <w:pStyle w:val="1135"/>
              <w:rPr>
                <w:sz w:val="20"/>
                <w:szCs w:val="20"/>
              </w:rPr>
            </w:pPr>
            <w:r>
              <w:rPr>
                <w:sz w:val="20"/>
                <w:szCs w:val="20"/>
              </w:rPr>
            </w:r>
            <w:r>
              <w:rPr>
                <w:sz w:val="20"/>
                <w:szCs w:val="20"/>
              </w:rPr>
            </w:r>
            <w:r>
              <w:rPr>
                <w:sz w:val="20"/>
                <w:szCs w:val="20"/>
              </w:rPr>
            </w:r>
          </w:p>
          <w:p>
            <w:pPr>
              <w:pStyle w:val="1135"/>
              <w:rPr>
                <w:sz w:val="20"/>
                <w:szCs w:val="20"/>
              </w:rPr>
            </w:pPr>
            <w:r>
              <w:rPr>
                <w:sz w:val="20"/>
                <w:szCs w:val="20"/>
              </w:rPr>
            </w:r>
            <w:r>
              <w:rPr>
                <w:sz w:val="20"/>
                <w:szCs w:val="20"/>
              </w:rPr>
            </w:r>
            <w:r>
              <w:rPr>
                <w:sz w:val="20"/>
                <w:szCs w:val="20"/>
              </w:rPr>
            </w:r>
          </w:p>
          <w:p>
            <w:pPr>
              <w:pStyle w:val="1135"/>
              <w:rPr>
                <w:sz w:val="20"/>
                <w:szCs w:val="20"/>
              </w:rPr>
            </w:pPr>
            <w:r>
              <w:rPr>
                <w:sz w:val="20"/>
                <w:szCs w:val="20"/>
              </w:rPr>
            </w:r>
            <w:r>
              <w:rPr>
                <w:sz w:val="20"/>
                <w:szCs w:val="20"/>
              </w:rPr>
            </w:r>
            <w:r>
              <w:rPr>
                <w:sz w:val="20"/>
                <w:szCs w:val="20"/>
              </w:rPr>
            </w:r>
          </w:p>
          <w:p>
            <w:pPr>
              <w:pStyle w:val="1135"/>
              <w:rPr>
                <w:sz w:val="20"/>
                <w:szCs w:val="20"/>
              </w:rPr>
            </w:pPr>
            <w:r>
              <w:rPr>
                <w:sz w:val="20"/>
                <w:szCs w:val="20"/>
              </w:rPr>
            </w:r>
            <w:r>
              <w:rPr>
                <w:sz w:val="20"/>
                <w:szCs w:val="20"/>
              </w:rPr>
            </w:r>
            <w:r>
              <w:rPr>
                <w:sz w:val="20"/>
                <w:szCs w:val="20"/>
              </w:rPr>
            </w:r>
          </w:p>
          <w:p>
            <w:pPr>
              <w:pStyle w:val="1135"/>
              <w:rPr>
                <w:sz w:val="20"/>
                <w:szCs w:val="20"/>
              </w:rPr>
            </w:pPr>
            <w:r>
              <w:rPr>
                <w:sz w:val="20"/>
                <w:szCs w:val="20"/>
              </w:rPr>
            </w:r>
            <w:r>
              <w:rPr>
                <w:sz w:val="20"/>
                <w:szCs w:val="20"/>
              </w:rPr>
            </w:r>
            <w:r>
              <w:rPr>
                <w:sz w:val="20"/>
                <w:szCs w:val="20"/>
              </w:rPr>
            </w:r>
          </w:p>
          <w:p>
            <w:pPr>
              <w:pStyle w:val="1135"/>
              <w:rPr>
                <w:sz w:val="20"/>
                <w:szCs w:val="20"/>
              </w:rPr>
            </w:pPr>
            <w:r>
              <w:rPr>
                <w:sz w:val="20"/>
                <w:szCs w:val="20"/>
              </w:rPr>
            </w:r>
            <w:r>
              <w:rPr>
                <w:sz w:val="20"/>
                <w:szCs w:val="20"/>
              </w:rPr>
            </w:r>
            <w:r>
              <w:rPr>
                <w:sz w:val="20"/>
                <w:szCs w:val="20"/>
              </w:rPr>
            </w:r>
          </w:p>
          <w:p>
            <w:pPr>
              <w:pStyle w:val="1135"/>
              <w:rPr>
                <w:sz w:val="20"/>
                <w:szCs w:val="20"/>
              </w:rPr>
            </w:pPr>
            <w:r>
              <w:rPr>
                <w:sz w:val="20"/>
                <w:szCs w:val="20"/>
              </w:rPr>
            </w:r>
            <w:r>
              <w:rPr>
                <w:sz w:val="20"/>
                <w:szCs w:val="20"/>
              </w:rPr>
            </w:r>
            <w:r>
              <w:rPr>
                <w:sz w:val="20"/>
                <w:szCs w:val="20"/>
              </w:rPr>
            </w:r>
          </w:p>
        </w:tc>
        <w:tc>
          <w:tcPr>
            <w:tcW w:w="4111" w:type="dxa"/>
            <w:vAlign w:val="top"/>
            <w:textDirection w:val="lrTb"/>
            <w:noWrap w:val="false"/>
          </w:tcPr>
          <w:p>
            <w:pPr>
              <w:pStyle w:val="1135"/>
              <w:jc w:val="both"/>
              <w:spacing w:after="120"/>
              <w:rPr>
                <w:color w:val="000000"/>
                <w:sz w:val="20"/>
                <w:szCs w:val="20"/>
              </w:rPr>
            </w:pPr>
            <w:r>
              <w:rPr>
                <w:color w:val="000000"/>
                <w:sz w:val="20"/>
                <w:szCs w:val="20"/>
              </w:rPr>
              <w:t xml:space="preserve">Комиссия взимается за каждый телефонный номер, подключенный  к услуге.</w:t>
            </w:r>
            <w:r>
              <w:rPr>
                <w:color w:val="000000"/>
                <w:sz w:val="20"/>
                <w:szCs w:val="20"/>
              </w:rPr>
            </w:r>
            <w:r>
              <w:rPr>
                <w:color w:val="000000"/>
                <w:sz w:val="20"/>
                <w:szCs w:val="20"/>
              </w:rPr>
            </w:r>
          </w:p>
          <w:p>
            <w:pPr>
              <w:pStyle w:val="1135"/>
              <w:jc w:val="both"/>
              <w:spacing w:after="120"/>
              <w:rPr>
                <w:color w:val="000000"/>
                <w:sz w:val="20"/>
                <w:szCs w:val="20"/>
              </w:rPr>
            </w:pPr>
            <w:r>
              <w:rPr>
                <w:color w:val="000000"/>
                <w:sz w:val="20"/>
                <w:szCs w:val="20"/>
              </w:rPr>
              <w:t xml:space="preserve">Комиссия взимается не позднее первого рабочего дня, следующего </w:t>
              <w:br w:type="textWrapping" w:clear="all"/>
              <w:t xml:space="preserve">за днем подачи клиентом в Банк заявления о подключении услуги, далее ежемесячно в первый рабочий день месяца.</w:t>
            </w:r>
            <w:r>
              <w:rPr>
                <w:color w:val="000000"/>
                <w:sz w:val="20"/>
                <w:szCs w:val="20"/>
              </w:rPr>
            </w:r>
            <w:r>
              <w:rPr>
                <w:color w:val="000000"/>
                <w:sz w:val="20"/>
                <w:szCs w:val="20"/>
              </w:rPr>
            </w:r>
          </w:p>
          <w:p>
            <w:pPr>
              <w:pStyle w:val="1135"/>
              <w:jc w:val="both"/>
              <w:spacing w:after="120"/>
              <w:rPr>
                <w:color w:val="000000"/>
                <w:sz w:val="20"/>
                <w:szCs w:val="20"/>
              </w:rPr>
            </w:pPr>
            <w:r>
              <w:rPr>
                <w:color w:val="000000"/>
                <w:sz w:val="20"/>
                <w:szCs w:val="20"/>
              </w:rPr>
              <w:t xml:space="preserve">Услуга доступна пользователям системы ДБО «Интернет-клиент» </w:t>
              <w:br w:type="textWrapping" w:clear="all"/>
              <w:t xml:space="preserve">и предоставляется только резидентам.».</w:t>
            </w:r>
            <w:r>
              <w:rPr>
                <w:color w:val="000000"/>
                <w:sz w:val="20"/>
                <w:szCs w:val="20"/>
              </w:rPr>
            </w:r>
            <w:r>
              <w:rPr>
                <w:color w:val="000000"/>
                <w:sz w:val="20"/>
                <w:szCs w:val="20"/>
              </w:rPr>
            </w:r>
          </w:p>
        </w:tc>
      </w:tr>
    </w:tbl>
    <w:p>
      <w:pPr>
        <w:pStyle w:val="1135"/>
        <w:jc w:val="both"/>
        <w:spacing w:before="120"/>
        <w:rPr>
          <w:rFonts w:eastAsia="Calibri"/>
          <w:sz w:val="20"/>
          <w:szCs w:val="20"/>
          <w:u w:val="single"/>
          <w:lang w:eastAsia="en-US"/>
        </w:rPr>
      </w:pPr>
      <w:r>
        <w:rPr>
          <w:rFonts w:eastAsia="Calibri"/>
          <w:sz w:val="20"/>
          <w:szCs w:val="20"/>
          <w:u w:val="single"/>
          <w:lang w:eastAsia="en-US"/>
        </w:rPr>
      </w:r>
      <w:r>
        <w:rPr>
          <w:rFonts w:eastAsia="Calibri"/>
          <w:sz w:val="20"/>
          <w:szCs w:val="20"/>
          <w:u w:val="single"/>
          <w:lang w:eastAsia="en-US"/>
        </w:rPr>
      </w:r>
      <w:r>
        <w:rPr>
          <w:rFonts w:eastAsia="Calibri"/>
          <w:sz w:val="20"/>
          <w:szCs w:val="20"/>
          <w:u w:val="single"/>
          <w:lang w:eastAsia="en-US"/>
        </w:rPr>
      </w:r>
    </w:p>
    <w:p>
      <w:pPr>
        <w:pStyle w:val="1135"/>
        <w:jc w:val="both"/>
        <w:spacing w:before="120"/>
        <w:rPr>
          <w:rFonts w:eastAsia="Calibri"/>
          <w:sz w:val="20"/>
          <w:szCs w:val="20"/>
          <w:u w:val="single"/>
          <w:lang w:eastAsia="en-US"/>
        </w:rPr>
      </w:pPr>
      <w:r>
        <w:rPr>
          <w:rFonts w:eastAsia="Calibri"/>
          <w:sz w:val="20"/>
          <w:szCs w:val="20"/>
          <w:u w:val="single"/>
          <w:lang w:eastAsia="en-US"/>
        </w:rPr>
        <w:t xml:space="preserve">Примечание:</w:t>
      </w:r>
      <w:r>
        <w:rPr>
          <w:rFonts w:eastAsia="Calibri"/>
          <w:sz w:val="20"/>
          <w:szCs w:val="20"/>
          <w:u w:val="single"/>
          <w:lang w:eastAsia="en-US"/>
        </w:rPr>
      </w:r>
      <w:r>
        <w:rPr>
          <w:rFonts w:eastAsia="Calibri"/>
          <w:sz w:val="20"/>
          <w:szCs w:val="20"/>
          <w:u w:val="single"/>
          <w:lang w:eastAsia="en-US"/>
        </w:rPr>
      </w:r>
    </w:p>
    <w:p>
      <w:pPr>
        <w:pStyle w:val="1135"/>
        <w:jc w:val="both"/>
        <w:spacing w:before="120"/>
        <w:rPr>
          <w:rFonts w:eastAsia="Calibri"/>
          <w:sz w:val="20"/>
          <w:szCs w:val="20"/>
          <w:u w:val="single"/>
          <w:lang w:eastAsia="en-US"/>
        </w:rPr>
      </w:pPr>
      <w:r>
        <w:rPr>
          <w:rFonts w:eastAsia="Calibri"/>
          <w:sz w:val="20"/>
          <w:szCs w:val="20"/>
          <w:u w:val="single"/>
          <w:lang w:eastAsia="en-US"/>
        </w:rPr>
      </w:r>
      <w:r>
        <w:rPr>
          <w:rFonts w:eastAsia="Calibri"/>
          <w:sz w:val="20"/>
          <w:szCs w:val="20"/>
          <w:u w:val="single"/>
          <w:lang w:eastAsia="en-US"/>
        </w:rPr>
      </w:r>
      <w:r>
        <w:rPr>
          <w:rFonts w:eastAsia="Calibri"/>
          <w:sz w:val="20"/>
          <w:szCs w:val="20"/>
          <w:u w:val="single"/>
          <w:lang w:eastAsia="en-US"/>
        </w:rPr>
      </w:r>
    </w:p>
    <w:p>
      <w:pPr>
        <w:pStyle w:val="1135"/>
        <w:contextualSpacing/>
        <w:ind w:firstLine="567"/>
        <w:jc w:val="both"/>
        <w:spacing w:before="120"/>
        <w:rPr>
          <w:rFonts w:eastAsia="Calibri"/>
          <w:bCs/>
          <w:sz w:val="20"/>
          <w:szCs w:val="20"/>
          <w:lang w:eastAsia="en-US"/>
        </w:rPr>
      </w:pPr>
      <w:r>
        <w:rPr>
          <w:rFonts w:eastAsia="Calibri"/>
          <w:bCs/>
          <w:sz w:val="20"/>
          <w:szCs w:val="20"/>
          <w:lang w:eastAsia="en-US"/>
        </w:rPr>
        <w:t xml:space="preserve">Отдельные счета головного исполнителя, исполнителя государственного оборонного заказа, открытые в Банке, обслуживаются без взимания Банком комиссии.</w:t>
      </w:r>
      <w:r>
        <w:rPr>
          <w:rFonts w:eastAsia="Calibri"/>
          <w:bCs/>
          <w:sz w:val="20"/>
          <w:szCs w:val="20"/>
          <w:lang w:eastAsia="en-US"/>
        </w:rPr>
      </w:r>
      <w:r>
        <w:rPr>
          <w:rFonts w:eastAsia="Calibri"/>
          <w:bCs/>
          <w:sz w:val="20"/>
          <w:szCs w:val="20"/>
          <w:lang w:eastAsia="en-US"/>
        </w:rPr>
      </w:r>
    </w:p>
    <w:p>
      <w:pPr>
        <w:pStyle w:val="1135"/>
        <w:contextualSpacing/>
        <w:ind w:firstLine="567"/>
        <w:jc w:val="both"/>
        <w:spacing w:before="120" w:after="120"/>
        <w:rPr>
          <w:rFonts w:eastAsia="Calibri"/>
          <w:bCs/>
          <w:sz w:val="20"/>
          <w:szCs w:val="20"/>
          <w:lang w:eastAsia="en-US"/>
        </w:rPr>
      </w:pPr>
      <w:r>
        <w:rPr>
          <w:rFonts w:eastAsia="Calibri"/>
          <w:bCs/>
          <w:sz w:val="20"/>
          <w:szCs w:val="20"/>
          <w:lang w:eastAsia="en-US"/>
        </w:rPr>
        <w:t xml:space="preserve">Понятия и термины применяются в значениях, определенных в Инструкции Центрального банка Российской Федерации от 16.08.2017 № 1</w:t>
      </w:r>
      <w:r>
        <w:rPr>
          <w:rFonts w:eastAsia="Calibri"/>
          <w:bCs/>
          <w:sz w:val="20"/>
          <w:szCs w:val="20"/>
          <w:lang w:eastAsia="en-US"/>
        </w:rPr>
        <w:t xml:space="preserve">81-И «О порядке представления резидентами и нерезидентами уполномоченным банкам подтверждающих документов и информации при осуществлении валютных операций, о единых формах учета и отчетности по валютным операциям, порядке и сроках их представления» (далее </w:t>
      </w:r>
      <w:r>
        <w:rPr>
          <w:rFonts w:eastAsia="Calibri"/>
          <w:sz w:val="22"/>
          <w:szCs w:val="22"/>
          <w:lang w:eastAsia="en-US"/>
        </w:rPr>
        <w:t xml:space="preserve">–</w:t>
      </w:r>
      <w:r>
        <w:rPr>
          <w:rFonts w:eastAsia="Calibri"/>
          <w:bCs/>
          <w:sz w:val="20"/>
          <w:szCs w:val="20"/>
          <w:lang w:eastAsia="en-US"/>
        </w:rPr>
        <w:t xml:space="preserve"> </w:t>
      </w:r>
      <w:r>
        <w:rPr>
          <w:rFonts w:eastAsia="Calibri"/>
          <w:sz w:val="20"/>
          <w:szCs w:val="20"/>
          <w:lang w:eastAsia="en-US"/>
        </w:rPr>
        <w:t xml:space="preserve">Инструкция Банка России № 181-И)</w:t>
      </w:r>
      <w:r>
        <w:rPr>
          <w:rFonts w:eastAsia="Calibri"/>
          <w:bCs/>
          <w:sz w:val="20"/>
          <w:szCs w:val="20"/>
          <w:lang w:eastAsia="en-US"/>
        </w:rPr>
        <w:t xml:space="preserve">.</w:t>
      </w:r>
      <w:r>
        <w:rPr>
          <w:rFonts w:eastAsia="Calibri"/>
          <w:bCs/>
          <w:sz w:val="20"/>
          <w:szCs w:val="20"/>
          <w:lang w:eastAsia="en-US"/>
        </w:rPr>
      </w:r>
      <w:r>
        <w:rPr>
          <w:rFonts w:eastAsia="Calibri"/>
          <w:bCs/>
          <w:sz w:val="20"/>
          <w:szCs w:val="20"/>
          <w:lang w:eastAsia="en-US"/>
        </w:rPr>
      </w:r>
    </w:p>
    <w:p>
      <w:pPr>
        <w:pStyle w:val="1135"/>
        <w:jc w:val="both"/>
        <w:tabs>
          <w:tab w:val="left" w:pos="1134" w:leader="none"/>
        </w:tabs>
        <w:rPr>
          <w:rFonts w:ascii="Calibri" w:hAnsi="Calibri" w:eastAsia="Calibri"/>
          <w:sz w:val="20"/>
          <w:szCs w:val="20"/>
          <w:lang w:eastAsia="en-US"/>
        </w:rPr>
      </w:pPr>
      <w:r>
        <w:rPr>
          <w:rFonts w:eastAsia="Calibri"/>
          <w:sz w:val="20"/>
          <w:szCs w:val="20"/>
          <w:lang w:eastAsia="en-US"/>
        </w:rPr>
        <w:t xml:space="preserve">           </w:t>
      </w:r>
      <w:r>
        <w:rPr>
          <w:rFonts w:eastAsia="Calibri"/>
          <w:sz w:val="20"/>
          <w:szCs w:val="20"/>
          <w:lang w:eastAsia="en-US"/>
        </w:rPr>
        <w:t xml:space="preserve">Порядок представления документов при выполнении Банком функций агента валютного контроля установлен </w:t>
      </w:r>
      <w:r>
        <w:rPr>
          <w:rFonts w:eastAsia="Calibri"/>
          <w:bCs/>
          <w:sz w:val="20"/>
          <w:szCs w:val="20"/>
          <w:lang w:eastAsia="en-US"/>
        </w:rPr>
        <w:t xml:space="preserve">Регламентом взаимодействия клиентов с АО «Россельхозбанк» при осуществлении операций, подлежащих валютному контролю.</w:t>
      </w:r>
      <w:r>
        <w:rPr>
          <w:rFonts w:ascii="Calibri" w:hAnsi="Calibri" w:eastAsia="Calibri"/>
          <w:sz w:val="20"/>
          <w:szCs w:val="20"/>
          <w:lang w:eastAsia="en-US"/>
        </w:rPr>
      </w:r>
      <w:r>
        <w:rPr>
          <w:rFonts w:ascii="Calibri" w:hAnsi="Calibri" w:eastAsia="Calibri"/>
          <w:sz w:val="20"/>
          <w:szCs w:val="20"/>
          <w:lang w:eastAsia="en-US"/>
        </w:rPr>
      </w:r>
    </w:p>
    <w:p>
      <w:pPr>
        <w:pStyle w:val="1135"/>
        <w:contextualSpacing/>
        <w:ind w:firstLine="567"/>
        <w:jc w:val="both"/>
        <w:spacing w:before="120" w:after="120"/>
        <w:rPr>
          <w:rFonts w:eastAsia="Calibri"/>
          <w:bCs/>
          <w:sz w:val="20"/>
          <w:szCs w:val="20"/>
          <w:lang w:eastAsia="en-US"/>
        </w:rPr>
      </w:pPr>
      <w:r>
        <w:rPr>
          <w:rFonts w:eastAsia="Calibri"/>
          <w:bCs/>
          <w:sz w:val="20"/>
          <w:szCs w:val="20"/>
          <w:lang w:eastAsia="en-US"/>
        </w:rPr>
      </w:r>
      <w:r>
        <w:rPr>
          <w:rFonts w:eastAsia="Calibri"/>
          <w:bCs/>
          <w:sz w:val="20"/>
          <w:szCs w:val="20"/>
          <w:lang w:eastAsia="en-US"/>
        </w:rPr>
      </w:r>
      <w:r>
        <w:rPr>
          <w:rFonts w:eastAsia="Calibri"/>
          <w:bCs/>
          <w:sz w:val="20"/>
          <w:szCs w:val="20"/>
          <w:lang w:eastAsia="en-US"/>
        </w:rPr>
      </w:r>
    </w:p>
    <w:p>
      <w:pPr>
        <w:pStyle w:val="1135"/>
        <w:jc w:val="both"/>
        <w:rPr>
          <w:rFonts w:eastAsia="Calibri"/>
          <w:sz w:val="12"/>
          <w:szCs w:val="12"/>
          <w:lang w:eastAsia="en-US"/>
        </w:rPr>
      </w:pPr>
      <w:r>
        <w:rPr>
          <w:rFonts w:eastAsia="Calibri"/>
          <w:sz w:val="12"/>
          <w:szCs w:val="12"/>
          <w:lang w:eastAsia="en-US"/>
        </w:rPr>
      </w:r>
      <w:r>
        <w:rPr>
          <w:rFonts w:eastAsia="Calibri"/>
          <w:sz w:val="12"/>
          <w:szCs w:val="12"/>
          <w:lang w:eastAsia="en-US"/>
        </w:rPr>
      </w:r>
      <w:r>
        <w:rPr>
          <w:rFonts w:eastAsia="Calibri"/>
          <w:sz w:val="12"/>
          <w:szCs w:val="12"/>
          <w:lang w:eastAsia="en-US"/>
        </w:rPr>
      </w:r>
    </w:p>
    <w:p>
      <w:pPr>
        <w:pStyle w:val="1135"/>
        <w:jc w:val="both"/>
        <w:rPr>
          <w:rFonts w:eastAsia="Calibri"/>
          <w:sz w:val="20"/>
          <w:szCs w:val="20"/>
          <w:lang w:eastAsia="en-US"/>
        </w:rPr>
      </w:pPr>
      <w:r>
        <w:rPr>
          <w:rFonts w:eastAsia="Calibri"/>
          <w:sz w:val="20"/>
          <w:szCs w:val="20"/>
          <w:lang w:eastAsia="en-US"/>
        </w:rPr>
        <w:t xml:space="preserve">* Услуги, предусмотренные настоящим разделом, облагаются НДС, сумма которого взимается дополнительно и начисляется одновременно с расчетом суммы комиссионного вознаграждения.</w:t>
      </w:r>
      <w:r>
        <w:rPr>
          <w:rFonts w:eastAsia="Calibri"/>
          <w:sz w:val="20"/>
          <w:szCs w:val="20"/>
          <w:lang w:eastAsia="en-US"/>
        </w:rPr>
      </w:r>
      <w:r>
        <w:rPr>
          <w:rFonts w:eastAsia="Calibri"/>
          <w:sz w:val="20"/>
          <w:szCs w:val="20"/>
          <w:lang w:eastAsia="en-US"/>
        </w:rPr>
      </w:r>
    </w:p>
    <w:p>
      <w:pPr>
        <w:pStyle w:val="1135"/>
        <w:jc w:val="both"/>
        <w:rPr>
          <w:rFonts w:eastAsia="Calibri"/>
          <w:sz w:val="20"/>
          <w:szCs w:val="20"/>
          <w:lang w:eastAsia="en-US"/>
        </w:rPr>
      </w:pPr>
      <w:r>
        <w:rPr>
          <w:rFonts w:eastAsia="Calibri"/>
          <w:sz w:val="20"/>
          <w:szCs w:val="20"/>
          <w:lang w:eastAsia="en-US"/>
        </w:rPr>
        <w:t xml:space="preserve">Комиссионное вознаграждение начисляется в валюте РФ. Комиссионное вознаграждение по операциям в и</w:t>
      </w:r>
      <w:r>
        <w:rPr>
          <w:rFonts w:eastAsia="Calibri"/>
          <w:sz w:val="20"/>
          <w:szCs w:val="20"/>
          <w:lang w:eastAsia="en-US"/>
        </w:rPr>
        <w:t xml:space="preserve">ностранной валюте, выраженное в процентном соотношении от суммы проведенной операции, начисляется в рублевом эквиваленте, пересчитанном по курсу Банка России на день оказания услуги. При этом сумма НДС рассчитывается от полученного эквивалента в валюте РФ.</w:t>
      </w:r>
      <w:r>
        <w:rPr>
          <w:rFonts w:eastAsia="Calibri"/>
          <w:sz w:val="20"/>
          <w:szCs w:val="20"/>
          <w:lang w:eastAsia="en-US"/>
        </w:rPr>
      </w:r>
      <w:r>
        <w:rPr>
          <w:rFonts w:eastAsia="Calibri"/>
          <w:sz w:val="20"/>
          <w:szCs w:val="20"/>
          <w:lang w:eastAsia="en-US"/>
        </w:rPr>
      </w:r>
    </w:p>
    <w:p>
      <w:pPr>
        <w:pStyle w:val="1135"/>
        <w:jc w:val="both"/>
        <w:rPr>
          <w:rFonts w:eastAsia="Calibri"/>
          <w:sz w:val="20"/>
          <w:szCs w:val="20"/>
          <w:lang w:eastAsia="en-US"/>
        </w:rPr>
      </w:pPr>
      <w:r>
        <w:rPr>
          <w:rFonts w:eastAsia="Calibri"/>
          <w:sz w:val="20"/>
          <w:szCs w:val="20"/>
          <w:lang w:eastAsia="en-US"/>
        </w:rPr>
        <w:t xml:space="preserve">Комиссионное вознаграждение и сумма начисленного НДС взимается одной общей суммой, которая может быть списана со счета клиента, открытого как в валюте РФ, так и в иностранной валюте. При </w:t>
      </w:r>
      <w:r>
        <w:rPr>
          <w:rFonts w:eastAsia="Calibri"/>
          <w:sz w:val="20"/>
          <w:szCs w:val="20"/>
          <w:lang w:eastAsia="en-US"/>
        </w:rPr>
        <w:t xml:space="preserve">списании комиссионного вознаграждения и начисленной суммы НДС, рассчитанных в валюте РФ, со счета, открытого в иностранной валюте, пересчет суммы взимаемого комиссионного вознаграждения производится по курсу Банка России, действующему на день его списания.</w:t>
      </w:r>
      <w:r>
        <w:rPr>
          <w:rFonts w:eastAsia="Calibri"/>
          <w:sz w:val="20"/>
          <w:szCs w:val="20"/>
          <w:lang w:eastAsia="en-US"/>
        </w:rPr>
      </w:r>
      <w:r>
        <w:rPr>
          <w:rFonts w:eastAsia="Calibri"/>
          <w:sz w:val="20"/>
          <w:szCs w:val="20"/>
          <w:lang w:eastAsia="en-US"/>
        </w:rPr>
      </w:r>
    </w:p>
    <w:p>
      <w:pPr>
        <w:pStyle w:val="1135"/>
        <w:jc w:val="both"/>
        <w:spacing w:before="120"/>
        <w:rPr>
          <w:rFonts w:eastAsia="Calibri"/>
          <w:bCs/>
          <w:sz w:val="20"/>
          <w:szCs w:val="20"/>
          <w:lang w:eastAsia="en-US"/>
        </w:rPr>
      </w:pPr>
      <w:r>
        <w:rPr>
          <w:rFonts w:eastAsia="Calibri"/>
          <w:bCs/>
          <w:sz w:val="20"/>
          <w:szCs w:val="20"/>
          <w:lang w:eastAsia="en-US"/>
        </w:rPr>
        <w:t xml:space="preserve">** В случае перевода (зачисления) денежных средств общей суммой:</w:t>
      </w:r>
      <w:r>
        <w:rPr>
          <w:rFonts w:eastAsia="Calibri"/>
          <w:bCs/>
          <w:sz w:val="20"/>
          <w:szCs w:val="20"/>
          <w:lang w:eastAsia="en-US"/>
        </w:rPr>
      </w:r>
      <w:r>
        <w:rPr>
          <w:rFonts w:eastAsia="Calibri"/>
          <w:bCs/>
          <w:sz w:val="20"/>
          <w:szCs w:val="20"/>
          <w:lang w:eastAsia="en-US"/>
        </w:rPr>
      </w:r>
    </w:p>
    <w:p>
      <w:pPr>
        <w:pStyle w:val="1135"/>
        <w:contextualSpacing/>
        <w:ind w:firstLine="567"/>
        <w:jc w:val="both"/>
        <w:spacing w:before="120"/>
        <w:rPr>
          <w:rFonts w:eastAsia="Calibri"/>
          <w:bCs/>
          <w:sz w:val="20"/>
          <w:szCs w:val="20"/>
          <w:lang w:eastAsia="en-US"/>
        </w:rPr>
      </w:pPr>
      <w:r>
        <w:rPr>
          <w:rFonts w:eastAsia="Calibri"/>
          <w:bCs/>
          <w:sz w:val="20"/>
          <w:szCs w:val="20"/>
          <w:lang w:eastAsia="en-US"/>
        </w:rPr>
        <w:t xml:space="preserve">- по нескольким контрактам (договорам) расчет комиссии производится по каждому контракту (договору);</w:t>
      </w:r>
      <w:r>
        <w:rPr>
          <w:rFonts w:eastAsia="Calibri"/>
          <w:bCs/>
          <w:sz w:val="20"/>
          <w:szCs w:val="20"/>
          <w:lang w:eastAsia="en-US"/>
        </w:rPr>
      </w:r>
      <w:r>
        <w:rPr>
          <w:rFonts w:eastAsia="Calibri"/>
          <w:bCs/>
          <w:sz w:val="20"/>
          <w:szCs w:val="20"/>
          <w:lang w:eastAsia="en-US"/>
        </w:rPr>
      </w:r>
    </w:p>
    <w:p>
      <w:pPr>
        <w:pStyle w:val="1135"/>
        <w:contextualSpacing/>
        <w:ind w:firstLine="567"/>
        <w:jc w:val="both"/>
        <w:spacing w:before="120"/>
        <w:rPr>
          <w:rFonts w:eastAsia="Calibri"/>
          <w:bCs/>
          <w:sz w:val="20"/>
          <w:szCs w:val="20"/>
          <w:lang w:eastAsia="en-US"/>
        </w:rPr>
      </w:pPr>
      <w:r>
        <w:rPr>
          <w:rFonts w:eastAsia="Calibri"/>
          <w:bCs/>
          <w:sz w:val="20"/>
          <w:szCs w:val="20"/>
          <w:lang w:eastAsia="en-US"/>
        </w:rPr>
        <w:t xml:space="preserve">- по нескольким кодам вида операций, указанным в Приложении 1 к Инструкции Банка России № 181-И расчет комиссии производится по каждому коду вида операции.</w:t>
      </w:r>
      <w:r>
        <w:rPr>
          <w:rFonts w:eastAsia="Calibri"/>
          <w:bCs/>
          <w:sz w:val="20"/>
          <w:szCs w:val="20"/>
          <w:lang w:eastAsia="en-US"/>
        </w:rPr>
      </w:r>
      <w:r>
        <w:rPr>
          <w:rFonts w:eastAsia="Calibri"/>
          <w:bCs/>
          <w:sz w:val="20"/>
          <w:szCs w:val="20"/>
          <w:lang w:eastAsia="en-US"/>
        </w:rPr>
      </w:r>
    </w:p>
    <w:p>
      <w:pPr>
        <w:pStyle w:val="1135"/>
        <w:contextualSpacing/>
        <w:ind w:firstLine="567"/>
        <w:jc w:val="both"/>
        <w:spacing w:before="120"/>
        <w:rPr>
          <w:rFonts w:eastAsia="Calibri"/>
          <w:bCs/>
          <w:sz w:val="20"/>
          <w:szCs w:val="20"/>
          <w:lang w:eastAsia="en-US"/>
        </w:rPr>
      </w:pPr>
      <w:r>
        <w:rPr>
          <w:rFonts w:eastAsia="Calibri"/>
          <w:bCs/>
          <w:sz w:val="20"/>
          <w:szCs w:val="20"/>
          <w:lang w:eastAsia="en-US"/>
        </w:rPr>
        <w:t xml:space="preserve">Комиссионное вознаграждение взимается: </w:t>
      </w:r>
      <w:r>
        <w:rPr>
          <w:rFonts w:eastAsia="Calibri"/>
          <w:bCs/>
          <w:sz w:val="20"/>
          <w:szCs w:val="20"/>
          <w:lang w:eastAsia="en-US"/>
        </w:rPr>
      </w:r>
      <w:r>
        <w:rPr>
          <w:rFonts w:eastAsia="Calibri"/>
          <w:bCs/>
          <w:sz w:val="20"/>
          <w:szCs w:val="20"/>
          <w:lang w:eastAsia="en-US"/>
        </w:rPr>
      </w:r>
    </w:p>
    <w:p>
      <w:pPr>
        <w:pStyle w:val="1135"/>
        <w:contextualSpacing/>
        <w:ind w:firstLine="567"/>
        <w:jc w:val="both"/>
        <w:spacing w:before="120"/>
        <w:rPr>
          <w:rFonts w:eastAsia="Calibri"/>
          <w:bCs/>
          <w:sz w:val="20"/>
          <w:szCs w:val="20"/>
          <w:lang w:eastAsia="en-US"/>
        </w:rPr>
      </w:pPr>
      <w:r>
        <w:rPr>
          <w:rFonts w:eastAsia="Calibri"/>
          <w:bCs/>
          <w:sz w:val="20"/>
          <w:szCs w:val="20"/>
          <w:lang w:eastAsia="en-US"/>
        </w:rPr>
        <w:t xml:space="preserve">-</w:t>
      </w:r>
      <w:r>
        <w:rPr>
          <w:rFonts w:eastAsia="Calibri"/>
          <w:bCs/>
          <w:sz w:val="20"/>
          <w:szCs w:val="20"/>
          <w:lang w:eastAsia="en-US"/>
        </w:rPr>
        <w:t xml:space="preserve"> с расчетного счета клиента-резидента, осуществляющего платеж в качестве третьего/другого лица, в случае одновременного обслуживания клиента-резидента, поставившего контракт (кредитный договор) на учет, и клиента-резидента, являющегося третьим/другим лицо;</w:t>
      </w:r>
      <w:r>
        <w:rPr>
          <w:rFonts w:eastAsia="Calibri"/>
          <w:bCs/>
          <w:sz w:val="20"/>
          <w:szCs w:val="20"/>
          <w:lang w:eastAsia="en-US"/>
        </w:rPr>
      </w:r>
      <w:r>
        <w:rPr>
          <w:rFonts w:eastAsia="Calibri"/>
          <w:bCs/>
          <w:sz w:val="20"/>
          <w:szCs w:val="20"/>
          <w:lang w:eastAsia="en-US"/>
        </w:rPr>
      </w:r>
    </w:p>
    <w:p>
      <w:pPr>
        <w:pStyle w:val="1135"/>
        <w:contextualSpacing/>
        <w:ind w:firstLine="567"/>
        <w:jc w:val="both"/>
        <w:spacing w:before="120"/>
        <w:rPr>
          <w:rFonts w:eastAsia="Calibri"/>
          <w:bCs/>
          <w:sz w:val="20"/>
          <w:szCs w:val="20"/>
          <w:lang w:eastAsia="en-US"/>
        </w:rPr>
      </w:pPr>
      <w:r>
        <w:rPr>
          <w:rFonts w:eastAsia="Calibri"/>
          <w:bCs/>
          <w:sz w:val="20"/>
          <w:szCs w:val="20"/>
          <w:lang w:eastAsia="en-US"/>
        </w:rPr>
        <w:t xml:space="preserve">- с расчетного счета клиента-резидента, являющегося резидентом-агентом (комиссионером) и де</w:t>
      </w:r>
      <w:r>
        <w:rPr>
          <w:rFonts w:eastAsia="Calibri"/>
          <w:bCs/>
          <w:sz w:val="20"/>
          <w:szCs w:val="20"/>
          <w:lang w:eastAsia="en-US"/>
        </w:rPr>
        <w:t xml:space="preserve">йствующего от имени и за счет другого резидента (нерезидента)-принципала (комитента) в случае одновременного обслуживания резидента-агента (комиссионера), поставившего контракт (кредитный договор) на учет, и резидента (нерезидента)-принципала (комитента); </w:t>
      </w:r>
      <w:r>
        <w:rPr>
          <w:rFonts w:eastAsia="Calibri"/>
          <w:bCs/>
          <w:sz w:val="20"/>
          <w:szCs w:val="20"/>
          <w:lang w:eastAsia="en-US"/>
        </w:rPr>
      </w:r>
      <w:r>
        <w:rPr>
          <w:rFonts w:eastAsia="Calibri"/>
          <w:bCs/>
          <w:sz w:val="20"/>
          <w:szCs w:val="20"/>
          <w:lang w:eastAsia="en-US"/>
        </w:rPr>
      </w:r>
    </w:p>
    <w:p>
      <w:pPr>
        <w:pStyle w:val="1135"/>
        <w:contextualSpacing/>
        <w:ind w:firstLine="567"/>
        <w:jc w:val="both"/>
        <w:spacing w:before="120"/>
        <w:rPr>
          <w:rFonts w:eastAsia="Calibri"/>
          <w:bCs/>
          <w:sz w:val="20"/>
          <w:szCs w:val="20"/>
          <w:lang w:eastAsia="en-US"/>
        </w:rPr>
      </w:pPr>
      <w:r>
        <w:rPr>
          <w:rFonts w:eastAsia="Calibri"/>
          <w:bCs/>
          <w:sz w:val="20"/>
          <w:szCs w:val="20"/>
          <w:lang w:eastAsia="en-US"/>
        </w:rPr>
        <w:t xml:space="preserve">- с расчетного счета клиента-резидента, являющегося финансовым агентом (фактором), в случае одновременного обслуживания резидента-финансового агента (фактора) и резидента, поставившего контракт на учет.</w:t>
      </w:r>
      <w:r>
        <w:rPr>
          <w:rFonts w:eastAsia="Calibri"/>
          <w:bCs/>
          <w:sz w:val="20"/>
          <w:szCs w:val="20"/>
          <w:lang w:eastAsia="en-US"/>
        </w:rPr>
      </w:r>
      <w:r>
        <w:rPr>
          <w:rFonts w:eastAsia="Calibri"/>
          <w:bCs/>
          <w:sz w:val="20"/>
          <w:szCs w:val="20"/>
          <w:lang w:eastAsia="en-US"/>
        </w:rPr>
      </w:r>
    </w:p>
    <w:p>
      <w:pPr>
        <w:pStyle w:val="1135"/>
        <w:contextualSpacing/>
        <w:ind w:right="-2" w:firstLine="567"/>
        <w:jc w:val="both"/>
        <w:rPr>
          <w:rFonts w:eastAsia="Calibri"/>
          <w:sz w:val="20"/>
          <w:szCs w:val="20"/>
          <w:lang w:eastAsia="en-US"/>
        </w:rPr>
      </w:pPr>
      <w:r>
        <w:rPr>
          <w:rFonts w:eastAsia="Calibri"/>
          <w:sz w:val="20"/>
          <w:szCs w:val="20"/>
          <w:lang w:eastAsia="en-US"/>
        </w:rPr>
        <w:t xml:space="preserve">Комиссионное вознаграждение взимается, в том числе, при использовании резидентом аккре</w:t>
      </w:r>
      <w:r>
        <w:rPr>
          <w:rFonts w:eastAsia="Calibri"/>
          <w:sz w:val="20"/>
          <w:szCs w:val="20"/>
          <w:lang w:eastAsia="en-US"/>
        </w:rPr>
        <w:t xml:space="preserve">дитивной формы расчетов, при осуществлении операции через счет резидента, открытый в банке-нерезиденте, а также при осуществлении иных операций, в том числе через счет третьего лица, информация о которых подлежит отражению в ведомости банковского контроля.</w:t>
      </w:r>
      <w:r>
        <w:rPr>
          <w:rFonts w:eastAsia="Calibri"/>
          <w:sz w:val="20"/>
          <w:szCs w:val="20"/>
          <w:lang w:eastAsia="en-US"/>
        </w:rPr>
      </w:r>
      <w:r>
        <w:rPr>
          <w:rFonts w:eastAsia="Calibri"/>
          <w:sz w:val="20"/>
          <w:szCs w:val="20"/>
          <w:lang w:eastAsia="en-US"/>
        </w:rPr>
      </w:r>
    </w:p>
    <w:p>
      <w:pPr>
        <w:pStyle w:val="1135"/>
        <w:jc w:val="both"/>
        <w:spacing w:before="120"/>
        <w:rPr>
          <w:rFonts w:eastAsia="Calibri"/>
          <w:sz w:val="20"/>
          <w:szCs w:val="20"/>
          <w:lang w:eastAsia="en-US"/>
        </w:rPr>
      </w:pPr>
      <w:r>
        <w:rPr>
          <w:rFonts w:eastAsia="Calibri"/>
          <w:sz w:val="20"/>
          <w:szCs w:val="20"/>
          <w:lang w:eastAsia="en-US"/>
        </w:rPr>
        <w:t xml:space="preserve">*** Днем оказания услуги по валютному контролю является:</w:t>
      </w:r>
      <w:r>
        <w:rPr>
          <w:rFonts w:eastAsia="Calibri"/>
          <w:sz w:val="20"/>
          <w:szCs w:val="20"/>
          <w:lang w:eastAsia="en-US"/>
        </w:rPr>
      </w:r>
      <w:r>
        <w:rPr>
          <w:rFonts w:eastAsia="Calibri"/>
          <w:sz w:val="20"/>
          <w:szCs w:val="20"/>
          <w:lang w:eastAsia="en-US"/>
        </w:rPr>
      </w:r>
    </w:p>
    <w:p>
      <w:pPr>
        <w:pStyle w:val="1135"/>
        <w:jc w:val="both"/>
        <w:spacing w:before="12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35"/>
        <w:numPr>
          <w:ilvl w:val="0"/>
          <w:numId w:val="24"/>
        </w:numPr>
        <w:contextualSpacing/>
        <w:ind w:left="0" w:firstLine="567"/>
        <w:jc w:val="both"/>
        <w:spacing w:after="200" w:line="276" w:lineRule="auto"/>
        <w:tabs>
          <w:tab w:val="left" w:pos="851" w:leader="none"/>
        </w:tabs>
        <w:rPr>
          <w:rFonts w:eastAsia="Calibri"/>
          <w:bCs/>
          <w:sz w:val="20"/>
          <w:szCs w:val="20"/>
          <w:lang w:eastAsia="en-US"/>
        </w:rPr>
      </w:pPr>
      <w:r>
        <w:rPr>
          <w:rFonts w:eastAsia="Calibri"/>
          <w:sz w:val="20"/>
          <w:szCs w:val="20"/>
          <w:lang w:eastAsia="en-US"/>
        </w:rPr>
        <w:t xml:space="preserve">По операциям резидентов, в том числе</w:t>
      </w:r>
      <w:r>
        <w:rPr>
          <w:rFonts w:eastAsia="Calibri"/>
          <w:bCs/>
          <w:sz w:val="20"/>
          <w:szCs w:val="20"/>
          <w:lang w:eastAsia="en-US"/>
        </w:rPr>
        <w:t xml:space="preserve"> при переводе клиентом-резидентом денежных средств на счет этого же или на счет другого резидента, открытый в банке за пределами территории Российской Федерации:</w:t>
      </w:r>
      <w:r>
        <w:rPr>
          <w:rFonts w:eastAsia="Calibri"/>
          <w:bCs/>
          <w:sz w:val="20"/>
          <w:szCs w:val="20"/>
          <w:lang w:eastAsia="en-US"/>
        </w:rPr>
      </w:r>
      <w:r>
        <w:rPr>
          <w:rFonts w:eastAsia="Calibri"/>
          <w:bCs/>
          <w:sz w:val="20"/>
          <w:szCs w:val="20"/>
          <w:lang w:eastAsia="en-US"/>
        </w:rPr>
      </w:r>
    </w:p>
    <w:p>
      <w:pPr>
        <w:pStyle w:val="1135"/>
        <w:contextualSpacing/>
        <w:ind w:right="-2"/>
        <w:jc w:val="both"/>
        <w:rPr>
          <w:rFonts w:eastAsia="Calibri"/>
          <w:bCs/>
          <w:sz w:val="20"/>
          <w:szCs w:val="20"/>
          <w:lang w:eastAsia="en-US"/>
        </w:rPr>
      </w:pPr>
      <w:r>
        <w:rPr>
          <w:rFonts w:eastAsia="Calibri"/>
          <w:bCs/>
          <w:sz w:val="20"/>
          <w:szCs w:val="20"/>
          <w:lang w:eastAsia="en-US"/>
        </w:rPr>
        <w:t xml:space="preserve">-</w:t>
      </w:r>
      <w:r>
        <w:rPr>
          <w:rFonts w:eastAsia="Calibri"/>
          <w:sz w:val="20"/>
          <w:szCs w:val="20"/>
          <w:lang w:eastAsia="en-US"/>
        </w:rPr>
        <w:t xml:space="preserve"> </w:t>
      </w:r>
      <w:r>
        <w:rPr>
          <w:rFonts w:eastAsia="Calibri"/>
          <w:b/>
          <w:sz w:val="20"/>
          <w:szCs w:val="20"/>
          <w:lang w:eastAsia="en-US"/>
        </w:rPr>
        <w:t xml:space="preserve">день списания денежных средств с расчетного счета клиента-резидента;</w:t>
      </w:r>
      <w:r>
        <w:rPr>
          <w:rFonts w:eastAsia="Calibri"/>
          <w:bCs/>
          <w:sz w:val="20"/>
          <w:szCs w:val="20"/>
          <w:lang w:eastAsia="en-US"/>
        </w:rPr>
      </w:r>
      <w:r>
        <w:rPr>
          <w:rFonts w:eastAsia="Calibri"/>
          <w:bCs/>
          <w:sz w:val="20"/>
          <w:szCs w:val="20"/>
          <w:lang w:eastAsia="en-US"/>
        </w:rPr>
      </w:r>
    </w:p>
    <w:p>
      <w:pPr>
        <w:pStyle w:val="1135"/>
        <w:contextualSpacing/>
        <w:ind w:right="-2"/>
        <w:jc w:val="both"/>
        <w:rPr>
          <w:rFonts w:eastAsia="Calibri"/>
          <w:b/>
          <w:sz w:val="20"/>
          <w:szCs w:val="20"/>
          <w:lang w:eastAsia="en-US"/>
        </w:rPr>
      </w:pPr>
      <w:r>
        <w:rPr>
          <w:rFonts w:eastAsia="Calibri"/>
          <w:b/>
          <w:sz w:val="20"/>
          <w:szCs w:val="20"/>
          <w:lang w:eastAsia="en-US"/>
        </w:rPr>
        <w:t xml:space="preserve">- день принятия Банком информации о коде вида операции, соответствующем наименованию вида операции, указанному в приложении 1 к Инструкции Банка России № 181-И;</w:t>
      </w:r>
      <w:r>
        <w:rPr>
          <w:rFonts w:eastAsia="Calibri"/>
          <w:b/>
          <w:sz w:val="20"/>
          <w:szCs w:val="20"/>
          <w:lang w:eastAsia="en-US"/>
        </w:rPr>
      </w:r>
      <w:r>
        <w:rPr>
          <w:rFonts w:eastAsia="Calibri"/>
          <w:b/>
          <w:sz w:val="20"/>
          <w:szCs w:val="20"/>
          <w:lang w:eastAsia="en-US"/>
        </w:rPr>
      </w:r>
    </w:p>
    <w:p>
      <w:pPr>
        <w:pStyle w:val="1135"/>
        <w:contextualSpacing/>
        <w:ind w:right="-2"/>
        <w:jc w:val="both"/>
        <w:rPr>
          <w:rFonts w:eastAsia="Calibri"/>
          <w:b/>
          <w:sz w:val="20"/>
          <w:szCs w:val="20"/>
          <w:lang w:eastAsia="en-US"/>
        </w:rPr>
      </w:pPr>
      <w:r>
        <w:rPr>
          <w:rFonts w:eastAsia="Calibri"/>
          <w:b/>
          <w:sz w:val="20"/>
          <w:szCs w:val="20"/>
          <w:lang w:eastAsia="en-US"/>
        </w:rPr>
        <w:t xml:space="preserve">- день принятия Банком информации об уникальном номере контракта (кредитного договора);</w:t>
      </w:r>
      <w:r>
        <w:rPr>
          <w:rFonts w:eastAsia="Calibri"/>
          <w:b/>
          <w:sz w:val="20"/>
          <w:szCs w:val="20"/>
          <w:lang w:eastAsia="en-US"/>
        </w:rPr>
      </w:r>
      <w:r>
        <w:rPr>
          <w:rFonts w:eastAsia="Calibri"/>
          <w:b/>
          <w:sz w:val="20"/>
          <w:szCs w:val="20"/>
          <w:lang w:eastAsia="en-US"/>
        </w:rPr>
      </w:r>
    </w:p>
    <w:p>
      <w:pPr>
        <w:pStyle w:val="1135"/>
        <w:contextualSpacing/>
        <w:ind w:right="-2"/>
        <w:jc w:val="both"/>
        <w:rPr>
          <w:rFonts w:eastAsia="Calibri"/>
          <w:b/>
          <w:sz w:val="20"/>
          <w:szCs w:val="20"/>
          <w:lang w:eastAsia="en-US"/>
        </w:rPr>
      </w:pPr>
      <w:r>
        <w:rPr>
          <w:rFonts w:eastAsia="Calibri"/>
          <w:b/>
          <w:sz w:val="20"/>
          <w:szCs w:val="20"/>
          <w:lang w:eastAsia="en-US"/>
        </w:rPr>
        <w:t xml:space="preserve">- день принятия Банком документов, связанных с проведением валютной операции;</w:t>
      </w:r>
      <w:r>
        <w:rPr>
          <w:rFonts w:eastAsia="Calibri"/>
          <w:b/>
          <w:sz w:val="20"/>
          <w:szCs w:val="20"/>
          <w:lang w:eastAsia="en-US"/>
        </w:rPr>
      </w:r>
      <w:r>
        <w:rPr>
          <w:rFonts w:eastAsia="Calibri"/>
          <w:b/>
          <w:sz w:val="20"/>
          <w:szCs w:val="20"/>
          <w:lang w:eastAsia="en-US"/>
        </w:rPr>
      </w:r>
    </w:p>
    <w:p>
      <w:pPr>
        <w:pStyle w:val="1135"/>
        <w:contextualSpacing/>
        <w:ind w:right="-2"/>
        <w:jc w:val="both"/>
        <w:rPr>
          <w:rFonts w:eastAsia="Calibri"/>
          <w:b/>
          <w:sz w:val="20"/>
          <w:szCs w:val="20"/>
          <w:lang w:eastAsia="en-US"/>
        </w:rPr>
      </w:pPr>
      <w:r>
        <w:rPr>
          <w:rFonts w:eastAsia="Calibri"/>
          <w:b/>
          <w:sz w:val="20"/>
          <w:szCs w:val="20"/>
          <w:lang w:eastAsia="en-US"/>
        </w:rPr>
        <w:t xml:space="preserve">- </w:t>
      </w:r>
      <w:r>
        <w:rPr>
          <w:rFonts w:eastAsia="Calibri"/>
          <w:b/>
          <w:sz w:val="22"/>
          <w:szCs w:val="22"/>
          <w:lang w:eastAsia="en-US"/>
        </w:rPr>
        <w:t xml:space="preserve">день принятия Банком </w:t>
      </w:r>
      <w:r>
        <w:rPr>
          <w:rFonts w:eastAsia="Calibri"/>
          <w:b/>
          <w:sz w:val="20"/>
          <w:szCs w:val="20"/>
          <w:lang w:eastAsia="en-US"/>
        </w:rPr>
        <w:t xml:space="preserve">сведений уполномоченного банка о проведенной операции.</w:t>
      </w:r>
      <w:r>
        <w:rPr>
          <w:rFonts w:eastAsia="Calibri"/>
          <w:b/>
          <w:sz w:val="20"/>
          <w:szCs w:val="20"/>
          <w:lang w:eastAsia="en-US"/>
        </w:rPr>
      </w:r>
      <w:r>
        <w:rPr>
          <w:rFonts w:eastAsia="Calibri"/>
          <w:b/>
          <w:sz w:val="20"/>
          <w:szCs w:val="20"/>
          <w:lang w:eastAsia="en-US"/>
        </w:rPr>
      </w:r>
    </w:p>
    <w:p>
      <w:pPr>
        <w:pStyle w:val="1135"/>
        <w:contextualSpacing/>
        <w:ind w:right="-2"/>
        <w:jc w:val="both"/>
        <w:rPr>
          <w:rFonts w:eastAsia="Calibri"/>
          <w:b/>
          <w:sz w:val="20"/>
          <w:szCs w:val="20"/>
          <w:lang w:eastAsia="en-US"/>
        </w:rPr>
      </w:pPr>
      <w:r>
        <w:rPr>
          <w:rFonts w:eastAsia="Calibri"/>
          <w:b/>
          <w:sz w:val="20"/>
          <w:szCs w:val="20"/>
          <w:lang w:eastAsia="en-US"/>
        </w:rPr>
      </w:r>
      <w:r>
        <w:rPr>
          <w:rFonts w:eastAsia="Calibri"/>
          <w:b/>
          <w:sz w:val="20"/>
          <w:szCs w:val="20"/>
          <w:lang w:eastAsia="en-US"/>
        </w:rPr>
      </w:r>
      <w:r>
        <w:rPr>
          <w:rFonts w:eastAsia="Calibri"/>
          <w:b/>
          <w:sz w:val="20"/>
          <w:szCs w:val="20"/>
          <w:lang w:eastAsia="en-US"/>
        </w:rPr>
      </w:r>
    </w:p>
    <w:p>
      <w:pPr>
        <w:pStyle w:val="1135"/>
        <w:numPr>
          <w:ilvl w:val="0"/>
          <w:numId w:val="24"/>
        </w:numPr>
        <w:ind w:left="0" w:right="-2" w:firstLine="567"/>
        <w:jc w:val="both"/>
        <w:spacing w:line="276" w:lineRule="auto"/>
        <w:tabs>
          <w:tab w:val="left" w:pos="851" w:leader="none"/>
        </w:tabs>
        <w:rPr>
          <w:rFonts w:eastAsia="Calibri"/>
          <w:sz w:val="20"/>
          <w:szCs w:val="20"/>
          <w:lang w:eastAsia="en-US"/>
        </w:rPr>
      </w:pPr>
      <w:r>
        <w:rPr>
          <w:rFonts w:eastAsia="Calibri"/>
          <w:sz w:val="20"/>
          <w:szCs w:val="20"/>
          <w:lang w:eastAsia="en-US"/>
        </w:rPr>
        <w:t xml:space="preserve">При представлении клиенту информации о коде вида операции, который отражен Банком в данных по операциям:</w:t>
      </w:r>
      <w:r>
        <w:rPr>
          <w:rFonts w:eastAsia="Calibri"/>
          <w:sz w:val="20"/>
          <w:szCs w:val="20"/>
          <w:lang w:eastAsia="en-US"/>
        </w:rPr>
      </w:r>
      <w:r>
        <w:rPr>
          <w:rFonts w:eastAsia="Calibri"/>
          <w:sz w:val="20"/>
          <w:szCs w:val="20"/>
          <w:lang w:eastAsia="en-US"/>
        </w:rPr>
      </w:r>
    </w:p>
    <w:p>
      <w:pPr>
        <w:pStyle w:val="1135"/>
        <w:ind w:right="-2" w:firstLine="567"/>
        <w:jc w:val="both"/>
        <w:tabs>
          <w:tab w:val="left" w:pos="851" w:leader="none"/>
        </w:tabs>
        <w:rPr>
          <w:rFonts w:eastAsia="Calibri"/>
          <w:b/>
          <w:sz w:val="20"/>
          <w:szCs w:val="20"/>
          <w:lang w:eastAsia="en-US"/>
        </w:rPr>
      </w:pPr>
      <w:r>
        <w:rPr>
          <w:rFonts w:eastAsia="Calibri"/>
          <w:b/>
          <w:sz w:val="20"/>
          <w:szCs w:val="20"/>
          <w:lang w:eastAsia="en-US"/>
        </w:rPr>
        <w:t xml:space="preserve">- день направления резиденту информации о коде вида операции.</w:t>
      </w:r>
      <w:r>
        <w:rPr>
          <w:rFonts w:eastAsia="Calibri"/>
          <w:b/>
          <w:sz w:val="20"/>
          <w:szCs w:val="20"/>
          <w:lang w:eastAsia="en-US"/>
        </w:rPr>
      </w:r>
      <w:r>
        <w:rPr>
          <w:rFonts w:eastAsia="Calibri"/>
          <w:b/>
          <w:sz w:val="20"/>
          <w:szCs w:val="20"/>
          <w:lang w:eastAsia="en-US"/>
        </w:rPr>
      </w:r>
    </w:p>
    <w:p>
      <w:pPr>
        <w:pStyle w:val="1135"/>
        <w:ind w:right="-2" w:firstLine="567"/>
        <w:jc w:val="both"/>
        <w:tabs>
          <w:tab w:val="left" w:pos="851" w:leader="none"/>
        </w:tabs>
        <w:rPr>
          <w:rFonts w:eastAsia="Calibri"/>
          <w:sz w:val="20"/>
          <w:szCs w:val="20"/>
          <w:lang w:eastAsia="en-US"/>
        </w:rPr>
      </w:pPr>
      <w:r>
        <w:rPr>
          <w:rFonts w:eastAsia="Calibri"/>
          <w:sz w:val="20"/>
          <w:szCs w:val="20"/>
          <w:lang w:eastAsia="en-US"/>
        </w:rPr>
        <w:t xml:space="preserve">3.</w:t>
        <w:tab/>
        <w:t xml:space="preserve">При постановке экспортного контракта на учет на основании сведений об экспортном контракте, необходимых для постановки экспортного контракта на учет:</w:t>
      </w:r>
      <w:r>
        <w:rPr>
          <w:rFonts w:eastAsia="Calibri"/>
          <w:sz w:val="20"/>
          <w:szCs w:val="20"/>
          <w:lang w:eastAsia="en-US"/>
        </w:rPr>
      </w:r>
      <w:r>
        <w:rPr>
          <w:rFonts w:eastAsia="Calibri"/>
          <w:sz w:val="20"/>
          <w:szCs w:val="20"/>
          <w:lang w:eastAsia="en-US"/>
        </w:rPr>
      </w:r>
    </w:p>
    <w:p>
      <w:pPr>
        <w:pStyle w:val="1135"/>
        <w:ind w:right="-2" w:firstLine="567"/>
        <w:jc w:val="both"/>
        <w:tabs>
          <w:tab w:val="left" w:pos="851" w:leader="none"/>
        </w:tabs>
        <w:rPr>
          <w:rFonts w:eastAsia="Calibri"/>
          <w:b/>
          <w:sz w:val="20"/>
          <w:szCs w:val="20"/>
          <w:lang w:eastAsia="en-US"/>
        </w:rPr>
      </w:pPr>
      <w:r>
        <w:rPr>
          <w:rFonts w:eastAsia="Calibri"/>
          <w:b/>
          <w:sz w:val="20"/>
          <w:szCs w:val="20"/>
          <w:lang w:eastAsia="en-US"/>
        </w:rPr>
        <w:t xml:space="preserve">- день присвоения Банком экспортному контракту уникального номера.</w:t>
      </w:r>
      <w:r>
        <w:rPr>
          <w:rFonts w:eastAsia="Calibri"/>
          <w:b/>
          <w:sz w:val="20"/>
          <w:szCs w:val="20"/>
          <w:lang w:eastAsia="en-US"/>
        </w:rPr>
      </w:r>
      <w:r>
        <w:rPr>
          <w:rFonts w:eastAsia="Calibri"/>
          <w:b/>
          <w:sz w:val="20"/>
          <w:szCs w:val="20"/>
          <w:lang w:eastAsia="en-US"/>
        </w:rPr>
      </w:r>
    </w:p>
    <w:p>
      <w:pPr>
        <w:pStyle w:val="1135"/>
        <w:ind w:firstLine="567"/>
        <w:jc w:val="both"/>
        <w:tabs>
          <w:tab w:val="left" w:pos="709" w:leader="none"/>
          <w:tab w:val="left" w:pos="851" w:leader="none"/>
          <w:tab w:val="left" w:pos="1134" w:leader="none"/>
        </w:tabs>
        <w:rPr>
          <w:rFonts w:eastAsia="Calibri"/>
          <w:bCs/>
          <w:sz w:val="20"/>
          <w:szCs w:val="20"/>
          <w:lang w:eastAsia="en-US"/>
        </w:rPr>
      </w:pPr>
      <w:r>
        <w:rPr>
          <w:rFonts w:eastAsia="Calibri"/>
          <w:bCs/>
          <w:sz w:val="20"/>
          <w:szCs w:val="20"/>
          <w:lang w:eastAsia="en-US"/>
        </w:rPr>
        <w:t xml:space="preserve">4.</w:t>
        <w:tab/>
        <w:t xml:space="preserve">При проверке СПД:</w:t>
      </w:r>
      <w:r>
        <w:rPr>
          <w:rFonts w:eastAsia="Calibri"/>
          <w:bCs/>
          <w:sz w:val="20"/>
          <w:szCs w:val="20"/>
          <w:lang w:eastAsia="en-US"/>
        </w:rPr>
      </w:r>
      <w:r>
        <w:rPr>
          <w:rFonts w:eastAsia="Calibri"/>
          <w:bCs/>
          <w:sz w:val="20"/>
          <w:szCs w:val="20"/>
          <w:lang w:eastAsia="en-US"/>
        </w:rPr>
      </w:r>
    </w:p>
    <w:p>
      <w:pPr>
        <w:pStyle w:val="1135"/>
        <w:ind w:firstLine="567"/>
        <w:jc w:val="both"/>
        <w:tabs>
          <w:tab w:val="left" w:pos="851" w:leader="none"/>
          <w:tab w:val="left" w:pos="1134" w:leader="none"/>
        </w:tabs>
        <w:rPr>
          <w:rFonts w:eastAsia="Calibri"/>
          <w:b/>
          <w:bCs/>
          <w:sz w:val="20"/>
          <w:szCs w:val="20"/>
          <w:lang w:eastAsia="en-US"/>
        </w:rPr>
      </w:pPr>
      <w:r>
        <w:rPr>
          <w:rFonts w:eastAsia="Calibri"/>
          <w:b/>
          <w:bCs/>
          <w:sz w:val="20"/>
          <w:szCs w:val="20"/>
          <w:lang w:eastAsia="en-US"/>
        </w:rPr>
        <w:t xml:space="preserve">- день принятия Банком СПД.</w:t>
      </w:r>
      <w:r>
        <w:rPr>
          <w:rFonts w:eastAsia="Calibri"/>
          <w:b/>
          <w:bCs/>
          <w:sz w:val="20"/>
          <w:szCs w:val="20"/>
          <w:lang w:eastAsia="en-US"/>
        </w:rPr>
      </w:r>
      <w:r>
        <w:rPr>
          <w:rFonts w:eastAsia="Calibri"/>
          <w:b/>
          <w:bCs/>
          <w:sz w:val="20"/>
          <w:szCs w:val="20"/>
          <w:lang w:eastAsia="en-US"/>
        </w:rPr>
      </w:r>
    </w:p>
    <w:p>
      <w:pPr>
        <w:pStyle w:val="1135"/>
        <w:ind w:right="-2" w:firstLine="567"/>
        <w:jc w:val="both"/>
        <w:tabs>
          <w:tab w:val="left" w:pos="851" w:leader="none"/>
        </w:tabs>
        <w:rPr>
          <w:rFonts w:eastAsia="Calibri"/>
          <w:sz w:val="20"/>
          <w:szCs w:val="20"/>
          <w:lang w:eastAsia="en-US"/>
        </w:rPr>
      </w:pPr>
      <w:r>
        <w:rPr>
          <w:rFonts w:eastAsia="Calibri"/>
          <w:sz w:val="20"/>
          <w:szCs w:val="20"/>
          <w:lang w:eastAsia="en-US"/>
        </w:rPr>
        <w:t xml:space="preserve">5.</w:t>
        <w:tab/>
        <w:t xml:space="preserve">При оформлении Банком СПД за клиента:</w:t>
      </w:r>
      <w:r>
        <w:rPr>
          <w:rFonts w:eastAsia="Calibri"/>
          <w:sz w:val="20"/>
          <w:szCs w:val="20"/>
          <w:lang w:eastAsia="en-US"/>
        </w:rPr>
      </w:r>
      <w:r>
        <w:rPr>
          <w:rFonts w:eastAsia="Calibri"/>
          <w:sz w:val="20"/>
          <w:szCs w:val="20"/>
          <w:lang w:eastAsia="en-US"/>
        </w:rPr>
      </w:r>
    </w:p>
    <w:p>
      <w:pPr>
        <w:pStyle w:val="1135"/>
        <w:ind w:right="-2" w:firstLine="567"/>
        <w:jc w:val="both"/>
        <w:tabs>
          <w:tab w:val="left" w:pos="851" w:leader="none"/>
        </w:tabs>
        <w:rPr>
          <w:rFonts w:eastAsia="Calibri"/>
          <w:b/>
          <w:sz w:val="20"/>
          <w:szCs w:val="20"/>
          <w:lang w:eastAsia="en-US"/>
        </w:rPr>
      </w:pPr>
      <w:r>
        <w:rPr>
          <w:rFonts w:eastAsia="Calibri"/>
          <w:b/>
          <w:sz w:val="20"/>
          <w:szCs w:val="20"/>
          <w:lang w:eastAsia="en-US"/>
        </w:rPr>
        <w:t xml:space="preserve">- день оформления Банком СПД.</w:t>
      </w:r>
      <w:r>
        <w:rPr>
          <w:rFonts w:eastAsia="Calibri"/>
          <w:b/>
          <w:sz w:val="20"/>
          <w:szCs w:val="20"/>
          <w:lang w:eastAsia="en-US"/>
        </w:rPr>
      </w:r>
      <w:r>
        <w:rPr>
          <w:rFonts w:eastAsia="Calibri"/>
          <w:b/>
          <w:sz w:val="20"/>
          <w:szCs w:val="20"/>
          <w:lang w:eastAsia="en-US"/>
        </w:rPr>
      </w:r>
    </w:p>
    <w:p>
      <w:pPr>
        <w:pStyle w:val="1135"/>
        <w:ind w:right="-2" w:firstLine="567"/>
        <w:jc w:val="both"/>
        <w:tabs>
          <w:tab w:val="left" w:pos="851" w:leader="none"/>
        </w:tabs>
        <w:rPr>
          <w:rFonts w:eastAsia="Calibri"/>
          <w:sz w:val="20"/>
          <w:szCs w:val="20"/>
          <w:lang w:eastAsia="en-US"/>
        </w:rPr>
      </w:pPr>
      <w:r>
        <w:rPr>
          <w:rFonts w:eastAsia="Calibri"/>
          <w:sz w:val="20"/>
          <w:szCs w:val="20"/>
          <w:lang w:eastAsia="en-US"/>
        </w:rPr>
        <w:t xml:space="preserve">6.</w:t>
        <w:tab/>
        <w:t xml:space="preserve">При снятии контракта (кредитного договора) с учета:</w:t>
      </w:r>
      <w:r>
        <w:rPr>
          <w:rFonts w:eastAsia="Calibri"/>
          <w:sz w:val="20"/>
          <w:szCs w:val="20"/>
          <w:lang w:eastAsia="en-US"/>
        </w:rPr>
      </w:r>
      <w:r>
        <w:rPr>
          <w:rFonts w:eastAsia="Calibri"/>
          <w:sz w:val="20"/>
          <w:szCs w:val="20"/>
          <w:lang w:eastAsia="en-US"/>
        </w:rPr>
      </w:r>
    </w:p>
    <w:p>
      <w:pPr>
        <w:pStyle w:val="1135"/>
        <w:ind w:right="-2" w:firstLine="567"/>
        <w:jc w:val="both"/>
        <w:tabs>
          <w:tab w:val="left" w:pos="851" w:leader="none"/>
        </w:tabs>
        <w:rPr>
          <w:rFonts w:eastAsia="Calibri"/>
          <w:b/>
          <w:sz w:val="20"/>
          <w:szCs w:val="20"/>
          <w:lang w:eastAsia="en-US"/>
        </w:rPr>
      </w:pPr>
      <w:r>
        <w:rPr>
          <w:rFonts w:eastAsia="Calibri"/>
          <w:b/>
          <w:sz w:val="20"/>
          <w:szCs w:val="20"/>
          <w:lang w:eastAsia="en-US"/>
        </w:rPr>
        <w:t xml:space="preserve">- день снятия Банком контракта (кредитного договора) с учета.</w:t>
      </w:r>
      <w:r>
        <w:rPr>
          <w:rFonts w:eastAsia="Calibri"/>
          <w:b/>
          <w:sz w:val="20"/>
          <w:szCs w:val="20"/>
          <w:lang w:eastAsia="en-US"/>
        </w:rPr>
      </w:r>
      <w:r>
        <w:rPr>
          <w:rFonts w:eastAsia="Calibri"/>
          <w:b/>
          <w:sz w:val="20"/>
          <w:szCs w:val="20"/>
          <w:lang w:eastAsia="en-US"/>
        </w:rPr>
      </w:r>
    </w:p>
    <w:p>
      <w:pPr>
        <w:pStyle w:val="1135"/>
        <w:ind w:right="-2" w:firstLine="567"/>
        <w:jc w:val="both"/>
        <w:tabs>
          <w:tab w:val="left" w:pos="851" w:leader="none"/>
        </w:tabs>
        <w:rPr>
          <w:rFonts w:eastAsia="Calibri"/>
          <w:sz w:val="20"/>
          <w:szCs w:val="20"/>
          <w:lang w:eastAsia="en-US"/>
        </w:rPr>
      </w:pPr>
      <w:r>
        <w:rPr>
          <w:rFonts w:eastAsia="Calibri"/>
          <w:sz w:val="20"/>
          <w:szCs w:val="20"/>
          <w:lang w:eastAsia="en-US"/>
        </w:rPr>
        <w:t xml:space="preserve">7.</w:t>
        <w:tab/>
        <w:t xml:space="preserve">При списании денежных средств с расчетного счета клиента-нерезидента - юридического лица в валюте Российской Федерации:</w:t>
      </w:r>
      <w:r>
        <w:rPr>
          <w:rFonts w:eastAsia="Calibri"/>
          <w:sz w:val="20"/>
          <w:szCs w:val="20"/>
          <w:lang w:eastAsia="en-US"/>
        </w:rPr>
      </w:r>
      <w:r>
        <w:rPr>
          <w:rFonts w:eastAsia="Calibri"/>
          <w:sz w:val="20"/>
          <w:szCs w:val="20"/>
          <w:lang w:eastAsia="en-US"/>
        </w:rPr>
      </w:r>
    </w:p>
    <w:p>
      <w:pPr>
        <w:pStyle w:val="1135"/>
        <w:ind w:right="-2" w:firstLine="567"/>
        <w:jc w:val="both"/>
        <w:tabs>
          <w:tab w:val="left" w:pos="851" w:leader="none"/>
        </w:tabs>
        <w:rPr>
          <w:rFonts w:eastAsia="Calibri"/>
          <w:b/>
          <w:sz w:val="20"/>
          <w:szCs w:val="20"/>
          <w:lang w:eastAsia="en-US"/>
        </w:rPr>
      </w:pPr>
      <w:r>
        <w:rPr>
          <w:rFonts w:eastAsia="Calibri"/>
          <w:b/>
          <w:sz w:val="20"/>
          <w:szCs w:val="20"/>
          <w:lang w:eastAsia="en-US"/>
        </w:rPr>
        <w:t xml:space="preserve">- день списания денежных средств с расчетного счета клиента-нерезидента.</w:t>
      </w:r>
      <w:r>
        <w:rPr>
          <w:rFonts w:eastAsia="Calibri"/>
          <w:b/>
          <w:sz w:val="20"/>
          <w:szCs w:val="20"/>
          <w:lang w:eastAsia="en-US"/>
        </w:rPr>
      </w:r>
      <w:r>
        <w:rPr>
          <w:rFonts w:eastAsia="Calibri"/>
          <w:b/>
          <w:sz w:val="20"/>
          <w:szCs w:val="20"/>
          <w:lang w:eastAsia="en-US"/>
        </w:rPr>
      </w:r>
    </w:p>
    <w:p>
      <w:pPr>
        <w:pStyle w:val="1135"/>
        <w:ind w:right="-2" w:firstLine="567"/>
        <w:jc w:val="both"/>
        <w:tabs>
          <w:tab w:val="left" w:pos="851" w:leader="none"/>
        </w:tabs>
        <w:rPr>
          <w:rFonts w:eastAsia="Calibri"/>
          <w:b/>
          <w:sz w:val="20"/>
          <w:szCs w:val="20"/>
          <w:lang w:eastAsia="en-US"/>
        </w:rPr>
      </w:pPr>
      <w:r>
        <w:rPr>
          <w:rFonts w:eastAsia="Calibri"/>
          <w:sz w:val="20"/>
          <w:szCs w:val="20"/>
          <w:lang w:eastAsia="en-US"/>
        </w:rPr>
        <w:t xml:space="preserve">8.</w:t>
        <w:tab/>
        <w:t xml:space="preserve">При представлении клиенту копий документов из досье валютного контроля:</w:t>
      </w:r>
      <w:r>
        <w:rPr>
          <w:rFonts w:eastAsia="Calibri"/>
          <w:b/>
          <w:sz w:val="20"/>
          <w:szCs w:val="20"/>
          <w:lang w:eastAsia="en-US"/>
        </w:rPr>
      </w:r>
      <w:r>
        <w:rPr>
          <w:rFonts w:eastAsia="Calibri"/>
          <w:b/>
          <w:sz w:val="20"/>
          <w:szCs w:val="20"/>
          <w:lang w:eastAsia="en-US"/>
        </w:rPr>
      </w:r>
    </w:p>
    <w:p>
      <w:pPr>
        <w:pStyle w:val="1135"/>
        <w:ind w:right="-2" w:firstLine="567"/>
        <w:jc w:val="both"/>
        <w:rPr>
          <w:rFonts w:eastAsia="Calibri"/>
          <w:sz w:val="20"/>
          <w:szCs w:val="20"/>
          <w:lang w:eastAsia="en-US"/>
        </w:rPr>
      </w:pPr>
      <w:r>
        <w:rPr>
          <w:rFonts w:eastAsia="Calibri"/>
          <w:b/>
          <w:sz w:val="20"/>
          <w:szCs w:val="20"/>
          <w:lang w:eastAsia="en-US"/>
        </w:rPr>
        <w:t xml:space="preserve">- день направления клиенту копий документов.</w:t>
      </w:r>
      <w:r>
        <w:rPr>
          <w:rFonts w:eastAsia="Calibri"/>
          <w:sz w:val="20"/>
          <w:szCs w:val="20"/>
          <w:lang w:eastAsia="en-US"/>
        </w:rPr>
        <w:t xml:space="preserve"> </w:t>
      </w:r>
      <w:r>
        <w:rPr>
          <w:rFonts w:eastAsia="Calibri"/>
          <w:sz w:val="20"/>
          <w:szCs w:val="20"/>
          <w:lang w:eastAsia="en-US"/>
        </w:rPr>
      </w:r>
      <w:r>
        <w:rPr>
          <w:rFonts w:eastAsia="Calibri"/>
          <w:sz w:val="20"/>
          <w:szCs w:val="20"/>
          <w:lang w:eastAsia="en-US"/>
        </w:rPr>
      </w:r>
    </w:p>
    <w:p>
      <w:pPr>
        <w:pStyle w:val="1135"/>
        <w:jc w:val="both"/>
        <w:spacing w:before="120"/>
        <w:rPr>
          <w:rFonts w:eastAsia="Calibri"/>
          <w:sz w:val="20"/>
          <w:szCs w:val="20"/>
          <w:lang w:eastAsia="en-US"/>
        </w:rPr>
      </w:pPr>
      <w:r>
        <w:rPr>
          <w:rFonts w:eastAsia="Calibri"/>
          <w:sz w:val="20"/>
          <w:szCs w:val="20"/>
          <w:lang w:eastAsia="en-US"/>
        </w:rPr>
        <w:t xml:space="preserve">**** В случае перевода </w:t>
      </w:r>
      <w:r>
        <w:rPr>
          <w:rFonts w:eastAsia="Calibri"/>
          <w:bCs/>
          <w:sz w:val="20"/>
          <w:szCs w:val="20"/>
          <w:lang w:eastAsia="en-US"/>
        </w:rPr>
        <w:t xml:space="preserve">контракта (кредитного договора) на учет </w:t>
      </w:r>
      <w:r>
        <w:rPr>
          <w:rFonts w:eastAsia="Calibri"/>
          <w:sz w:val="20"/>
          <w:szCs w:val="20"/>
          <w:lang w:eastAsia="en-US"/>
        </w:rPr>
        <w:t xml:space="preserve">в другой уполномоченный банк либо при закрытии резидентом все</w:t>
      </w:r>
      <w:r>
        <w:rPr>
          <w:rFonts w:eastAsia="Calibri"/>
          <w:sz w:val="20"/>
          <w:szCs w:val="20"/>
          <w:lang w:eastAsia="en-US"/>
        </w:rPr>
        <w:t xml:space="preserve">х расчетных счетов в Банке при условии наличия в ведомости банковского контроля сведений о  подтверждающих документах, но при отсутствии сведений о платежах (полностью или частично), одновременно применяются тарифы, установленные подпунктами 3.5.2 и 3.5.3.</w:t>
      </w:r>
      <w:r>
        <w:rPr>
          <w:rFonts w:eastAsia="Calibri"/>
          <w:sz w:val="20"/>
          <w:szCs w:val="20"/>
          <w:lang w:eastAsia="en-US"/>
        </w:rPr>
      </w:r>
      <w:r>
        <w:rPr>
          <w:rFonts w:eastAsia="Calibri"/>
          <w:sz w:val="20"/>
          <w:szCs w:val="20"/>
          <w:lang w:eastAsia="en-US"/>
        </w:rPr>
      </w:r>
    </w:p>
    <w:p>
      <w:pPr>
        <w:pStyle w:val="1135"/>
        <w:rPr>
          <w:rFonts w:ascii="Calibri" w:hAnsi="Calibri" w:eastAsia="Calibri"/>
          <w:sz w:val="20"/>
          <w:szCs w:val="20"/>
          <w:lang w:eastAsia="en-US"/>
        </w:rPr>
      </w:pPr>
      <w:r>
        <w:rPr>
          <w:rFonts w:ascii="Calibri" w:hAnsi="Calibri" w:eastAsia="Calibri"/>
          <w:sz w:val="20"/>
          <w:szCs w:val="20"/>
          <w:lang w:eastAsia="en-US"/>
        </w:rPr>
      </w:r>
      <w:r>
        <w:rPr>
          <w:rFonts w:ascii="Calibri" w:hAnsi="Calibri" w:eastAsia="Calibri"/>
          <w:sz w:val="20"/>
          <w:szCs w:val="20"/>
          <w:lang w:eastAsia="en-US"/>
        </w:rPr>
      </w:r>
      <w:r>
        <w:rPr>
          <w:rFonts w:ascii="Calibri" w:hAnsi="Calibri" w:eastAsia="Calibri"/>
          <w:sz w:val="20"/>
          <w:szCs w:val="20"/>
          <w:lang w:eastAsia="en-US"/>
        </w:rPr>
      </w:r>
    </w:p>
    <w:p>
      <w:pPr>
        <w:pStyle w:val="1139"/>
      </w:pPr>
      <w:r>
        <w:rPr>
          <w:highlight w:val="none"/>
        </w:rPr>
      </w:r>
      <w:r>
        <w:rPr>
          <w:highlight w:val="none"/>
        </w:rPr>
      </w:r>
      <w:r/>
    </w:p>
    <w:p>
      <w:pPr>
        <w:pStyle w:val="1139"/>
        <w:rPr>
          <w:highlight w:val="none"/>
        </w:rPr>
      </w:pPr>
      <w:r>
        <w:rPr>
          <w:highlight w:val="none"/>
        </w:rPr>
      </w:r>
      <w:r>
        <w:rPr>
          <w:highlight w:val="none"/>
        </w:rPr>
      </w:r>
      <w:r>
        <w:rPr>
          <w:highlight w:val="none"/>
        </w:rPr>
      </w:r>
    </w:p>
    <w:p>
      <w:pPr>
        <w:pStyle w:val="1139"/>
        <w:rPr>
          <w:highlight w:val="none"/>
        </w:rPr>
      </w:pPr>
      <w:r>
        <w:t xml:space="preserve">4.</w:t>
      </w:r>
      <w:r>
        <w:t xml:space="preserve"> </w:t>
      </w:r>
      <w:r>
        <w:t xml:space="preserve">Операции</w:t>
      </w:r>
      <w:r>
        <w:t xml:space="preserve"> </w:t>
      </w:r>
      <w:r>
        <w:t xml:space="preserve">с</w:t>
      </w:r>
      <w:r>
        <w:t xml:space="preserve"> </w:t>
      </w:r>
      <w:r>
        <w:t xml:space="preserve">ценными</w:t>
      </w:r>
      <w:r>
        <w:t xml:space="preserve"> </w:t>
      </w:r>
      <w:r>
        <w:t xml:space="preserve">бумагами</w:t>
      </w:r>
      <w:r>
        <w:rPr>
          <w:highlight w:val="none"/>
        </w:rPr>
      </w:r>
      <w:r>
        <w:rPr>
          <w:highlight w:val="none"/>
        </w:rP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0"/>
        <w:gridCol w:w="3969"/>
        <w:gridCol w:w="1985"/>
        <w:gridCol w:w="35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35"/>
              <w:jc w:val="center"/>
              <w:rPr>
                <w:b/>
                <w:sz w:val="20"/>
                <w:szCs w:val="20"/>
              </w:rPr>
            </w:pPr>
            <w:r>
              <w:rPr>
                <w:b/>
                <w:sz w:val="20"/>
                <w:szCs w:val="20"/>
              </w:rPr>
              <w:t xml:space="preserve">№ п/п</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35"/>
              <w:jc w:val="center"/>
              <w:rPr>
                <w:b/>
                <w:sz w:val="20"/>
                <w:szCs w:val="20"/>
              </w:rPr>
            </w:pPr>
            <w:r>
              <w:rPr>
                <w:b/>
                <w:sz w:val="20"/>
                <w:szCs w:val="20"/>
              </w:rPr>
              <w:t xml:space="preserve">Наименование услуги</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35"/>
              <w:jc w:val="center"/>
              <w:rPr>
                <w:b/>
                <w:sz w:val="20"/>
                <w:szCs w:val="20"/>
              </w:rPr>
            </w:pPr>
            <w:r>
              <w:rPr>
                <w:b/>
                <w:sz w:val="20"/>
                <w:szCs w:val="20"/>
              </w:rPr>
              <w:t xml:space="preserve">Тариф</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35"/>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vMerge w:val="restart"/>
            <w:textDirection w:val="lrTb"/>
            <w:noWrap w:val="false"/>
          </w:tcPr>
          <w:p>
            <w:pPr>
              <w:pStyle w:val="1135"/>
              <w:jc w:val="center"/>
              <w:rPr>
                <w:sz w:val="20"/>
                <w:szCs w:val="20"/>
              </w:rPr>
            </w:pPr>
            <w:r>
              <w:rPr>
                <w:sz w:val="20"/>
                <w:szCs w:val="20"/>
              </w:rPr>
              <w:t xml:space="preserve">4.1.</w:t>
            </w:r>
            <w:r>
              <w:rPr>
                <w:sz w:val="20"/>
                <w:szCs w:val="20"/>
              </w:rPr>
            </w:r>
            <w:r>
              <w:rPr>
                <w:sz w:val="20"/>
                <w:szCs w:val="20"/>
              </w:rPr>
            </w:r>
          </w:p>
        </w:tc>
        <w:tc>
          <w:tcPr>
            <w:gridSpan w:val="3"/>
            <w:tcW w:w="9498" w:type="dxa"/>
            <w:vAlign w:val="top"/>
            <w:textDirection w:val="lrTb"/>
            <w:noWrap w:val="false"/>
          </w:tcPr>
          <w:p>
            <w:pPr>
              <w:pStyle w:val="1135"/>
              <w:jc w:val="center"/>
              <w:rPr>
                <w:sz w:val="20"/>
                <w:szCs w:val="20"/>
              </w:rPr>
            </w:pPr>
            <w:r>
              <w:rPr>
                <w:sz w:val="20"/>
                <w:szCs w:val="20"/>
              </w:rPr>
              <w:t xml:space="preserve">Оформление</w:t>
            </w:r>
            <w:r>
              <w:rPr>
                <w:sz w:val="20"/>
                <w:szCs w:val="20"/>
              </w:rPr>
              <w:t xml:space="preserve"> </w:t>
            </w:r>
            <w:r>
              <w:rPr>
                <w:sz w:val="20"/>
                <w:szCs w:val="20"/>
              </w:rPr>
              <w:t xml:space="preserve">бланка</w:t>
            </w:r>
            <w:r>
              <w:rPr>
                <w:sz w:val="20"/>
                <w:szCs w:val="20"/>
              </w:rPr>
              <w:t xml:space="preserve"> </w:t>
            </w:r>
            <w:r>
              <w:rPr>
                <w:sz w:val="20"/>
                <w:szCs w:val="20"/>
              </w:rPr>
              <w:t xml:space="preserve">векселя</w:t>
            </w:r>
            <w:r>
              <w:rPr>
                <w:sz w:val="20"/>
                <w:szCs w:val="20"/>
              </w:rPr>
              <w:t xml:space="preserve"> </w:t>
            </w:r>
            <w:r>
              <w:rPr>
                <w:sz w:val="20"/>
                <w:szCs w:val="20"/>
              </w:rPr>
              <w:t xml:space="preserve">АО «Россельхозбанк»</w:t>
            </w:r>
            <w:r>
              <w:rPr>
                <w:sz w:val="20"/>
                <w:szCs w:val="20"/>
              </w:rPr>
              <w:t xml:space="preserve"> </w:t>
            </w:r>
            <w:r>
              <w:rPr>
                <w:sz w:val="20"/>
                <w:szCs w:val="20"/>
              </w:rPr>
              <w:t xml:space="preserve">в</w:t>
            </w:r>
            <w:r>
              <w:rPr>
                <w:sz w:val="20"/>
                <w:szCs w:val="20"/>
              </w:rPr>
              <w:t xml:space="preserve"> </w:t>
            </w:r>
            <w:r>
              <w:rPr>
                <w:sz w:val="20"/>
                <w:szCs w:val="20"/>
              </w:rPr>
              <w:t xml:space="preserve">головном</w:t>
            </w:r>
            <w:r>
              <w:rPr>
                <w:sz w:val="20"/>
                <w:szCs w:val="20"/>
              </w:rPr>
              <w:t xml:space="preserve"> </w:t>
            </w:r>
            <w:r>
              <w:rPr>
                <w:sz w:val="20"/>
                <w:szCs w:val="20"/>
              </w:rPr>
              <w:t xml:space="preserve">офисе</w:t>
            </w:r>
            <w:r>
              <w:rPr>
                <w:sz w:val="20"/>
                <w:szCs w:val="20"/>
              </w:rPr>
              <w:t xml:space="preserve"> </w:t>
            </w:r>
            <w:r>
              <w:rPr>
                <w:sz w:val="20"/>
                <w:szCs w:val="20"/>
              </w:rPr>
              <w:t xml:space="preserve">АО «Россельхозбанк»</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vMerge w:val="continue"/>
            <w:textDirection w:val="lrTb"/>
            <w:noWrap w:val="false"/>
          </w:tcPr>
          <w:p>
            <w:pPr>
              <w:pStyle w:val="1135"/>
              <w:jc w:val="center"/>
              <w:rPr>
                <w:sz w:val="20"/>
                <w:szCs w:val="20"/>
              </w:rPr>
            </w:pPr>
            <w:r>
              <w:rPr>
                <w:sz w:val="20"/>
                <w:szCs w:val="20"/>
              </w:rPr>
            </w:r>
            <w:r>
              <w:rPr>
                <w:sz w:val="20"/>
                <w:szCs w:val="20"/>
              </w:rPr>
            </w:r>
            <w:r>
              <w:rPr>
                <w:sz w:val="20"/>
                <w:szCs w:val="20"/>
              </w:rPr>
            </w:r>
          </w:p>
        </w:tc>
        <w:tc>
          <w:tcPr>
            <w:tcW w:w="3969" w:type="dxa"/>
            <w:vAlign w:val="top"/>
            <w:textDirection w:val="lrTb"/>
            <w:noWrap w:val="false"/>
          </w:tcPr>
          <w:p>
            <w:pPr>
              <w:pStyle w:val="1135"/>
              <w:rPr>
                <w:sz w:val="20"/>
                <w:szCs w:val="20"/>
              </w:rPr>
            </w:pPr>
            <w:r>
              <w:rPr>
                <w:sz w:val="20"/>
                <w:szCs w:val="20"/>
              </w:rPr>
              <w:t xml:space="preserve">векселя</w:t>
            </w:r>
            <w:r>
              <w:rPr>
                <w:sz w:val="20"/>
                <w:szCs w:val="20"/>
              </w:rPr>
              <w:t xml:space="preserve"> </w:t>
            </w:r>
            <w:r>
              <w:rPr>
                <w:sz w:val="20"/>
                <w:szCs w:val="20"/>
              </w:rPr>
              <w:t xml:space="preserve">серии</w:t>
            </w:r>
            <w:r>
              <w:rPr>
                <w:sz w:val="20"/>
                <w:szCs w:val="20"/>
              </w:rPr>
              <w:t xml:space="preserve"> </w:t>
            </w:r>
            <w:r>
              <w:rPr>
                <w:sz w:val="20"/>
                <w:szCs w:val="20"/>
              </w:rPr>
              <w:t xml:space="preserve">«К»</w:t>
            </w:r>
            <w:r>
              <w:rPr>
                <w:sz w:val="20"/>
                <w:szCs w:val="20"/>
              </w:rPr>
            </w:r>
            <w:r>
              <w:rPr>
                <w:sz w:val="20"/>
                <w:szCs w:val="20"/>
              </w:rPr>
            </w:r>
          </w:p>
        </w:tc>
        <w:tc>
          <w:tcPr>
            <w:tcW w:w="1985" w:type="dxa"/>
            <w:vAlign w:val="top"/>
            <w:textDirection w:val="lrTb"/>
            <w:noWrap w:val="false"/>
          </w:tcPr>
          <w:p>
            <w:pPr>
              <w:pStyle w:val="1135"/>
              <w:jc w:val="center"/>
              <w:rPr>
                <w:sz w:val="20"/>
                <w:szCs w:val="20"/>
              </w:rPr>
            </w:pPr>
            <w:r>
              <w:rPr>
                <w:sz w:val="20"/>
                <w:szCs w:val="20"/>
              </w:rPr>
              <w:t xml:space="preserve">30</w:t>
            </w:r>
            <w:r>
              <w:rPr>
                <w:sz w:val="20"/>
                <w:szCs w:val="20"/>
              </w:rPr>
              <w:t xml:space="preserve">5</w:t>
            </w:r>
            <w:r>
              <w:rPr>
                <w:sz w:val="20"/>
                <w:szCs w:val="20"/>
              </w:rPr>
              <w:t xml:space="preserve"> </w:t>
            </w:r>
            <w:r>
              <w:rPr>
                <w:sz w:val="20"/>
                <w:szCs w:val="20"/>
              </w:rPr>
              <w:t xml:space="preserve">руб.</w:t>
            </w:r>
            <w:r>
              <w:rPr>
                <w:sz w:val="20"/>
                <w:szCs w:val="20"/>
              </w:rPr>
              <w:t xml:space="preserve"> </w:t>
            </w:r>
            <w:r>
              <w:rPr>
                <w:sz w:val="20"/>
                <w:szCs w:val="20"/>
              </w:rPr>
              <w:t xml:space="preserve">за</w:t>
            </w:r>
            <w:r>
              <w:rPr>
                <w:sz w:val="20"/>
                <w:szCs w:val="20"/>
              </w:rPr>
              <w:t xml:space="preserve"> </w:t>
            </w:r>
            <w:r>
              <w:rPr>
                <w:sz w:val="20"/>
                <w:szCs w:val="20"/>
              </w:rPr>
              <w:t xml:space="preserve">лист</w:t>
            </w:r>
            <w:r>
              <w:rPr>
                <w:sz w:val="20"/>
                <w:szCs w:val="20"/>
              </w:rPr>
            </w:r>
            <w:r>
              <w:rPr>
                <w:sz w:val="20"/>
                <w:szCs w:val="20"/>
              </w:rPr>
            </w:r>
          </w:p>
        </w:tc>
        <w:tc>
          <w:tcPr>
            <w:tcW w:w="3544" w:type="dxa"/>
            <w:vAlign w:val="top"/>
            <w:textDirection w:val="lrTb"/>
            <w:noWrap w:val="false"/>
          </w:tcPr>
          <w:p>
            <w:pPr>
              <w:pStyle w:val="1135"/>
              <w:rPr>
                <w:sz w:val="20"/>
                <w:szCs w:val="20"/>
              </w:rPr>
            </w:pPr>
            <w:r>
              <w:rPr>
                <w:sz w:val="20"/>
                <w:szCs w:val="20"/>
              </w:rPr>
              <w:t xml:space="preserve">Взимается</w:t>
            </w:r>
            <w:r>
              <w:rPr>
                <w:sz w:val="20"/>
                <w:szCs w:val="20"/>
              </w:rPr>
              <w:t xml:space="preserve"> </w:t>
            </w:r>
            <w:r>
              <w:rPr>
                <w:sz w:val="20"/>
                <w:szCs w:val="20"/>
              </w:rPr>
              <w:t xml:space="preserve">до</w:t>
            </w:r>
            <w:r>
              <w:rPr>
                <w:sz w:val="20"/>
                <w:szCs w:val="20"/>
              </w:rPr>
              <w:t xml:space="preserve"> </w:t>
            </w:r>
            <w:r>
              <w:rPr>
                <w:sz w:val="20"/>
                <w:szCs w:val="20"/>
              </w:rPr>
              <w:t xml:space="preserve">выдачи</w:t>
            </w:r>
            <w:r>
              <w:rPr>
                <w:sz w:val="20"/>
                <w:szCs w:val="20"/>
              </w:rPr>
              <w:t xml:space="preserve"> </w:t>
            </w:r>
            <w:r>
              <w:rPr>
                <w:sz w:val="20"/>
                <w:szCs w:val="20"/>
              </w:rPr>
              <w:t xml:space="preserve">кредита</w:t>
            </w:r>
            <w:r>
              <w:rPr>
                <w:sz w:val="20"/>
                <w:szCs w:val="20"/>
              </w:rPr>
              <w:t xml:space="preserve"> </w:t>
            </w:r>
            <w:r>
              <w:rPr>
                <w:sz w:val="20"/>
                <w:szCs w:val="20"/>
              </w:rPr>
              <w:t xml:space="preserve">с</w:t>
            </w:r>
            <w:r>
              <w:rPr>
                <w:sz w:val="20"/>
                <w:szCs w:val="20"/>
              </w:rPr>
              <w:t xml:space="preserve"> </w:t>
            </w:r>
            <w:r>
              <w:rPr>
                <w:sz w:val="20"/>
                <w:szCs w:val="20"/>
              </w:rPr>
              <w:t xml:space="preserve">целевым</w:t>
            </w:r>
            <w:r>
              <w:rPr>
                <w:sz w:val="20"/>
                <w:szCs w:val="20"/>
              </w:rPr>
              <w:t xml:space="preserve"> </w:t>
            </w:r>
            <w:r>
              <w:rPr>
                <w:sz w:val="20"/>
                <w:szCs w:val="20"/>
              </w:rPr>
              <w:t xml:space="preserve">назначением</w:t>
            </w:r>
            <w:r>
              <w:rPr>
                <w:sz w:val="20"/>
                <w:szCs w:val="20"/>
              </w:rPr>
              <w:t xml:space="preserve"> </w:t>
            </w:r>
            <w:r>
              <w:rPr>
                <w:sz w:val="20"/>
                <w:szCs w:val="20"/>
              </w:rPr>
              <w:t xml:space="preserve">-</w:t>
            </w:r>
            <w:r>
              <w:rPr>
                <w:sz w:val="20"/>
                <w:szCs w:val="20"/>
              </w:rPr>
              <w:t xml:space="preserve"> </w:t>
            </w:r>
            <w:r>
              <w:rPr>
                <w:sz w:val="20"/>
                <w:szCs w:val="20"/>
              </w:rPr>
              <w:t xml:space="preserve">на</w:t>
            </w:r>
            <w:r>
              <w:rPr>
                <w:sz w:val="20"/>
                <w:szCs w:val="20"/>
              </w:rPr>
              <w:t xml:space="preserve"> </w:t>
            </w:r>
            <w:r>
              <w:rPr>
                <w:sz w:val="20"/>
                <w:szCs w:val="20"/>
              </w:rPr>
              <w:t xml:space="preserve">приобретение</w:t>
            </w:r>
            <w:r>
              <w:rPr>
                <w:sz w:val="20"/>
                <w:szCs w:val="20"/>
              </w:rPr>
              <w:t xml:space="preserve"> </w:t>
            </w:r>
            <w:r>
              <w:rPr>
                <w:sz w:val="20"/>
                <w:szCs w:val="20"/>
              </w:rPr>
              <w:t xml:space="preserve">векселя</w:t>
            </w:r>
            <w:r>
              <w:rPr>
                <w:sz w:val="20"/>
                <w:szCs w:val="20"/>
              </w:rPr>
              <w:t xml:space="preserve"> </w:t>
            </w:r>
            <w:r>
              <w:rPr>
                <w:sz w:val="20"/>
                <w:szCs w:val="20"/>
              </w:rPr>
              <w:t xml:space="preserve">АО «Россельхозбанк»</w:t>
            </w:r>
            <w:r>
              <w:rPr>
                <w:sz w:val="20"/>
                <w:szCs w:val="20"/>
              </w:rPr>
              <w:t xml:space="preserve"> </w:t>
            </w:r>
            <w:r>
              <w:rPr>
                <w:sz w:val="20"/>
                <w:szCs w:val="20"/>
              </w:rPr>
              <w:t xml:space="preserve">серии</w:t>
            </w:r>
            <w:r>
              <w:rPr>
                <w:sz w:val="20"/>
                <w:szCs w:val="20"/>
              </w:rPr>
              <w:t xml:space="preserve"> </w:t>
            </w:r>
            <w:r>
              <w:rPr>
                <w:sz w:val="20"/>
                <w:szCs w:val="20"/>
              </w:rPr>
              <w:t xml:space="preserve">«К».</w:t>
            </w:r>
            <w:r>
              <w:rPr>
                <w:sz w:val="20"/>
                <w:szCs w:val="20"/>
              </w:rPr>
            </w:r>
            <w:r>
              <w:rPr>
                <w:sz w:val="20"/>
                <w:szCs w:val="20"/>
              </w:rPr>
            </w:r>
          </w:p>
          <w:p>
            <w:pPr>
              <w:pStyle w:val="1135"/>
              <w:rPr>
                <w:sz w:val="20"/>
                <w:szCs w:val="20"/>
              </w:rPr>
            </w:pPr>
            <w:r>
              <w:rPr>
                <w:sz w:val="20"/>
                <w:szCs w:val="20"/>
              </w:rPr>
              <w:t xml:space="preserve">Комиссия</w:t>
            </w:r>
            <w:r>
              <w:rPr>
                <w:sz w:val="20"/>
                <w:szCs w:val="20"/>
              </w:rPr>
              <w:t xml:space="preserve"> </w:t>
            </w:r>
            <w:r>
              <w:rPr>
                <w:sz w:val="20"/>
                <w:szCs w:val="20"/>
              </w:rPr>
              <w:t xml:space="preserve">включает</w:t>
            </w:r>
            <w:r>
              <w:rPr>
                <w:sz w:val="20"/>
                <w:szCs w:val="20"/>
              </w:rPr>
              <w:t xml:space="preserve"> </w:t>
            </w:r>
            <w:r>
              <w:rPr>
                <w:sz w:val="20"/>
                <w:szCs w:val="20"/>
              </w:rPr>
              <w:t xml:space="preserve">НДС</w:t>
            </w:r>
            <w:r>
              <w:rPr>
                <w:sz w:val="20"/>
                <w:szCs w:val="20"/>
              </w:rPr>
              <w:t xml:space="preserve"> </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vMerge w:val="restart"/>
            <w:textDirection w:val="lrTb"/>
            <w:noWrap w:val="false"/>
          </w:tcPr>
          <w:p>
            <w:pPr>
              <w:pStyle w:val="1135"/>
              <w:jc w:val="center"/>
              <w:rPr>
                <w:sz w:val="20"/>
                <w:szCs w:val="20"/>
              </w:rPr>
            </w:pPr>
            <w:r>
              <w:rPr>
                <w:sz w:val="20"/>
                <w:szCs w:val="20"/>
              </w:rPr>
              <w:t xml:space="preserve">4.2.</w:t>
            </w:r>
            <w:r>
              <w:rPr>
                <w:sz w:val="20"/>
                <w:szCs w:val="20"/>
              </w:rPr>
            </w:r>
            <w:r>
              <w:rPr>
                <w:sz w:val="20"/>
                <w:szCs w:val="20"/>
              </w:rPr>
            </w:r>
          </w:p>
        </w:tc>
        <w:tc>
          <w:tcPr>
            <w:gridSpan w:val="3"/>
            <w:tcW w:w="9498" w:type="dxa"/>
            <w:vAlign w:val="top"/>
            <w:textDirection w:val="lrTb"/>
            <w:noWrap w:val="false"/>
          </w:tcPr>
          <w:p>
            <w:pPr>
              <w:pStyle w:val="1135"/>
              <w:jc w:val="center"/>
              <w:rPr>
                <w:sz w:val="20"/>
                <w:szCs w:val="20"/>
              </w:rPr>
            </w:pPr>
            <w:r>
              <w:rPr>
                <w:sz w:val="20"/>
                <w:szCs w:val="20"/>
              </w:rPr>
              <w:t xml:space="preserve">Оформление</w:t>
            </w:r>
            <w:r>
              <w:rPr>
                <w:sz w:val="20"/>
                <w:szCs w:val="20"/>
              </w:rPr>
              <w:t xml:space="preserve"> </w:t>
            </w:r>
            <w:r>
              <w:rPr>
                <w:sz w:val="20"/>
                <w:szCs w:val="20"/>
              </w:rPr>
              <w:t xml:space="preserve">бланка</w:t>
            </w:r>
            <w:r>
              <w:rPr>
                <w:sz w:val="20"/>
                <w:szCs w:val="20"/>
              </w:rPr>
              <w:t xml:space="preserve"> </w:t>
            </w:r>
            <w:r>
              <w:rPr>
                <w:sz w:val="20"/>
                <w:szCs w:val="20"/>
              </w:rPr>
              <w:t xml:space="preserve">векселя</w:t>
            </w:r>
            <w:r>
              <w:rPr>
                <w:sz w:val="20"/>
                <w:szCs w:val="20"/>
              </w:rPr>
              <w:t xml:space="preserve"> </w:t>
            </w:r>
            <w:r>
              <w:rPr>
                <w:sz w:val="20"/>
                <w:szCs w:val="20"/>
              </w:rPr>
              <w:t xml:space="preserve">АО «Россельхозбанк»</w:t>
            </w:r>
            <w:r>
              <w:rPr>
                <w:sz w:val="20"/>
                <w:szCs w:val="20"/>
              </w:rPr>
              <w:t xml:space="preserve"> </w:t>
            </w:r>
            <w:r>
              <w:rPr>
                <w:sz w:val="20"/>
                <w:szCs w:val="20"/>
              </w:rPr>
              <w:t xml:space="preserve">в</w:t>
            </w:r>
            <w:r>
              <w:rPr>
                <w:sz w:val="20"/>
                <w:szCs w:val="20"/>
              </w:rPr>
              <w:t xml:space="preserve"> </w:t>
            </w:r>
            <w:r>
              <w:rPr>
                <w:sz w:val="20"/>
                <w:szCs w:val="20"/>
              </w:rPr>
              <w:t xml:space="preserve">региональных</w:t>
            </w:r>
            <w:r>
              <w:rPr>
                <w:sz w:val="20"/>
                <w:szCs w:val="20"/>
              </w:rPr>
              <w:t xml:space="preserve"> </w:t>
            </w:r>
            <w:r>
              <w:rPr>
                <w:sz w:val="20"/>
                <w:szCs w:val="20"/>
              </w:rPr>
              <w:t xml:space="preserve">филиалах</w:t>
            </w:r>
            <w:r>
              <w:rPr>
                <w:sz w:val="20"/>
                <w:szCs w:val="20"/>
              </w:rPr>
              <w:t xml:space="preserve"> </w:t>
            </w:r>
            <w:r>
              <w:rPr>
                <w:sz w:val="20"/>
                <w:szCs w:val="20"/>
              </w:rPr>
              <w:t xml:space="preserve">АО «Россельхозбанк»</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vMerge w:val="continue"/>
            <w:textDirection w:val="lrTb"/>
            <w:noWrap w:val="false"/>
          </w:tcPr>
          <w:p>
            <w:pPr>
              <w:pStyle w:val="1135"/>
              <w:jc w:val="center"/>
              <w:rPr>
                <w:sz w:val="20"/>
                <w:szCs w:val="20"/>
              </w:rPr>
            </w:pPr>
            <w:r>
              <w:rPr>
                <w:sz w:val="20"/>
                <w:szCs w:val="20"/>
              </w:rPr>
            </w:r>
            <w:r>
              <w:rPr>
                <w:sz w:val="20"/>
                <w:szCs w:val="20"/>
              </w:rPr>
            </w:r>
            <w:r>
              <w:rPr>
                <w:sz w:val="20"/>
                <w:szCs w:val="20"/>
              </w:rPr>
            </w:r>
          </w:p>
        </w:tc>
        <w:tc>
          <w:tcPr>
            <w:tcW w:w="3969" w:type="dxa"/>
            <w:vAlign w:val="top"/>
            <w:textDirection w:val="lrTb"/>
            <w:noWrap w:val="false"/>
          </w:tcPr>
          <w:p>
            <w:pPr>
              <w:pStyle w:val="1135"/>
              <w:rPr>
                <w:sz w:val="20"/>
                <w:szCs w:val="20"/>
              </w:rPr>
            </w:pPr>
            <w:r>
              <w:rPr>
                <w:sz w:val="20"/>
                <w:szCs w:val="20"/>
              </w:rPr>
              <w:t xml:space="preserve">векселя</w:t>
            </w:r>
            <w:r>
              <w:rPr>
                <w:sz w:val="20"/>
                <w:szCs w:val="20"/>
              </w:rPr>
              <w:t xml:space="preserve"> </w:t>
            </w:r>
            <w:r>
              <w:rPr>
                <w:sz w:val="20"/>
                <w:szCs w:val="20"/>
              </w:rPr>
              <w:t xml:space="preserve">серии</w:t>
            </w:r>
            <w:r>
              <w:rPr>
                <w:sz w:val="20"/>
                <w:szCs w:val="20"/>
              </w:rPr>
              <w:t xml:space="preserve"> </w:t>
            </w:r>
            <w:r>
              <w:rPr>
                <w:sz w:val="20"/>
                <w:szCs w:val="20"/>
              </w:rPr>
              <w:t xml:space="preserve">«К»</w:t>
            </w:r>
            <w:r>
              <w:rPr>
                <w:sz w:val="20"/>
                <w:szCs w:val="20"/>
              </w:rPr>
              <w:t xml:space="preserve"> </w:t>
            </w:r>
            <w:r>
              <w:rPr>
                <w:sz w:val="20"/>
                <w:szCs w:val="20"/>
              </w:rPr>
            </w:r>
            <w:r>
              <w:rPr>
                <w:sz w:val="20"/>
                <w:szCs w:val="20"/>
              </w:rPr>
            </w:r>
          </w:p>
        </w:tc>
        <w:tc>
          <w:tcPr>
            <w:tcW w:w="1985" w:type="dxa"/>
            <w:vAlign w:val="top"/>
            <w:textDirection w:val="lrTb"/>
            <w:noWrap w:val="false"/>
          </w:tcPr>
          <w:p>
            <w:pPr>
              <w:pStyle w:val="1135"/>
              <w:jc w:val="center"/>
              <w:rPr>
                <w:sz w:val="20"/>
                <w:szCs w:val="20"/>
              </w:rPr>
            </w:pPr>
            <w:r>
              <w:rPr>
                <w:sz w:val="20"/>
                <w:szCs w:val="20"/>
              </w:rPr>
              <w:t xml:space="preserve">30</w:t>
            </w:r>
            <w:r>
              <w:rPr>
                <w:sz w:val="20"/>
                <w:szCs w:val="20"/>
              </w:rPr>
              <w:t xml:space="preserve">5</w:t>
            </w:r>
            <w:r>
              <w:rPr>
                <w:sz w:val="20"/>
                <w:szCs w:val="20"/>
              </w:rPr>
              <w:t xml:space="preserve"> </w:t>
            </w:r>
            <w:r>
              <w:rPr>
                <w:sz w:val="20"/>
                <w:szCs w:val="20"/>
              </w:rPr>
              <w:t xml:space="preserve">руб.</w:t>
            </w:r>
            <w:r>
              <w:rPr>
                <w:sz w:val="20"/>
                <w:szCs w:val="20"/>
              </w:rPr>
              <w:t xml:space="preserve"> </w:t>
            </w:r>
            <w:r>
              <w:rPr>
                <w:sz w:val="20"/>
                <w:szCs w:val="20"/>
              </w:rPr>
              <w:t xml:space="preserve">за</w:t>
            </w:r>
            <w:r>
              <w:rPr>
                <w:sz w:val="20"/>
                <w:szCs w:val="20"/>
              </w:rPr>
              <w:t xml:space="preserve"> </w:t>
            </w:r>
            <w:r>
              <w:rPr>
                <w:sz w:val="20"/>
                <w:szCs w:val="20"/>
              </w:rPr>
              <w:t xml:space="preserve">лист</w:t>
            </w:r>
            <w:r>
              <w:rPr>
                <w:sz w:val="20"/>
                <w:szCs w:val="20"/>
              </w:rPr>
            </w:r>
            <w:r>
              <w:rPr>
                <w:sz w:val="20"/>
                <w:szCs w:val="20"/>
              </w:rPr>
            </w:r>
          </w:p>
        </w:tc>
        <w:tc>
          <w:tcPr>
            <w:tcW w:w="3544" w:type="dxa"/>
            <w:vAlign w:val="top"/>
            <w:textDirection w:val="lrTb"/>
            <w:noWrap w:val="false"/>
          </w:tcPr>
          <w:p>
            <w:pPr>
              <w:pStyle w:val="1135"/>
              <w:rPr>
                <w:sz w:val="20"/>
                <w:szCs w:val="20"/>
              </w:rPr>
            </w:pPr>
            <w:r>
              <w:rPr>
                <w:sz w:val="20"/>
                <w:szCs w:val="20"/>
              </w:rPr>
              <w:t xml:space="preserve">Взимается</w:t>
            </w:r>
            <w:r>
              <w:rPr>
                <w:sz w:val="20"/>
                <w:szCs w:val="20"/>
              </w:rPr>
              <w:t xml:space="preserve"> </w:t>
            </w:r>
            <w:r>
              <w:rPr>
                <w:sz w:val="20"/>
                <w:szCs w:val="20"/>
              </w:rPr>
              <w:t xml:space="preserve">до</w:t>
            </w:r>
            <w:r>
              <w:rPr>
                <w:sz w:val="20"/>
                <w:szCs w:val="20"/>
              </w:rPr>
              <w:t xml:space="preserve"> </w:t>
            </w:r>
            <w:r>
              <w:rPr>
                <w:sz w:val="20"/>
                <w:szCs w:val="20"/>
              </w:rPr>
              <w:t xml:space="preserve">выдачи</w:t>
            </w:r>
            <w:r>
              <w:rPr>
                <w:sz w:val="20"/>
                <w:szCs w:val="20"/>
              </w:rPr>
              <w:t xml:space="preserve"> </w:t>
            </w:r>
            <w:r>
              <w:rPr>
                <w:sz w:val="20"/>
                <w:szCs w:val="20"/>
              </w:rPr>
              <w:t xml:space="preserve">кредита</w:t>
            </w:r>
            <w:r>
              <w:rPr>
                <w:sz w:val="20"/>
                <w:szCs w:val="20"/>
              </w:rPr>
              <w:t xml:space="preserve"> </w:t>
            </w:r>
            <w:r>
              <w:rPr>
                <w:sz w:val="20"/>
                <w:szCs w:val="20"/>
              </w:rPr>
              <w:t xml:space="preserve">с</w:t>
            </w:r>
            <w:r>
              <w:rPr>
                <w:sz w:val="20"/>
                <w:szCs w:val="20"/>
              </w:rPr>
              <w:t xml:space="preserve"> </w:t>
            </w:r>
            <w:r>
              <w:rPr>
                <w:sz w:val="20"/>
                <w:szCs w:val="20"/>
              </w:rPr>
              <w:t xml:space="preserve">целевым</w:t>
            </w:r>
            <w:r>
              <w:rPr>
                <w:sz w:val="20"/>
                <w:szCs w:val="20"/>
              </w:rPr>
              <w:t xml:space="preserve"> </w:t>
            </w:r>
            <w:r>
              <w:rPr>
                <w:sz w:val="20"/>
                <w:szCs w:val="20"/>
              </w:rPr>
              <w:t xml:space="preserve">назначением</w:t>
            </w:r>
            <w:r>
              <w:rPr>
                <w:sz w:val="20"/>
                <w:szCs w:val="20"/>
              </w:rPr>
              <w:t xml:space="preserve"> </w:t>
            </w:r>
            <w:r>
              <w:rPr>
                <w:sz w:val="20"/>
                <w:szCs w:val="20"/>
              </w:rPr>
              <w:t xml:space="preserve">-</w:t>
            </w:r>
            <w:r>
              <w:rPr>
                <w:sz w:val="20"/>
                <w:szCs w:val="20"/>
              </w:rPr>
              <w:t xml:space="preserve"> </w:t>
            </w:r>
            <w:r>
              <w:rPr>
                <w:sz w:val="20"/>
                <w:szCs w:val="20"/>
              </w:rPr>
              <w:t xml:space="preserve">на</w:t>
            </w:r>
            <w:r>
              <w:rPr>
                <w:sz w:val="20"/>
                <w:szCs w:val="20"/>
              </w:rPr>
              <w:t xml:space="preserve"> </w:t>
            </w:r>
            <w:r>
              <w:rPr>
                <w:sz w:val="20"/>
                <w:szCs w:val="20"/>
              </w:rPr>
              <w:t xml:space="preserve">приобретение</w:t>
            </w:r>
            <w:r>
              <w:rPr>
                <w:sz w:val="20"/>
                <w:szCs w:val="20"/>
              </w:rPr>
              <w:t xml:space="preserve"> </w:t>
            </w:r>
            <w:r>
              <w:rPr>
                <w:sz w:val="20"/>
                <w:szCs w:val="20"/>
              </w:rPr>
              <w:t xml:space="preserve">векселя</w:t>
            </w:r>
            <w:r>
              <w:rPr>
                <w:sz w:val="20"/>
                <w:szCs w:val="20"/>
              </w:rPr>
              <w:t xml:space="preserve"> </w:t>
            </w:r>
            <w:r>
              <w:rPr>
                <w:sz w:val="20"/>
                <w:szCs w:val="20"/>
              </w:rPr>
              <w:t xml:space="preserve">АО «Россельхозбанк»</w:t>
            </w:r>
            <w:r>
              <w:rPr>
                <w:sz w:val="20"/>
                <w:szCs w:val="20"/>
              </w:rPr>
              <w:t xml:space="preserve"> </w:t>
            </w:r>
            <w:r>
              <w:rPr>
                <w:sz w:val="20"/>
                <w:szCs w:val="20"/>
              </w:rPr>
              <w:t xml:space="preserve">серии</w:t>
            </w:r>
            <w:r>
              <w:rPr>
                <w:sz w:val="20"/>
                <w:szCs w:val="20"/>
              </w:rPr>
              <w:t xml:space="preserve"> </w:t>
            </w:r>
            <w:r>
              <w:rPr>
                <w:sz w:val="20"/>
                <w:szCs w:val="20"/>
              </w:rPr>
              <w:t xml:space="preserve">«К».</w:t>
            </w:r>
            <w:r>
              <w:rPr>
                <w:sz w:val="20"/>
                <w:szCs w:val="20"/>
              </w:rPr>
            </w:r>
            <w:r>
              <w:rPr>
                <w:sz w:val="20"/>
                <w:szCs w:val="20"/>
              </w:rPr>
            </w:r>
          </w:p>
          <w:p>
            <w:pPr>
              <w:pStyle w:val="1135"/>
              <w:rPr>
                <w:sz w:val="20"/>
                <w:szCs w:val="20"/>
              </w:rPr>
            </w:pPr>
            <w:r>
              <w:rPr>
                <w:sz w:val="20"/>
                <w:szCs w:val="20"/>
              </w:rPr>
              <w:t xml:space="preserve">Комиссия</w:t>
            </w:r>
            <w:r>
              <w:rPr>
                <w:sz w:val="20"/>
                <w:szCs w:val="20"/>
              </w:rPr>
              <w:t xml:space="preserve"> </w:t>
            </w:r>
            <w:r>
              <w:rPr>
                <w:sz w:val="20"/>
                <w:szCs w:val="20"/>
              </w:rPr>
              <w:t xml:space="preserve">включает</w:t>
            </w:r>
            <w:r>
              <w:rPr>
                <w:sz w:val="20"/>
                <w:szCs w:val="20"/>
              </w:rPr>
              <w:t xml:space="preserve"> </w:t>
            </w:r>
            <w:r>
              <w:rPr>
                <w:sz w:val="20"/>
                <w:szCs w:val="20"/>
              </w:rPr>
              <w:t xml:space="preserve">НДС</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vMerge w:val="continue"/>
            <w:textDirection w:val="lrTb"/>
            <w:noWrap w:val="false"/>
          </w:tcPr>
          <w:p>
            <w:pPr>
              <w:pStyle w:val="1135"/>
              <w:jc w:val="center"/>
              <w:rPr>
                <w:sz w:val="20"/>
                <w:szCs w:val="20"/>
              </w:rPr>
            </w:pPr>
            <w:r>
              <w:rPr>
                <w:sz w:val="20"/>
                <w:szCs w:val="20"/>
              </w:rPr>
            </w:r>
            <w:r>
              <w:rPr>
                <w:sz w:val="20"/>
                <w:szCs w:val="20"/>
              </w:rPr>
            </w:r>
            <w:r>
              <w:rPr>
                <w:sz w:val="20"/>
                <w:szCs w:val="20"/>
              </w:rPr>
            </w:r>
          </w:p>
        </w:tc>
        <w:tc>
          <w:tcPr>
            <w:tcW w:w="3969" w:type="dxa"/>
            <w:vAlign w:val="top"/>
            <w:textDirection w:val="lrTb"/>
            <w:noWrap w:val="false"/>
          </w:tcPr>
          <w:p>
            <w:pPr>
              <w:pStyle w:val="1135"/>
              <w:rPr>
                <w:sz w:val="20"/>
                <w:szCs w:val="20"/>
              </w:rPr>
            </w:pPr>
            <w:r>
              <w:rPr>
                <w:sz w:val="20"/>
                <w:szCs w:val="20"/>
              </w:rPr>
              <w:t xml:space="preserve">векселя</w:t>
            </w:r>
            <w:r>
              <w:rPr>
                <w:sz w:val="20"/>
                <w:szCs w:val="20"/>
              </w:rPr>
              <w:t xml:space="preserve"> </w:t>
            </w:r>
            <w:r>
              <w:rPr>
                <w:sz w:val="20"/>
                <w:szCs w:val="20"/>
              </w:rPr>
              <w:t xml:space="preserve">серии</w:t>
            </w:r>
            <w:r>
              <w:rPr>
                <w:sz w:val="20"/>
                <w:szCs w:val="20"/>
              </w:rPr>
              <w:t xml:space="preserve"> </w:t>
            </w:r>
            <w:r>
              <w:rPr>
                <w:sz w:val="20"/>
                <w:szCs w:val="20"/>
              </w:rPr>
              <w:t xml:space="preserve">«Д»</w:t>
            </w:r>
            <w:r>
              <w:rPr>
                <w:sz w:val="20"/>
                <w:szCs w:val="20"/>
              </w:rPr>
              <w:t xml:space="preserve"> </w:t>
            </w:r>
            <w:r>
              <w:rPr>
                <w:sz w:val="20"/>
                <w:szCs w:val="20"/>
              </w:rPr>
              <w:t xml:space="preserve">со</w:t>
            </w:r>
            <w:r>
              <w:rPr>
                <w:sz w:val="20"/>
                <w:szCs w:val="20"/>
              </w:rPr>
              <w:t xml:space="preserve"> </w:t>
            </w:r>
            <w:r>
              <w:rPr>
                <w:sz w:val="20"/>
                <w:szCs w:val="20"/>
              </w:rPr>
              <w:t xml:space="preserve">сроком</w:t>
            </w:r>
            <w:r>
              <w:rPr>
                <w:sz w:val="20"/>
                <w:szCs w:val="20"/>
              </w:rPr>
              <w:t xml:space="preserve"> </w:t>
            </w:r>
            <w:r>
              <w:rPr>
                <w:sz w:val="20"/>
                <w:szCs w:val="20"/>
              </w:rPr>
              <w:t xml:space="preserve">обращения:</w:t>
            </w:r>
            <w:r>
              <w:rPr>
                <w:sz w:val="20"/>
                <w:szCs w:val="20"/>
              </w:rPr>
            </w:r>
            <w:r>
              <w:rPr>
                <w:sz w:val="20"/>
                <w:szCs w:val="20"/>
              </w:rPr>
            </w:r>
          </w:p>
        </w:tc>
        <w:tc>
          <w:tcPr>
            <w:tcW w:w="1985" w:type="dxa"/>
            <w:vAlign w:val="top"/>
            <w:textDirection w:val="lrTb"/>
            <w:noWrap w:val="false"/>
          </w:tcPr>
          <w:p>
            <w:pPr>
              <w:pStyle w:val="1135"/>
              <w:jc w:val="center"/>
              <w:rPr>
                <w:sz w:val="20"/>
                <w:szCs w:val="20"/>
              </w:rPr>
            </w:pPr>
            <w:r>
              <w:rPr>
                <w:sz w:val="20"/>
                <w:szCs w:val="20"/>
              </w:rPr>
            </w:r>
            <w:r>
              <w:rPr>
                <w:sz w:val="20"/>
                <w:szCs w:val="20"/>
              </w:rPr>
            </w:r>
            <w:r>
              <w:rPr>
                <w:sz w:val="20"/>
                <w:szCs w:val="20"/>
              </w:rPr>
            </w:r>
          </w:p>
        </w:tc>
        <w:tc>
          <w:tcPr>
            <w:tcW w:w="3544" w:type="dxa"/>
            <w:vAlign w:val="top"/>
            <w:textDirection w:val="lrTb"/>
            <w:noWrap w:val="false"/>
          </w:tcPr>
          <w:p>
            <w:pPr>
              <w:pStyle w:val="113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0"/>
        </w:trPr>
        <w:tc>
          <w:tcPr>
            <w:tcW w:w="850" w:type="dxa"/>
            <w:vAlign w:val="top"/>
            <w:vMerge w:val="continue"/>
            <w:textDirection w:val="lrTb"/>
            <w:noWrap w:val="false"/>
          </w:tcPr>
          <w:p>
            <w:pPr>
              <w:pStyle w:val="1135"/>
              <w:jc w:val="center"/>
              <w:rPr>
                <w:sz w:val="20"/>
                <w:szCs w:val="20"/>
              </w:rPr>
            </w:pPr>
            <w:r>
              <w:rPr>
                <w:sz w:val="20"/>
                <w:szCs w:val="20"/>
              </w:rPr>
            </w:r>
            <w:r>
              <w:rPr>
                <w:sz w:val="20"/>
                <w:szCs w:val="20"/>
              </w:rPr>
            </w:r>
            <w:r>
              <w:rPr>
                <w:sz w:val="20"/>
                <w:szCs w:val="20"/>
              </w:rPr>
            </w:r>
          </w:p>
        </w:tc>
        <w:tc>
          <w:tcPr>
            <w:tcW w:w="3969" w:type="dxa"/>
            <w:vAlign w:val="top"/>
            <w:textDirection w:val="lrTb"/>
            <w:noWrap w:val="false"/>
          </w:tcPr>
          <w:p>
            <w:pPr>
              <w:pStyle w:val="1135"/>
              <w:rPr>
                <w:sz w:val="20"/>
                <w:szCs w:val="20"/>
              </w:rPr>
            </w:pPr>
            <w:r>
              <w:rPr>
                <w:sz w:val="20"/>
                <w:szCs w:val="20"/>
              </w:rPr>
              <w:t xml:space="preserve">«по</w:t>
            </w:r>
            <w:r>
              <w:rPr>
                <w:sz w:val="20"/>
                <w:szCs w:val="20"/>
              </w:rPr>
              <w:t xml:space="preserve"> </w:t>
            </w:r>
            <w:r>
              <w:rPr>
                <w:sz w:val="20"/>
                <w:szCs w:val="20"/>
              </w:rPr>
              <w:t xml:space="preserve">предъявлении»</w:t>
            </w:r>
            <w:r>
              <w:rPr>
                <w:sz w:val="20"/>
                <w:szCs w:val="20"/>
              </w:rPr>
            </w:r>
            <w:r>
              <w:rPr>
                <w:sz w:val="20"/>
                <w:szCs w:val="20"/>
              </w:rPr>
            </w:r>
          </w:p>
        </w:tc>
        <w:tc>
          <w:tcPr>
            <w:tcW w:w="1985" w:type="dxa"/>
            <w:vAlign w:val="top"/>
            <w:textDirection w:val="lrTb"/>
            <w:noWrap w:val="false"/>
          </w:tcPr>
          <w:p>
            <w:pPr>
              <w:pStyle w:val="1135"/>
              <w:jc w:val="center"/>
              <w:rPr>
                <w:sz w:val="20"/>
                <w:szCs w:val="20"/>
              </w:rPr>
            </w:pPr>
            <w:r>
              <w:rPr>
                <w:sz w:val="20"/>
                <w:szCs w:val="20"/>
              </w:rPr>
              <w:t xml:space="preserve">10%</w:t>
            </w:r>
            <w:r>
              <w:rPr>
                <w:sz w:val="20"/>
                <w:szCs w:val="20"/>
              </w:rPr>
              <w:t xml:space="preserve"> </w:t>
            </w:r>
            <w:r>
              <w:rPr>
                <w:sz w:val="20"/>
                <w:szCs w:val="20"/>
              </w:rPr>
              <w:t xml:space="preserve">от</w:t>
            </w:r>
            <w:r>
              <w:rPr>
                <w:sz w:val="20"/>
                <w:szCs w:val="20"/>
              </w:rPr>
              <w:t xml:space="preserve"> </w:t>
            </w:r>
            <w:r>
              <w:rPr>
                <w:sz w:val="20"/>
                <w:szCs w:val="20"/>
              </w:rPr>
              <w:t xml:space="preserve">номинала</w:t>
            </w:r>
            <w:r>
              <w:rPr>
                <w:sz w:val="20"/>
                <w:szCs w:val="20"/>
              </w:rPr>
              <w:t xml:space="preserve"> </w:t>
            </w:r>
            <w:r>
              <w:rPr>
                <w:sz w:val="20"/>
                <w:szCs w:val="20"/>
              </w:rPr>
              <w:t xml:space="preserve">векселя,</w:t>
            </w:r>
            <w:r>
              <w:rPr>
                <w:sz w:val="20"/>
                <w:szCs w:val="20"/>
              </w:rPr>
              <w:t xml:space="preserve"> </w:t>
            </w:r>
            <w:r>
              <w:rPr>
                <w:sz w:val="20"/>
                <w:szCs w:val="20"/>
              </w:rPr>
              <w:t xml:space="preserve">но</w:t>
            </w:r>
            <w:r>
              <w:rPr>
                <w:sz w:val="20"/>
                <w:szCs w:val="20"/>
              </w:rPr>
              <w:t xml:space="preserve"> </w:t>
            </w:r>
            <w:r>
              <w:rPr>
                <w:sz w:val="20"/>
                <w:szCs w:val="20"/>
              </w:rPr>
              <w:t xml:space="preserve">не</w:t>
            </w:r>
            <w:r>
              <w:rPr>
                <w:sz w:val="20"/>
                <w:szCs w:val="20"/>
              </w:rPr>
              <w:t xml:space="preserve"> </w:t>
            </w:r>
            <w:r>
              <w:rPr>
                <w:sz w:val="20"/>
                <w:szCs w:val="20"/>
              </w:rPr>
              <w:t xml:space="preserve">менее</w:t>
            </w:r>
            <w:r>
              <w:rPr>
                <w:sz w:val="20"/>
                <w:szCs w:val="20"/>
              </w:rPr>
              <w:t xml:space="preserve"> </w:t>
            </w:r>
            <w:r>
              <w:rPr>
                <w:sz w:val="20"/>
                <w:szCs w:val="20"/>
              </w:rPr>
              <w:t xml:space="preserve">100</w:t>
            </w:r>
            <w:r>
              <w:rPr>
                <w:sz w:val="20"/>
                <w:szCs w:val="20"/>
              </w:rPr>
              <w:t xml:space="preserve"> </w:t>
            </w:r>
            <w:r>
              <w:rPr>
                <w:sz w:val="20"/>
                <w:szCs w:val="20"/>
              </w:rPr>
              <w:t xml:space="preserve">руб.</w:t>
            </w:r>
            <w:r>
              <w:rPr>
                <w:sz w:val="20"/>
                <w:szCs w:val="20"/>
              </w:rPr>
            </w:r>
            <w:r>
              <w:rPr>
                <w:sz w:val="20"/>
                <w:szCs w:val="20"/>
              </w:rPr>
            </w:r>
          </w:p>
        </w:tc>
        <w:tc>
          <w:tcPr>
            <w:tcW w:w="3544" w:type="dxa"/>
            <w:vAlign w:val="top"/>
            <w:vMerge w:val="restart"/>
            <w:textDirection w:val="lrTb"/>
            <w:noWrap w:val="false"/>
          </w:tcPr>
          <w:p>
            <w:pPr>
              <w:pStyle w:val="1135"/>
              <w:rPr>
                <w:sz w:val="20"/>
                <w:szCs w:val="20"/>
              </w:rPr>
            </w:pPr>
            <w:r>
              <w:rPr>
                <w:sz w:val="20"/>
                <w:szCs w:val="20"/>
              </w:rPr>
              <w:t xml:space="preserve">Указанная</w:t>
            </w:r>
            <w:r>
              <w:rPr>
                <w:sz w:val="20"/>
                <w:szCs w:val="20"/>
              </w:rPr>
              <w:t xml:space="preserve"> </w:t>
            </w:r>
            <w:r>
              <w:rPr>
                <w:sz w:val="20"/>
                <w:szCs w:val="20"/>
              </w:rPr>
              <w:t xml:space="preserve">комиссия</w:t>
            </w:r>
            <w:r>
              <w:rPr>
                <w:sz w:val="20"/>
                <w:szCs w:val="20"/>
              </w:rPr>
              <w:t xml:space="preserve"> </w:t>
            </w:r>
            <w:r>
              <w:rPr>
                <w:sz w:val="20"/>
                <w:szCs w:val="20"/>
              </w:rPr>
              <w:t xml:space="preserve">облагается</w:t>
            </w:r>
            <w:r>
              <w:rPr>
                <w:sz w:val="20"/>
                <w:szCs w:val="20"/>
              </w:rPr>
              <w:t xml:space="preserve"> </w:t>
            </w:r>
            <w:r>
              <w:rPr>
                <w:sz w:val="20"/>
                <w:szCs w:val="20"/>
              </w:rPr>
              <w:t xml:space="preserve">НДС,</w:t>
            </w:r>
            <w:r>
              <w:rPr>
                <w:sz w:val="20"/>
                <w:szCs w:val="20"/>
              </w:rPr>
              <w:t xml:space="preserve"> </w:t>
            </w:r>
            <w:r>
              <w:rPr>
                <w:sz w:val="20"/>
                <w:szCs w:val="20"/>
              </w:rPr>
              <w:t xml:space="preserve">сумма</w:t>
            </w:r>
            <w:r>
              <w:rPr>
                <w:sz w:val="20"/>
                <w:szCs w:val="20"/>
              </w:rPr>
              <w:t xml:space="preserve"> </w:t>
            </w:r>
            <w:r>
              <w:rPr>
                <w:sz w:val="20"/>
                <w:szCs w:val="20"/>
              </w:rPr>
              <w:t xml:space="preserve">которого</w:t>
            </w:r>
            <w:r>
              <w:rPr>
                <w:sz w:val="20"/>
                <w:szCs w:val="20"/>
              </w:rPr>
              <w:t xml:space="preserve"> </w:t>
            </w:r>
            <w:r>
              <w:rPr>
                <w:sz w:val="20"/>
                <w:szCs w:val="20"/>
              </w:rPr>
              <w:t xml:space="preserve">взимается</w:t>
            </w:r>
            <w:r>
              <w:rPr>
                <w:sz w:val="20"/>
                <w:szCs w:val="20"/>
              </w:rPr>
              <w:t xml:space="preserve"> </w:t>
            </w:r>
            <w:r>
              <w:rPr>
                <w:sz w:val="20"/>
                <w:szCs w:val="20"/>
              </w:rPr>
              <w:t xml:space="preserve">дополнительно</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vMerge w:val="continue"/>
            <w:textDirection w:val="lrTb"/>
            <w:noWrap w:val="false"/>
          </w:tcPr>
          <w:p>
            <w:pPr>
              <w:pStyle w:val="1135"/>
              <w:jc w:val="center"/>
              <w:rPr>
                <w:sz w:val="20"/>
                <w:szCs w:val="20"/>
              </w:rPr>
            </w:pPr>
            <w:r>
              <w:rPr>
                <w:sz w:val="20"/>
                <w:szCs w:val="20"/>
              </w:rPr>
            </w:r>
            <w:r>
              <w:rPr>
                <w:sz w:val="20"/>
                <w:szCs w:val="20"/>
              </w:rPr>
            </w:r>
            <w:r>
              <w:rPr>
                <w:sz w:val="20"/>
                <w:szCs w:val="20"/>
              </w:rPr>
            </w:r>
          </w:p>
        </w:tc>
        <w:tc>
          <w:tcPr>
            <w:tcW w:w="3969" w:type="dxa"/>
            <w:vAlign w:val="top"/>
            <w:textDirection w:val="lrTb"/>
            <w:noWrap w:val="false"/>
          </w:tcPr>
          <w:p>
            <w:pPr>
              <w:pStyle w:val="1135"/>
              <w:rPr>
                <w:sz w:val="20"/>
                <w:szCs w:val="20"/>
              </w:rPr>
            </w:pPr>
            <w:r>
              <w:rPr>
                <w:sz w:val="20"/>
                <w:szCs w:val="20"/>
              </w:rPr>
              <w:t xml:space="preserve">«по предъявлении, но не ранее» и срочные векселя со сроком обращения менее 30 дней </w:t>
            </w:r>
            <w:r>
              <w:rPr>
                <w:sz w:val="20"/>
                <w:szCs w:val="20"/>
              </w:rPr>
            </w:r>
            <w:r>
              <w:rPr>
                <w:sz w:val="20"/>
                <w:szCs w:val="20"/>
              </w:rPr>
            </w:r>
          </w:p>
        </w:tc>
        <w:tc>
          <w:tcPr>
            <w:tcW w:w="1985" w:type="dxa"/>
            <w:vAlign w:val="top"/>
            <w:textDirection w:val="lrTb"/>
            <w:noWrap w:val="false"/>
          </w:tcPr>
          <w:p>
            <w:pPr>
              <w:pStyle w:val="1135"/>
              <w:jc w:val="center"/>
              <w:rPr>
                <w:sz w:val="20"/>
                <w:szCs w:val="20"/>
              </w:rPr>
            </w:pPr>
            <w:r>
              <w:rPr>
                <w:sz w:val="20"/>
                <w:szCs w:val="20"/>
              </w:rPr>
              <w:t xml:space="preserve">10% от номинала векселя, но не менее 100 руб.</w:t>
            </w:r>
            <w:r>
              <w:rPr>
                <w:sz w:val="20"/>
                <w:szCs w:val="20"/>
              </w:rPr>
            </w:r>
            <w:r>
              <w:rPr>
                <w:sz w:val="20"/>
                <w:szCs w:val="20"/>
              </w:rPr>
            </w:r>
          </w:p>
        </w:tc>
        <w:tc>
          <w:tcPr>
            <w:tcW w:w="3544" w:type="dxa"/>
            <w:vAlign w:val="top"/>
            <w:vMerge w:val="continue"/>
            <w:textDirection w:val="lrTb"/>
            <w:noWrap w:val="false"/>
          </w:tcPr>
          <w:p>
            <w:pPr>
              <w:pStyle w:val="113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vMerge w:val="continue"/>
            <w:textDirection w:val="lrTb"/>
            <w:noWrap w:val="false"/>
          </w:tcPr>
          <w:p>
            <w:pPr>
              <w:pStyle w:val="1135"/>
              <w:jc w:val="center"/>
              <w:rPr>
                <w:sz w:val="20"/>
                <w:szCs w:val="20"/>
              </w:rPr>
            </w:pPr>
            <w:r>
              <w:rPr>
                <w:sz w:val="20"/>
                <w:szCs w:val="20"/>
              </w:rPr>
            </w:r>
            <w:r>
              <w:rPr>
                <w:sz w:val="20"/>
                <w:szCs w:val="20"/>
              </w:rPr>
            </w:r>
            <w:r>
              <w:rPr>
                <w:sz w:val="20"/>
                <w:szCs w:val="20"/>
              </w:rPr>
            </w:r>
          </w:p>
        </w:tc>
        <w:tc>
          <w:tcPr>
            <w:tcW w:w="3969" w:type="dxa"/>
            <w:vAlign w:val="top"/>
            <w:textDirection w:val="lrTb"/>
            <w:noWrap w:val="false"/>
          </w:tcPr>
          <w:p>
            <w:pPr>
              <w:pStyle w:val="1135"/>
              <w:rPr>
                <w:sz w:val="20"/>
                <w:szCs w:val="20"/>
              </w:rPr>
            </w:pPr>
            <w:r>
              <w:rPr>
                <w:sz w:val="20"/>
                <w:szCs w:val="20"/>
              </w:rPr>
              <w:t xml:space="preserve">«по предъявлении, но не ранее» и срочные векселя со сроком обращения 30 дней и более</w:t>
            </w:r>
            <w:r>
              <w:rPr>
                <w:sz w:val="20"/>
                <w:szCs w:val="20"/>
              </w:rPr>
            </w:r>
            <w:r>
              <w:rPr>
                <w:sz w:val="20"/>
                <w:szCs w:val="20"/>
              </w:rPr>
            </w:r>
          </w:p>
        </w:tc>
        <w:tc>
          <w:tcPr>
            <w:tcW w:w="1985" w:type="dxa"/>
            <w:vAlign w:val="top"/>
            <w:textDirection w:val="lrTb"/>
            <w:noWrap w:val="false"/>
          </w:tcPr>
          <w:p>
            <w:pPr>
              <w:pStyle w:val="1135"/>
              <w:jc w:val="center"/>
              <w:rPr>
                <w:sz w:val="20"/>
                <w:szCs w:val="20"/>
              </w:rPr>
            </w:pPr>
            <w:r>
              <w:rPr>
                <w:sz w:val="20"/>
                <w:szCs w:val="20"/>
              </w:rPr>
              <w:t xml:space="preserve">Бесплатно</w:t>
            </w:r>
            <w:r>
              <w:rPr>
                <w:sz w:val="20"/>
                <w:szCs w:val="20"/>
              </w:rPr>
            </w:r>
            <w:r>
              <w:rPr>
                <w:sz w:val="20"/>
                <w:szCs w:val="20"/>
              </w:rPr>
            </w:r>
          </w:p>
        </w:tc>
        <w:tc>
          <w:tcPr>
            <w:tcW w:w="3544" w:type="dxa"/>
            <w:vAlign w:val="top"/>
            <w:textDirection w:val="lrTb"/>
            <w:noWrap w:val="false"/>
          </w:tcPr>
          <w:p>
            <w:pPr>
              <w:pStyle w:val="113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vMerge w:val="restart"/>
            <w:textDirection w:val="lrTb"/>
            <w:noWrap w:val="false"/>
          </w:tcPr>
          <w:p>
            <w:pPr>
              <w:pStyle w:val="1135"/>
              <w:jc w:val="center"/>
              <w:rPr>
                <w:sz w:val="20"/>
                <w:szCs w:val="20"/>
              </w:rPr>
            </w:pPr>
            <w:r>
              <w:rPr>
                <w:sz w:val="20"/>
                <w:szCs w:val="20"/>
              </w:rPr>
              <w:t xml:space="preserve">4.3.</w:t>
            </w:r>
            <w:r>
              <w:rPr>
                <w:sz w:val="20"/>
                <w:szCs w:val="20"/>
              </w:rPr>
            </w:r>
            <w:r>
              <w:rPr>
                <w:sz w:val="20"/>
                <w:szCs w:val="20"/>
              </w:rPr>
            </w:r>
          </w:p>
        </w:tc>
        <w:tc>
          <w:tcPr>
            <w:gridSpan w:val="3"/>
            <w:tcW w:w="9498" w:type="dxa"/>
            <w:vAlign w:val="top"/>
            <w:textDirection w:val="lrTb"/>
            <w:noWrap w:val="false"/>
          </w:tcPr>
          <w:p>
            <w:pPr>
              <w:pStyle w:val="1135"/>
              <w:jc w:val="center"/>
              <w:rPr>
                <w:sz w:val="20"/>
                <w:szCs w:val="20"/>
              </w:rPr>
            </w:pPr>
            <w:r>
              <w:rPr>
                <w:sz w:val="20"/>
                <w:szCs w:val="20"/>
              </w:rPr>
              <w:t xml:space="preserve">Проведение</w:t>
            </w:r>
            <w:r>
              <w:rPr>
                <w:sz w:val="20"/>
                <w:szCs w:val="20"/>
              </w:rPr>
              <w:t xml:space="preserve"> </w:t>
            </w:r>
            <w:r>
              <w:rPr>
                <w:sz w:val="20"/>
                <w:szCs w:val="20"/>
              </w:rPr>
              <w:t xml:space="preserve">залоговых</w:t>
            </w:r>
            <w:r>
              <w:rPr>
                <w:sz w:val="20"/>
                <w:szCs w:val="20"/>
              </w:rPr>
              <w:t xml:space="preserve"> </w:t>
            </w:r>
            <w:r>
              <w:rPr>
                <w:sz w:val="20"/>
                <w:szCs w:val="20"/>
              </w:rPr>
              <w:t xml:space="preserve">операций</w:t>
            </w:r>
            <w:r>
              <w:rPr>
                <w:sz w:val="20"/>
                <w:szCs w:val="20"/>
              </w:rPr>
              <w:t xml:space="preserve"> </w:t>
            </w:r>
            <w:r>
              <w:rPr>
                <w:sz w:val="20"/>
                <w:szCs w:val="20"/>
              </w:rPr>
              <w:t xml:space="preserve">с</w:t>
            </w:r>
            <w:r>
              <w:rPr>
                <w:sz w:val="20"/>
                <w:szCs w:val="20"/>
              </w:rPr>
              <w:t xml:space="preserve"> </w:t>
            </w:r>
            <w:r>
              <w:rPr>
                <w:sz w:val="20"/>
                <w:szCs w:val="20"/>
              </w:rPr>
              <w:t xml:space="preserve">векселем</w:t>
            </w:r>
            <w:r>
              <w:rPr>
                <w:sz w:val="20"/>
                <w:szCs w:val="20"/>
              </w:rPr>
              <w:t xml:space="preserve"> </w:t>
            </w:r>
            <w:r>
              <w:rPr>
                <w:sz w:val="20"/>
                <w:szCs w:val="20"/>
              </w:rPr>
              <w:t xml:space="preserve">АО «Россельхозбанк»</w:t>
            </w:r>
            <w:r>
              <w:rPr>
                <w:sz w:val="20"/>
                <w:szCs w:val="20"/>
              </w:rPr>
              <w:t xml:space="preserve"> </w:t>
            </w:r>
            <w:r>
              <w:rPr>
                <w:sz w:val="20"/>
                <w:szCs w:val="20"/>
              </w:rPr>
              <w:t xml:space="preserve">серии</w:t>
            </w:r>
            <w:r>
              <w:rPr>
                <w:sz w:val="20"/>
                <w:szCs w:val="20"/>
              </w:rPr>
              <w:t xml:space="preserve"> </w:t>
            </w:r>
            <w:r>
              <w:rPr>
                <w:sz w:val="20"/>
                <w:szCs w:val="20"/>
              </w:rPr>
              <w:t xml:space="preserve">«К»</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vMerge w:val="continue"/>
            <w:textDirection w:val="lrTb"/>
            <w:noWrap w:val="false"/>
          </w:tcPr>
          <w:p>
            <w:pPr>
              <w:pStyle w:val="1135"/>
              <w:jc w:val="center"/>
              <w:rPr>
                <w:sz w:val="20"/>
                <w:szCs w:val="20"/>
              </w:rPr>
            </w:pPr>
            <w:r>
              <w:rPr>
                <w:sz w:val="20"/>
                <w:szCs w:val="20"/>
              </w:rPr>
            </w:r>
            <w:r>
              <w:rPr>
                <w:sz w:val="20"/>
                <w:szCs w:val="20"/>
              </w:rPr>
            </w:r>
            <w:r>
              <w:rPr>
                <w:sz w:val="20"/>
                <w:szCs w:val="20"/>
              </w:rPr>
            </w:r>
          </w:p>
        </w:tc>
        <w:tc>
          <w:tcPr>
            <w:tcW w:w="3969" w:type="dxa"/>
            <w:vAlign w:val="top"/>
            <w:textDirection w:val="lrTb"/>
            <w:noWrap w:val="false"/>
          </w:tcPr>
          <w:p>
            <w:pPr>
              <w:pStyle w:val="1135"/>
              <w:rPr>
                <w:sz w:val="20"/>
                <w:szCs w:val="20"/>
              </w:rPr>
            </w:pPr>
            <w:r>
              <w:rPr>
                <w:sz w:val="20"/>
                <w:szCs w:val="20"/>
              </w:rPr>
              <w:t xml:space="preserve">Пересчет</w:t>
            </w:r>
            <w:r>
              <w:rPr>
                <w:sz w:val="20"/>
                <w:szCs w:val="20"/>
              </w:rPr>
              <w:t xml:space="preserve"> </w:t>
            </w:r>
            <w:r>
              <w:rPr>
                <w:sz w:val="20"/>
                <w:szCs w:val="20"/>
              </w:rPr>
              <w:t xml:space="preserve">и</w:t>
            </w:r>
            <w:r>
              <w:rPr>
                <w:sz w:val="20"/>
                <w:szCs w:val="20"/>
              </w:rPr>
              <w:t xml:space="preserve"> </w:t>
            </w:r>
            <w:r>
              <w:rPr>
                <w:sz w:val="20"/>
                <w:szCs w:val="20"/>
              </w:rPr>
              <w:t xml:space="preserve">проверка</w:t>
            </w:r>
            <w:r>
              <w:rPr>
                <w:sz w:val="20"/>
                <w:szCs w:val="20"/>
              </w:rPr>
              <w:t xml:space="preserve"> </w:t>
            </w:r>
            <w:r>
              <w:rPr>
                <w:sz w:val="20"/>
                <w:szCs w:val="20"/>
              </w:rPr>
              <w:t xml:space="preserve">векселей</w:t>
            </w:r>
            <w:r>
              <w:rPr>
                <w:sz w:val="20"/>
                <w:szCs w:val="20"/>
              </w:rPr>
              <w:t xml:space="preserve"> </w:t>
            </w:r>
            <w:r>
              <w:rPr>
                <w:sz w:val="20"/>
                <w:szCs w:val="20"/>
              </w:rPr>
              <w:t xml:space="preserve">«Россельхозбанк»</w:t>
            </w:r>
            <w:r>
              <w:rPr>
                <w:sz w:val="20"/>
                <w:szCs w:val="20"/>
              </w:rPr>
              <w:t xml:space="preserve"> </w:t>
            </w:r>
            <w:r>
              <w:rPr>
                <w:sz w:val="20"/>
                <w:szCs w:val="20"/>
              </w:rPr>
              <w:t xml:space="preserve">серии</w:t>
            </w:r>
            <w:r>
              <w:rPr>
                <w:sz w:val="20"/>
                <w:szCs w:val="20"/>
              </w:rPr>
              <w:t xml:space="preserve"> </w:t>
            </w:r>
            <w:r>
              <w:rPr>
                <w:sz w:val="20"/>
                <w:szCs w:val="20"/>
              </w:rPr>
              <w:t xml:space="preserve">«К»</w:t>
            </w:r>
            <w:r>
              <w:rPr>
                <w:sz w:val="20"/>
                <w:szCs w:val="20"/>
              </w:rPr>
              <w:t xml:space="preserve"> </w:t>
            </w:r>
            <w:r>
              <w:rPr>
                <w:sz w:val="20"/>
                <w:szCs w:val="20"/>
              </w:rPr>
              <w:t xml:space="preserve">головным</w:t>
            </w:r>
            <w:r>
              <w:rPr>
                <w:sz w:val="20"/>
                <w:szCs w:val="20"/>
              </w:rPr>
              <w:t xml:space="preserve"> </w:t>
            </w:r>
            <w:r>
              <w:rPr>
                <w:sz w:val="20"/>
                <w:szCs w:val="20"/>
              </w:rPr>
              <w:t xml:space="preserve">офисом</w:t>
            </w:r>
            <w:r>
              <w:rPr>
                <w:sz w:val="20"/>
                <w:szCs w:val="20"/>
              </w:rPr>
              <w:t xml:space="preserve"> </w:t>
            </w:r>
            <w:r>
              <w:rPr>
                <w:sz w:val="20"/>
                <w:szCs w:val="20"/>
              </w:rPr>
              <w:t xml:space="preserve">и</w:t>
            </w:r>
            <w:r>
              <w:rPr>
                <w:sz w:val="20"/>
                <w:szCs w:val="20"/>
              </w:rPr>
              <w:t xml:space="preserve"> </w:t>
            </w:r>
            <w:r>
              <w:rPr>
                <w:sz w:val="20"/>
                <w:szCs w:val="20"/>
              </w:rPr>
              <w:t xml:space="preserve">региональным</w:t>
            </w:r>
            <w:r>
              <w:rPr>
                <w:sz w:val="20"/>
                <w:szCs w:val="20"/>
              </w:rPr>
              <w:t xml:space="preserve"> </w:t>
            </w:r>
            <w:r>
              <w:rPr>
                <w:sz w:val="20"/>
                <w:szCs w:val="20"/>
              </w:rPr>
              <w:t xml:space="preserve">филиалом</w:t>
            </w:r>
            <w:r>
              <w:rPr>
                <w:sz w:val="20"/>
                <w:szCs w:val="20"/>
              </w:rPr>
              <w:t xml:space="preserve"> </w:t>
            </w:r>
            <w:r>
              <w:rPr>
                <w:sz w:val="20"/>
                <w:szCs w:val="20"/>
              </w:rPr>
              <w:t xml:space="preserve">АО «Россельхозбанк»</w:t>
            </w:r>
            <w:r>
              <w:rPr>
                <w:sz w:val="20"/>
                <w:szCs w:val="20"/>
              </w:rPr>
            </w:r>
            <w:r>
              <w:rPr>
                <w:sz w:val="20"/>
                <w:szCs w:val="20"/>
              </w:rPr>
            </w:r>
          </w:p>
        </w:tc>
        <w:tc>
          <w:tcPr>
            <w:tcW w:w="1985" w:type="dxa"/>
            <w:vAlign w:val="top"/>
            <w:textDirection w:val="lrTb"/>
            <w:noWrap w:val="false"/>
          </w:tcPr>
          <w:p>
            <w:pPr>
              <w:pStyle w:val="1135"/>
              <w:jc w:val="center"/>
              <w:rPr>
                <w:sz w:val="20"/>
                <w:szCs w:val="20"/>
              </w:rPr>
            </w:pPr>
            <w:r>
              <w:rPr>
                <w:sz w:val="20"/>
                <w:szCs w:val="20"/>
              </w:rPr>
              <w:t xml:space="preserve">3</w:t>
            </w:r>
            <w:r>
              <w:rPr>
                <w:sz w:val="20"/>
                <w:szCs w:val="20"/>
              </w:rPr>
              <w:t xml:space="preserve">1</w:t>
            </w:r>
            <w:r>
              <w:rPr>
                <w:sz w:val="20"/>
                <w:szCs w:val="20"/>
              </w:rPr>
              <w:t xml:space="preserve"> </w:t>
            </w:r>
            <w:r>
              <w:rPr>
                <w:sz w:val="20"/>
                <w:szCs w:val="20"/>
              </w:rPr>
              <w:t xml:space="preserve">руб.</w:t>
            </w:r>
            <w:r>
              <w:rPr>
                <w:sz w:val="20"/>
                <w:szCs w:val="20"/>
              </w:rPr>
              <w:t xml:space="preserve"> </w:t>
            </w:r>
            <w:r>
              <w:rPr>
                <w:sz w:val="20"/>
                <w:szCs w:val="20"/>
              </w:rPr>
              <w:t xml:space="preserve">за</w:t>
            </w:r>
            <w:r>
              <w:rPr>
                <w:sz w:val="20"/>
                <w:szCs w:val="20"/>
              </w:rPr>
              <w:t xml:space="preserve"> </w:t>
            </w:r>
            <w:r>
              <w:rPr>
                <w:sz w:val="20"/>
                <w:szCs w:val="20"/>
              </w:rPr>
              <w:t xml:space="preserve">лист</w:t>
            </w:r>
            <w:r>
              <w:rPr>
                <w:sz w:val="20"/>
                <w:szCs w:val="20"/>
              </w:rPr>
            </w:r>
            <w:r>
              <w:rPr>
                <w:sz w:val="20"/>
                <w:szCs w:val="20"/>
              </w:rPr>
            </w:r>
          </w:p>
        </w:tc>
        <w:tc>
          <w:tcPr>
            <w:tcW w:w="3544" w:type="dxa"/>
            <w:vAlign w:val="top"/>
            <w:textDirection w:val="lrTb"/>
            <w:noWrap w:val="false"/>
          </w:tcPr>
          <w:p>
            <w:pPr>
              <w:pStyle w:val="1135"/>
              <w:rPr>
                <w:sz w:val="20"/>
                <w:szCs w:val="20"/>
              </w:rPr>
            </w:pPr>
            <w:r>
              <w:rPr>
                <w:sz w:val="20"/>
                <w:szCs w:val="20"/>
              </w:rPr>
              <w:t xml:space="preserve">Взимается</w:t>
            </w:r>
            <w:r>
              <w:rPr>
                <w:sz w:val="20"/>
                <w:szCs w:val="20"/>
              </w:rPr>
              <w:t xml:space="preserve"> </w:t>
            </w:r>
            <w:r>
              <w:rPr>
                <w:sz w:val="20"/>
                <w:szCs w:val="20"/>
              </w:rPr>
              <w:t xml:space="preserve">при</w:t>
            </w:r>
            <w:r>
              <w:rPr>
                <w:sz w:val="20"/>
                <w:szCs w:val="20"/>
              </w:rPr>
              <w:t xml:space="preserve"> </w:t>
            </w:r>
            <w:r>
              <w:rPr>
                <w:sz w:val="20"/>
                <w:szCs w:val="20"/>
              </w:rPr>
              <w:t xml:space="preserve">передаче</w:t>
            </w:r>
            <w:r>
              <w:rPr>
                <w:sz w:val="20"/>
                <w:szCs w:val="20"/>
              </w:rPr>
              <w:t xml:space="preserve"> </w:t>
            </w:r>
            <w:r>
              <w:rPr>
                <w:sz w:val="20"/>
                <w:szCs w:val="20"/>
              </w:rPr>
              <w:t xml:space="preserve">векселя</w:t>
            </w:r>
            <w:r>
              <w:rPr>
                <w:sz w:val="20"/>
                <w:szCs w:val="20"/>
              </w:rPr>
              <w:t xml:space="preserve"> </w:t>
            </w:r>
            <w:r>
              <w:rPr>
                <w:sz w:val="20"/>
                <w:szCs w:val="20"/>
              </w:rPr>
              <w:t xml:space="preserve">АО «Россельхозбанк»</w:t>
            </w:r>
            <w:r>
              <w:rPr>
                <w:sz w:val="20"/>
                <w:szCs w:val="20"/>
              </w:rPr>
              <w:t xml:space="preserve"> </w:t>
            </w:r>
            <w:r>
              <w:rPr>
                <w:sz w:val="20"/>
                <w:szCs w:val="20"/>
              </w:rPr>
              <w:t xml:space="preserve">в</w:t>
            </w:r>
            <w:r>
              <w:rPr>
                <w:sz w:val="20"/>
                <w:szCs w:val="20"/>
              </w:rPr>
              <w:t xml:space="preserve"> </w:t>
            </w:r>
            <w:r>
              <w:rPr>
                <w:sz w:val="20"/>
                <w:szCs w:val="20"/>
              </w:rPr>
              <w:t xml:space="preserve">заклад</w:t>
            </w:r>
            <w:r>
              <w:rPr>
                <w:sz w:val="20"/>
                <w:szCs w:val="20"/>
              </w:rPr>
              <w:t xml:space="preserve"> </w:t>
            </w:r>
            <w:r>
              <w:rPr>
                <w:sz w:val="20"/>
                <w:szCs w:val="20"/>
              </w:rPr>
              <w:t xml:space="preserve">Банку.</w:t>
            </w:r>
            <w:r>
              <w:rPr>
                <w:sz w:val="20"/>
                <w:szCs w:val="20"/>
              </w:rPr>
              <w:t xml:space="preserve"> </w:t>
            </w:r>
            <w:r>
              <w:rPr>
                <w:sz w:val="20"/>
                <w:szCs w:val="20"/>
              </w:rPr>
            </w:r>
            <w:r>
              <w:rPr>
                <w:sz w:val="20"/>
                <w:szCs w:val="20"/>
              </w:rPr>
            </w:r>
          </w:p>
          <w:p>
            <w:pPr>
              <w:pStyle w:val="1135"/>
              <w:rPr>
                <w:sz w:val="20"/>
                <w:szCs w:val="20"/>
              </w:rPr>
            </w:pPr>
            <w:r>
              <w:rPr>
                <w:sz w:val="20"/>
                <w:szCs w:val="20"/>
              </w:rPr>
              <w:t xml:space="preserve">Комиссия</w:t>
            </w:r>
            <w:r>
              <w:rPr>
                <w:sz w:val="20"/>
                <w:szCs w:val="20"/>
              </w:rPr>
              <w:t xml:space="preserve"> </w:t>
            </w:r>
            <w:r>
              <w:rPr>
                <w:sz w:val="20"/>
                <w:szCs w:val="20"/>
              </w:rPr>
              <w:t xml:space="preserve">включает</w:t>
            </w:r>
            <w:r>
              <w:rPr>
                <w:sz w:val="20"/>
                <w:szCs w:val="20"/>
              </w:rPr>
              <w:t xml:space="preserve"> </w:t>
            </w:r>
            <w:r>
              <w:rPr>
                <w:sz w:val="20"/>
                <w:szCs w:val="20"/>
              </w:rPr>
              <w:t xml:space="preserve">НДС</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1135"/>
              <w:jc w:val="center"/>
              <w:rPr>
                <w:sz w:val="20"/>
                <w:szCs w:val="20"/>
              </w:rPr>
            </w:pPr>
            <w:r>
              <w:rPr>
                <w:sz w:val="20"/>
                <w:szCs w:val="20"/>
              </w:rPr>
              <w:t xml:space="preserve">4.4.</w:t>
            </w:r>
            <w:r>
              <w:rPr>
                <w:sz w:val="20"/>
                <w:szCs w:val="20"/>
              </w:rPr>
            </w:r>
            <w:r>
              <w:rPr>
                <w:sz w:val="20"/>
                <w:szCs w:val="20"/>
              </w:rPr>
            </w:r>
          </w:p>
        </w:tc>
        <w:tc>
          <w:tcPr>
            <w:tcW w:w="3969" w:type="dxa"/>
            <w:vAlign w:val="top"/>
            <w:textDirection w:val="lrTb"/>
            <w:noWrap w:val="false"/>
          </w:tcPr>
          <w:p>
            <w:pPr>
              <w:pStyle w:val="1135"/>
              <w:rPr>
                <w:sz w:val="20"/>
                <w:szCs w:val="20"/>
              </w:rPr>
            </w:pPr>
            <w:r>
              <w:rPr>
                <w:sz w:val="20"/>
                <w:szCs w:val="20"/>
              </w:rPr>
              <w:t xml:space="preserve">Предоставление копий сообщений и иных документов, обязательное раскрытие которых предусмотрено Положением Банка России от </w:t>
            </w:r>
            <w:r>
              <w:rPr>
                <w:sz w:val="20"/>
                <w:szCs w:val="20"/>
              </w:rPr>
              <w:t xml:space="preserve">27</w:t>
            </w:r>
            <w:r>
              <w:rPr>
                <w:sz w:val="20"/>
                <w:szCs w:val="20"/>
              </w:rPr>
              <w:t xml:space="preserve">.</w:t>
            </w:r>
            <w:r>
              <w:rPr>
                <w:sz w:val="20"/>
                <w:szCs w:val="20"/>
              </w:rPr>
              <w:t xml:space="preserve">03</w:t>
            </w:r>
            <w:r>
              <w:rPr>
                <w:sz w:val="20"/>
                <w:szCs w:val="20"/>
              </w:rPr>
              <w:t xml:space="preserve">.20</w:t>
            </w:r>
            <w:r>
              <w:rPr>
                <w:sz w:val="20"/>
                <w:szCs w:val="20"/>
              </w:rPr>
              <w:t xml:space="preserve">20</w:t>
            </w:r>
            <w:r>
              <w:rPr>
                <w:sz w:val="20"/>
                <w:szCs w:val="20"/>
              </w:rPr>
              <w:t xml:space="preserve"> № </w:t>
            </w:r>
            <w:r>
              <w:rPr>
                <w:sz w:val="20"/>
                <w:szCs w:val="20"/>
              </w:rPr>
              <w:t xml:space="preserve">714</w:t>
            </w:r>
            <w:r>
              <w:rPr>
                <w:sz w:val="20"/>
                <w:szCs w:val="20"/>
              </w:rPr>
              <w:t xml:space="preserve">-П «О раскрытии информации эмитентами эмиссионных ценных бумаг», владельцам ценных бумаг Банка и иным заинтересованным лицам по их требованию, составленному в произвольной письменной форме</w:t>
            </w:r>
            <w:r>
              <w:rPr>
                <w:sz w:val="20"/>
                <w:szCs w:val="20"/>
              </w:rPr>
            </w:r>
            <w:r>
              <w:rPr>
                <w:sz w:val="20"/>
                <w:szCs w:val="20"/>
              </w:rPr>
            </w:r>
          </w:p>
        </w:tc>
        <w:tc>
          <w:tcPr>
            <w:tcW w:w="1985" w:type="dxa"/>
            <w:vAlign w:val="top"/>
            <w:textDirection w:val="lrTb"/>
            <w:noWrap w:val="false"/>
          </w:tcPr>
          <w:p>
            <w:pPr>
              <w:pStyle w:val="1135"/>
              <w:jc w:val="center"/>
              <w:rPr>
                <w:sz w:val="20"/>
                <w:szCs w:val="20"/>
              </w:rPr>
            </w:pPr>
            <w:r>
              <w:rPr>
                <w:sz w:val="20"/>
                <w:szCs w:val="20"/>
              </w:rPr>
              <w:t xml:space="preserve">1</w:t>
            </w:r>
            <w:r>
              <w:rPr>
                <w:sz w:val="20"/>
                <w:szCs w:val="20"/>
              </w:rPr>
              <w:t xml:space="preserve">1</w:t>
            </w:r>
            <w:r>
              <w:rPr>
                <w:sz w:val="20"/>
                <w:szCs w:val="20"/>
              </w:rPr>
              <w:t xml:space="preserve"> руб. за один лист с односторонним расположением текста</w:t>
            </w:r>
            <w:r>
              <w:rPr>
                <w:sz w:val="20"/>
                <w:szCs w:val="20"/>
              </w:rPr>
            </w:r>
            <w:r>
              <w:rPr>
                <w:sz w:val="20"/>
                <w:szCs w:val="20"/>
              </w:rPr>
            </w:r>
          </w:p>
        </w:tc>
        <w:tc>
          <w:tcPr>
            <w:tcW w:w="3544" w:type="dxa"/>
            <w:vAlign w:val="top"/>
            <w:textDirection w:val="lrTb"/>
            <w:noWrap w:val="false"/>
          </w:tcPr>
          <w:p>
            <w:pPr>
              <w:pStyle w:val="1135"/>
              <w:rPr>
                <w:sz w:val="20"/>
                <w:szCs w:val="20"/>
              </w:rPr>
            </w:pPr>
            <w:r>
              <w:rPr>
                <w:sz w:val="20"/>
                <w:szCs w:val="20"/>
              </w:rPr>
              <w:t xml:space="preserve">Комиссия включает НДС.</w:t>
            </w:r>
            <w:r>
              <w:rPr>
                <w:sz w:val="20"/>
                <w:szCs w:val="20"/>
              </w:rPr>
            </w:r>
            <w:r>
              <w:rPr>
                <w:sz w:val="20"/>
                <w:szCs w:val="20"/>
              </w:rPr>
            </w:r>
          </w:p>
          <w:p>
            <w:pPr>
              <w:pStyle w:val="1135"/>
              <w:rPr>
                <w:sz w:val="20"/>
                <w:szCs w:val="20"/>
              </w:rPr>
            </w:pPr>
            <w:r>
              <w:rPr>
                <w:sz w:val="20"/>
                <w:szCs w:val="20"/>
              </w:rPr>
              <w:t xml:space="preserve">Выдача копий документов производится в течение 7 дней с даты получения АО «Россельхозбанк» соответствующего требования. Услуга предоставляется после подтверждения факта оплаты комиссии.</w:t>
            </w:r>
            <w:r>
              <w:rPr>
                <w:sz w:val="20"/>
                <w:szCs w:val="20"/>
              </w:rPr>
            </w:r>
            <w:r>
              <w:rPr>
                <w:sz w:val="20"/>
                <w:szCs w:val="20"/>
              </w:rPr>
            </w:r>
          </w:p>
          <w:p>
            <w:pPr>
              <w:pStyle w:val="1135"/>
              <w:rPr>
                <w:sz w:val="20"/>
                <w:szCs w:val="20"/>
              </w:rPr>
            </w:pPr>
            <w:r>
              <w:rPr>
                <w:sz w:val="20"/>
                <w:szCs w:val="20"/>
              </w:rPr>
              <w:t xml:space="preserve">Банковские реквизиты для оплаты комиссии (расходов по изготовлению копий документов, предоставляемых АО «Россельхозбанк» владельцам ценных бумаг и иным лицам в соответствии с законодательством), представлены на сайте Банка сети Интернет»</w:t>
            </w:r>
            <w:r>
              <w:rPr>
                <w:sz w:val="20"/>
                <w:szCs w:val="20"/>
              </w:rPr>
            </w:r>
            <w:r>
              <w:rPr>
                <w:sz w:val="20"/>
                <w:szCs w:val="20"/>
              </w:rPr>
            </w:r>
          </w:p>
        </w:tc>
      </w:tr>
    </w:tbl>
    <w:p>
      <w:pPr>
        <w:pStyle w:val="1135"/>
      </w:pPr>
      <w:r/>
      <w:r/>
    </w:p>
    <w:p>
      <w:pPr>
        <w:pStyle w:val="1139"/>
      </w:pPr>
      <w:r>
        <w:t xml:space="preserve">5.</w:t>
      </w:r>
      <w:r>
        <w:t xml:space="preserve"> </w:t>
      </w:r>
      <w:r>
        <w:t xml:space="preserve">Документарные</w:t>
      </w:r>
      <w:r>
        <w:t xml:space="preserve"> </w:t>
      </w:r>
      <w:r>
        <w:t xml:space="preserve">операции</w:t>
      </w: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0"/>
        <w:gridCol w:w="3969"/>
        <w:gridCol w:w="1985"/>
        <w:gridCol w:w="35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35"/>
              <w:jc w:val="center"/>
              <w:rPr>
                <w:b/>
                <w:sz w:val="20"/>
                <w:szCs w:val="20"/>
              </w:rPr>
            </w:pPr>
            <w:r>
              <w:rPr>
                <w:b/>
                <w:sz w:val="20"/>
                <w:szCs w:val="20"/>
              </w:rPr>
              <w:t xml:space="preserve">№ п/п</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35"/>
              <w:jc w:val="center"/>
              <w:rPr>
                <w:b/>
                <w:sz w:val="20"/>
                <w:szCs w:val="20"/>
              </w:rPr>
            </w:pPr>
            <w:r>
              <w:rPr>
                <w:b/>
                <w:sz w:val="20"/>
                <w:szCs w:val="20"/>
              </w:rPr>
              <w:t xml:space="preserve">Наименование услуги</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35"/>
              <w:jc w:val="center"/>
              <w:rPr>
                <w:b/>
                <w:sz w:val="20"/>
                <w:szCs w:val="20"/>
              </w:rPr>
            </w:pPr>
            <w:r>
              <w:rPr>
                <w:b/>
                <w:sz w:val="20"/>
                <w:szCs w:val="20"/>
              </w:rPr>
              <w:t xml:space="preserve">Тариф</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35"/>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4"/>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1135"/>
              <w:jc w:val="center"/>
              <w:rPr>
                <w:sz w:val="20"/>
                <w:szCs w:val="20"/>
              </w:rPr>
            </w:pPr>
            <w:r>
              <w:rPr>
                <w:sz w:val="20"/>
                <w:szCs w:val="20"/>
              </w:rPr>
              <w:t xml:space="preserve">5.1.</w:t>
            </w:r>
            <w:r>
              <w:rPr>
                <w:sz w:val="20"/>
                <w:szCs w:val="20"/>
              </w:rPr>
              <w:t xml:space="preserve"> </w:t>
            </w:r>
            <w:r>
              <w:rPr>
                <w:sz w:val="20"/>
                <w:szCs w:val="20"/>
              </w:rPr>
              <w:t xml:space="preserve">Аккредитивы в рублях для расчетов на территории Российской Федерации</w:t>
            </w:r>
            <w:r>
              <w:rPr>
                <w:sz w:val="20"/>
                <w:szCs w:val="20"/>
              </w:rPr>
            </w:r>
            <w:r>
              <w:rPr>
                <w:sz w:val="20"/>
                <w:szCs w:val="20"/>
              </w:rPr>
            </w:r>
          </w:p>
          <w:p>
            <w:pPr>
              <w:pStyle w:val="1135"/>
              <w:jc w:val="center"/>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35"/>
              <w:jc w:val="center"/>
              <w:rPr>
                <w:sz w:val="20"/>
                <w:szCs w:val="20"/>
              </w:rPr>
            </w:pPr>
            <w:r>
              <w:rPr>
                <w:sz w:val="20"/>
                <w:szCs w:val="20"/>
              </w:rPr>
              <w:t xml:space="preserve">5.1.1.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35"/>
              <w:numPr>
                <w:ilvl w:val="0"/>
                <w:numId w:val="25"/>
              </w:numPr>
              <w:ind w:left="184" w:hanging="153"/>
              <w:jc w:val="both"/>
              <w:spacing w:before="40"/>
              <w:rPr>
                <w:bCs/>
                <w:color w:val="000000"/>
                <w:sz w:val="20"/>
                <w:szCs w:val="20"/>
              </w:rPr>
            </w:pPr>
            <w:r>
              <w:rPr>
                <w:bCs/>
                <w:color w:val="000000"/>
                <w:sz w:val="20"/>
                <w:szCs w:val="20"/>
              </w:rPr>
              <w:t xml:space="preserve">Авизование аккредитива; </w:t>
            </w:r>
            <w:r>
              <w:rPr>
                <w:bCs/>
                <w:color w:val="000000"/>
                <w:sz w:val="20"/>
                <w:szCs w:val="20"/>
              </w:rPr>
            </w:r>
            <w:r>
              <w:rPr>
                <w:bCs/>
                <w:color w:val="000000"/>
                <w:sz w:val="20"/>
                <w:szCs w:val="20"/>
              </w:rPr>
            </w:r>
          </w:p>
          <w:p>
            <w:pPr>
              <w:pStyle w:val="1135"/>
              <w:numPr>
                <w:ilvl w:val="0"/>
                <w:numId w:val="25"/>
              </w:numPr>
              <w:ind w:left="184" w:hanging="153"/>
              <w:jc w:val="both"/>
              <w:spacing w:before="40"/>
              <w:rPr>
                <w:bCs/>
                <w:color w:val="000000"/>
              </w:rPr>
            </w:pPr>
            <w:r>
              <w:rPr>
                <w:bCs/>
                <w:color w:val="000000"/>
                <w:sz w:val="20"/>
                <w:szCs w:val="20"/>
              </w:rPr>
              <w:t xml:space="preserve">авизование изменения условий ранее авизованного аккредитива, связанного с увеличением его суммы</w:t>
            </w:r>
            <w:r>
              <w:rPr>
                <w:bCs/>
                <w:color w:val="000000"/>
              </w:rPr>
            </w:r>
            <w:r>
              <w:rPr>
                <w:bCs/>
                <w:color w:val="00000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35"/>
              <w:jc w:val="center"/>
              <w:rPr>
                <w:sz w:val="20"/>
                <w:szCs w:val="20"/>
              </w:rPr>
            </w:pPr>
            <w:r>
              <w:rPr>
                <w:sz w:val="20"/>
                <w:szCs w:val="20"/>
              </w:rPr>
              <w:t xml:space="preserve">0,1% от суммы аккредитива или ее увеличения,</w:t>
            </w:r>
            <w:r>
              <w:rPr>
                <w:sz w:val="20"/>
                <w:szCs w:val="20"/>
              </w:rPr>
            </w:r>
            <w:r>
              <w:rPr>
                <w:sz w:val="20"/>
                <w:szCs w:val="20"/>
              </w:rPr>
            </w:r>
          </w:p>
          <w:p>
            <w:pPr>
              <w:pStyle w:val="1135"/>
              <w:jc w:val="center"/>
              <w:rPr>
                <w:sz w:val="20"/>
                <w:szCs w:val="20"/>
              </w:rPr>
            </w:pPr>
            <w:r>
              <w:rPr>
                <w:sz w:val="20"/>
                <w:szCs w:val="20"/>
              </w:rPr>
              <w:t xml:space="preserve">минимум 1000 руб.,</w:t>
            </w:r>
            <w:r>
              <w:rPr>
                <w:sz w:val="20"/>
                <w:szCs w:val="20"/>
              </w:rPr>
            </w:r>
            <w:r>
              <w:rPr>
                <w:sz w:val="20"/>
                <w:szCs w:val="20"/>
              </w:rPr>
            </w:r>
          </w:p>
          <w:p>
            <w:pPr>
              <w:pStyle w:val="1135"/>
              <w:jc w:val="center"/>
              <w:rPr>
                <w:sz w:val="20"/>
                <w:szCs w:val="20"/>
              </w:rPr>
            </w:pPr>
            <w:r>
              <w:rPr>
                <w:sz w:val="20"/>
                <w:szCs w:val="20"/>
              </w:rPr>
              <w:t xml:space="preserve">максимум 10000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35"/>
              <w:rPr>
                <w:sz w:val="20"/>
                <w:szCs w:val="20"/>
              </w:rPr>
            </w:pPr>
            <w:r>
              <w:rPr>
                <w:sz w:val="20"/>
                <w:szCs w:val="20"/>
              </w:rPr>
              <w:t xml:space="preserve">Комиссия не взимается в случае открытия и авизования аккредитива одним и тем же региональным филиалом Банка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365"/>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35"/>
              <w:jc w:val="center"/>
              <w:rPr>
                <w:sz w:val="20"/>
                <w:szCs w:val="20"/>
              </w:rPr>
            </w:pPr>
            <w:r>
              <w:rPr>
                <w:sz w:val="20"/>
                <w:szCs w:val="20"/>
              </w:rPr>
              <w:t xml:space="preserve">5.1.2.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35"/>
              <w:numPr>
                <w:ilvl w:val="0"/>
                <w:numId w:val="25"/>
              </w:numPr>
              <w:ind w:left="184" w:hanging="153"/>
              <w:jc w:val="both"/>
              <w:spacing w:before="40"/>
              <w:rPr>
                <w:bCs/>
                <w:color w:val="000000"/>
                <w:sz w:val="20"/>
                <w:szCs w:val="20"/>
              </w:rPr>
            </w:pPr>
            <w:r>
              <w:rPr>
                <w:bCs/>
                <w:color w:val="000000"/>
                <w:sz w:val="20"/>
                <w:szCs w:val="20"/>
              </w:rPr>
              <w:t xml:space="preserve">Открытие,</w:t>
            </w:r>
            <w:r>
              <w:rPr>
                <w:bCs/>
                <w:color w:val="000000"/>
                <w:sz w:val="20"/>
                <w:szCs w:val="20"/>
              </w:rPr>
            </w:r>
            <w:r>
              <w:rPr>
                <w:bCs/>
                <w:color w:val="000000"/>
                <w:sz w:val="20"/>
                <w:szCs w:val="20"/>
              </w:rPr>
            </w:r>
          </w:p>
          <w:p>
            <w:pPr>
              <w:pStyle w:val="1135"/>
              <w:numPr>
                <w:ilvl w:val="0"/>
                <w:numId w:val="25"/>
              </w:numPr>
              <w:ind w:left="184" w:hanging="153"/>
              <w:jc w:val="both"/>
              <w:spacing w:before="40"/>
              <w:rPr>
                <w:bCs/>
                <w:color w:val="000000"/>
                <w:sz w:val="20"/>
                <w:szCs w:val="20"/>
              </w:rPr>
            </w:pPr>
            <w:r>
              <w:rPr>
                <w:bCs/>
                <w:color w:val="000000"/>
                <w:sz w:val="20"/>
                <w:szCs w:val="20"/>
              </w:rPr>
              <w:t xml:space="preserve">увеличение суммы,</w:t>
            </w:r>
            <w:r>
              <w:rPr>
                <w:bCs/>
                <w:color w:val="000000"/>
                <w:sz w:val="20"/>
                <w:szCs w:val="20"/>
              </w:rPr>
            </w:r>
            <w:r>
              <w:rPr>
                <w:bCs/>
                <w:color w:val="000000"/>
                <w:sz w:val="20"/>
                <w:szCs w:val="20"/>
              </w:rPr>
            </w:r>
          </w:p>
          <w:p>
            <w:pPr>
              <w:pStyle w:val="1135"/>
              <w:numPr>
                <w:ilvl w:val="0"/>
                <w:numId w:val="25"/>
              </w:numPr>
              <w:ind w:left="184" w:hanging="153"/>
              <w:jc w:val="both"/>
              <w:spacing w:before="40"/>
              <w:rPr>
                <w:bCs/>
                <w:color w:val="000000"/>
                <w:sz w:val="20"/>
                <w:szCs w:val="20"/>
              </w:rPr>
            </w:pPr>
            <w:r>
              <w:rPr>
                <w:bCs/>
                <w:color w:val="000000"/>
                <w:sz w:val="20"/>
                <w:szCs w:val="20"/>
              </w:rPr>
              <w:t xml:space="preserve">продление срока действия аккредитива на срок, выходящий за пределы периода, комиссия за который оплачена ранее</w:t>
            </w:r>
            <w:r>
              <w:rPr>
                <w:bCs/>
                <w:color w:val="000000"/>
                <w:sz w:val="20"/>
                <w:szCs w:val="20"/>
              </w:rPr>
            </w:r>
            <w:r>
              <w:rPr>
                <w:bCs/>
                <w:color w:val="000000"/>
                <w:sz w:val="20"/>
                <w:szCs w:val="20"/>
              </w:rPr>
            </w:r>
          </w:p>
          <w:p>
            <w:pPr>
              <w:pStyle w:val="1135"/>
              <w:ind w:left="184"/>
              <w:jc w:val="both"/>
              <w:spacing w:before="40"/>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35"/>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3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73"/>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35"/>
              <w:jc w:val="center"/>
              <w:rPr>
                <w:sz w:val="20"/>
                <w:szCs w:val="20"/>
                <w:lang w:val="en-US"/>
              </w:rPr>
            </w:pPr>
            <w:r>
              <w:rPr>
                <w:sz w:val="20"/>
                <w:szCs w:val="20"/>
                <w:lang w:val="en-US"/>
              </w:rPr>
              <w:t xml:space="preserve">5.1.2.1.</w:t>
            </w:r>
            <w:r>
              <w:rPr>
                <w:sz w:val="20"/>
                <w:szCs w:val="20"/>
                <w:lang w:val="en-US"/>
              </w:rPr>
            </w:r>
            <w:r>
              <w:rPr>
                <w:sz w:val="20"/>
                <w:szCs w:val="20"/>
                <w:lang w:val="en-US"/>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35"/>
              <w:ind w:left="184"/>
              <w:jc w:val="both"/>
              <w:spacing w:before="40"/>
              <w:rPr>
                <w:bCs/>
                <w:color w:val="000000"/>
                <w:sz w:val="20"/>
                <w:szCs w:val="20"/>
              </w:rPr>
            </w:pPr>
            <w:r>
              <w:rPr>
                <w:bCs/>
                <w:color w:val="000000"/>
                <w:sz w:val="20"/>
                <w:szCs w:val="20"/>
              </w:rPr>
              <w:t xml:space="preserve">При наличии 100% денежного покрытия:</w:t>
            </w:r>
            <w:r>
              <w:rPr>
                <w:bCs/>
                <w:color w:val="000000"/>
                <w:sz w:val="20"/>
                <w:szCs w:val="20"/>
              </w:rPr>
            </w:r>
            <w:r>
              <w:rPr>
                <w:bCs/>
                <w:color w:val="000000"/>
                <w:sz w:val="20"/>
                <w:szCs w:val="20"/>
              </w:rPr>
            </w:r>
          </w:p>
          <w:p>
            <w:pPr>
              <w:pStyle w:val="1135"/>
              <w:ind w:left="184"/>
              <w:jc w:val="both"/>
              <w:spacing w:before="40"/>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35"/>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right w:val="single" w:color="000000" w:sz="4" w:space="0"/>
            </w:tcBorders>
            <w:tcW w:w="3544" w:type="dxa"/>
            <w:vAlign w:val="top"/>
            <w:vMerge w:val="restart"/>
            <w:textDirection w:val="lrTb"/>
            <w:noWrap w:val="false"/>
          </w:tcPr>
          <w:p>
            <w:pPr>
              <w:pStyle w:val="1135"/>
              <w:jc w:val="both"/>
              <w:spacing w:before="40"/>
              <w:rPr>
                <w:iCs/>
                <w:sz w:val="20"/>
                <w:szCs w:val="20"/>
              </w:rPr>
            </w:pPr>
            <w:r>
              <w:rPr>
                <w:iCs/>
                <w:sz w:val="20"/>
                <w:szCs w:val="20"/>
              </w:rPr>
              <w:t xml:space="preserve">Комиссия взимается в течение срока действия аккредитива и периода отсрочки платежа по аккредитиву (если аккредитив исполняется с отсрочкой платежа).</w:t>
            </w:r>
            <w:r>
              <w:rPr>
                <w:iCs/>
                <w:sz w:val="20"/>
                <w:szCs w:val="20"/>
              </w:rPr>
            </w:r>
            <w:r>
              <w:rPr>
                <w:iCs/>
                <w:sz w:val="20"/>
                <w:szCs w:val="20"/>
              </w:rPr>
            </w:r>
          </w:p>
          <w:p>
            <w:pPr>
              <w:pStyle w:val="1135"/>
              <w:jc w:val="both"/>
              <w:spacing w:before="40"/>
              <w:rPr>
                <w:iCs/>
                <w:sz w:val="20"/>
                <w:szCs w:val="20"/>
              </w:rPr>
            </w:pPr>
            <w:r>
              <w:rPr>
                <w:iCs/>
                <w:sz w:val="20"/>
                <w:szCs w:val="20"/>
              </w:rPr>
              <w:t xml:space="preserve">Первый период начинается в дату открытия аккредитива. Каждый следующий период начинается</w:t>
            </w:r>
            <w:r>
              <w:rPr>
                <w:iCs/>
                <w:sz w:val="20"/>
                <w:szCs w:val="20"/>
              </w:rPr>
              <w:t xml:space="preserve"> на следующий календарный день после даты окончания предыдущего периода. Последний период заканчивается в дату окончания срока действия аккредитива или в дату последнего отсроченного платежа по аккредитиву (если аккредитив исполняется с отсрочкой платежа).</w:t>
            </w:r>
            <w:r>
              <w:rPr>
                <w:iCs/>
                <w:sz w:val="20"/>
                <w:szCs w:val="20"/>
              </w:rPr>
            </w:r>
            <w:r>
              <w:rPr>
                <w:iCs/>
                <w:sz w:val="20"/>
                <w:szCs w:val="20"/>
              </w:rPr>
            </w:r>
          </w:p>
          <w:p>
            <w:pPr>
              <w:pStyle w:val="1135"/>
              <w:jc w:val="both"/>
              <w:spacing w:before="40"/>
              <w:rPr>
                <w:iCs/>
                <w:sz w:val="20"/>
                <w:szCs w:val="20"/>
              </w:rPr>
            </w:pPr>
            <w:r>
              <w:rPr>
                <w:iCs/>
                <w:sz w:val="20"/>
                <w:szCs w:val="20"/>
              </w:rPr>
              <w:t xml:space="preserve">В расчет комиссии включаются как первый, так и последний день периода.</w:t>
            </w:r>
            <w:r>
              <w:rPr>
                <w:iCs/>
                <w:sz w:val="20"/>
                <w:szCs w:val="20"/>
              </w:rPr>
            </w:r>
            <w:r>
              <w:rPr>
                <w:iCs/>
                <w:sz w:val="20"/>
                <w:szCs w:val="20"/>
              </w:rPr>
            </w:r>
          </w:p>
          <w:p>
            <w:pPr>
              <w:pStyle w:val="1135"/>
              <w:jc w:val="both"/>
              <w:spacing w:before="40"/>
              <w:rPr>
                <w:iCs/>
                <w:sz w:val="20"/>
                <w:szCs w:val="20"/>
              </w:rPr>
            </w:pPr>
            <w:r>
              <w:rPr>
                <w:iCs/>
                <w:sz w:val="20"/>
                <w:szCs w:val="20"/>
              </w:rPr>
              <w:t xml:space="preserve">Расчет суммы комиссии производится на сумму аккредитива по состоянию на дату </w:t>
            </w:r>
            <w:r>
              <w:rPr>
                <w:iCs/>
                <w:sz w:val="20"/>
                <w:szCs w:val="20"/>
              </w:rPr>
              <w:t xml:space="preserve">открытия аккредитива/на дату начала очередного периода. Комиссия уплачивается за каждый период или его часть (без учета фактического количества дней действия аккредитива в периоде) в дату открытия аккредитива/в первый рабочий день соответствующего периода.</w:t>
            </w:r>
            <w:r>
              <w:rPr>
                <w:iCs/>
                <w:sz w:val="20"/>
                <w:szCs w:val="20"/>
              </w:rPr>
            </w:r>
            <w:r>
              <w:rPr>
                <w:iCs/>
                <w:sz w:val="20"/>
                <w:szCs w:val="20"/>
              </w:rPr>
            </w:r>
          </w:p>
          <w:p>
            <w:pPr>
              <w:pStyle w:val="1135"/>
              <w:jc w:val="both"/>
              <w:spacing w:before="40"/>
              <w:rPr>
                <w:iCs/>
                <w:sz w:val="20"/>
                <w:szCs w:val="20"/>
              </w:rPr>
            </w:pPr>
            <w:r>
              <w:rPr>
                <w:iCs/>
                <w:sz w:val="20"/>
                <w:szCs w:val="20"/>
              </w:rPr>
              <w:t xml:space="preserve">При внесении в условия откр</w:t>
            </w:r>
            <w:r>
              <w:rPr>
                <w:iCs/>
                <w:sz w:val="20"/>
                <w:szCs w:val="20"/>
              </w:rPr>
              <w:t xml:space="preserve">ытого аккредитива изменений, связанных 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заканчивается в дату окончания текущего периода. </w:t>
            </w:r>
            <w:r>
              <w:rPr>
                <w:iCs/>
                <w:sz w:val="20"/>
                <w:szCs w:val="20"/>
              </w:rPr>
            </w:r>
            <w:r>
              <w:rPr>
                <w:iCs/>
                <w:sz w:val="20"/>
                <w:szCs w:val="20"/>
              </w:rPr>
            </w:r>
          </w:p>
          <w:p>
            <w:pPr>
              <w:pStyle w:val="1135"/>
              <w:jc w:val="both"/>
              <w:spacing w:before="40"/>
              <w:rPr>
                <w:bCs/>
                <w:color w:val="000000"/>
                <w:sz w:val="20"/>
                <w:szCs w:val="20"/>
              </w:rPr>
            </w:pPr>
            <w:r>
              <w:rPr>
                <w:iCs/>
                <w:sz w:val="20"/>
                <w:szCs w:val="20"/>
              </w:rPr>
              <w:t xml:space="preserve">Если в период, за который была уплачена комиссия, был совершен платеж по аккредитиву/сумма аккредитива была уменьшена/аккредитив был закрыт, сумма комиссии не пересчитывается и не возвращается Банком.</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495"/>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35"/>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35"/>
              <w:rPr>
                <w:sz w:val="20"/>
                <w:szCs w:val="20"/>
              </w:rPr>
            </w:pPr>
            <w:r>
              <w:rPr>
                <w:bCs/>
                <w:color w:val="000000"/>
                <w:sz w:val="20"/>
                <w:szCs w:val="20"/>
              </w:rPr>
              <w:t xml:space="preserve">- в рублях Российской Федерации, долларах США и иной валюте (кроме евро)</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35"/>
              <w:jc w:val="center"/>
              <w:rPr>
                <w:bCs/>
                <w:sz w:val="20"/>
                <w:szCs w:val="20"/>
              </w:rPr>
            </w:pPr>
            <w:r>
              <w:rPr>
                <w:bCs/>
                <w:sz w:val="20"/>
                <w:szCs w:val="20"/>
              </w:rPr>
              <w:t xml:space="preserve">0,15% от суммы аккредитива, увеличения суммы аккредитива и/или неиспользованного остатка средств по аккредитиву,</w:t>
            </w:r>
            <w:r>
              <w:rPr>
                <w:bCs/>
                <w:sz w:val="20"/>
                <w:szCs w:val="20"/>
              </w:rPr>
            </w:r>
            <w:r>
              <w:rPr>
                <w:bCs/>
                <w:sz w:val="20"/>
                <w:szCs w:val="20"/>
              </w:rPr>
            </w:r>
          </w:p>
          <w:p>
            <w:pPr>
              <w:pStyle w:val="1135"/>
              <w:jc w:val="center"/>
              <w:rPr>
                <w:bCs/>
                <w:sz w:val="20"/>
                <w:szCs w:val="20"/>
              </w:rPr>
            </w:pPr>
            <w:r>
              <w:rPr>
                <w:bCs/>
                <w:sz w:val="20"/>
                <w:szCs w:val="20"/>
              </w:rPr>
              <w:t xml:space="preserve">минимум 5000 руб.,</w:t>
            </w:r>
            <w:r>
              <w:rPr>
                <w:bCs/>
                <w:sz w:val="20"/>
                <w:szCs w:val="20"/>
              </w:rPr>
            </w:r>
            <w:r>
              <w:rPr>
                <w:bCs/>
                <w:sz w:val="20"/>
                <w:szCs w:val="20"/>
              </w:rPr>
            </w:r>
          </w:p>
          <w:p>
            <w:pPr>
              <w:pStyle w:val="1135"/>
              <w:jc w:val="center"/>
              <w:rPr>
                <w:bCs/>
                <w:sz w:val="20"/>
                <w:szCs w:val="20"/>
              </w:rPr>
            </w:pPr>
            <w:r>
              <w:rPr>
                <w:bCs/>
                <w:sz w:val="20"/>
                <w:szCs w:val="20"/>
              </w:rPr>
              <w:t xml:space="preserve">максимум 50000 руб.,</w:t>
            </w:r>
            <w:r>
              <w:rPr>
                <w:bCs/>
                <w:sz w:val="20"/>
                <w:szCs w:val="20"/>
              </w:rPr>
            </w:r>
            <w:r>
              <w:rPr>
                <w:bCs/>
                <w:sz w:val="20"/>
                <w:szCs w:val="20"/>
              </w:rPr>
            </w:r>
          </w:p>
          <w:p>
            <w:pPr>
              <w:pStyle w:val="1135"/>
              <w:jc w:val="center"/>
              <w:rPr>
                <w:bCs/>
                <w:sz w:val="20"/>
                <w:szCs w:val="20"/>
              </w:rPr>
            </w:pPr>
            <w:r>
              <w:rPr>
                <w:bCs/>
                <w:sz w:val="20"/>
                <w:szCs w:val="20"/>
              </w:rPr>
              <w:t xml:space="preserve">за период, состоящий из </w:t>
            </w:r>
            <w:r>
              <w:rPr>
                <w:iCs/>
                <w:sz w:val="20"/>
                <w:szCs w:val="20"/>
              </w:rPr>
              <w:t xml:space="preserve">90 последовательных календарных дней,</w:t>
            </w:r>
            <w:r>
              <w:rPr>
                <w:bCs/>
                <w:sz w:val="20"/>
                <w:szCs w:val="20"/>
              </w:rPr>
              <w:t xml:space="preserve"> или его часть</w:t>
            </w:r>
            <w:r>
              <w:rPr>
                <w:bCs/>
                <w:sz w:val="20"/>
                <w:szCs w:val="20"/>
              </w:rPr>
            </w:r>
            <w:r>
              <w:rPr>
                <w:bCs/>
                <w:sz w:val="20"/>
                <w:szCs w:val="20"/>
              </w:rPr>
            </w:r>
          </w:p>
          <w:p>
            <w:pPr>
              <w:pStyle w:val="1135"/>
              <w:jc w:val="center"/>
              <w:rPr>
                <w:sz w:val="20"/>
                <w:szCs w:val="20"/>
              </w:rPr>
            </w:pPr>
            <w:r>
              <w:rPr>
                <w:sz w:val="20"/>
                <w:szCs w:val="20"/>
              </w:rPr>
            </w:r>
            <w:r>
              <w:rPr>
                <w:sz w:val="20"/>
                <w:szCs w:val="20"/>
              </w:rPr>
            </w:r>
            <w:r>
              <w:rPr>
                <w:sz w:val="20"/>
                <w:szCs w:val="20"/>
              </w:rPr>
            </w:r>
          </w:p>
        </w:tc>
        <w:tc>
          <w:tcPr>
            <w:tcBorders>
              <w:left w:val="single" w:color="000000" w:sz="4" w:space="0"/>
              <w:right w:val="single" w:color="000000" w:sz="4" w:space="0"/>
            </w:tcBorders>
            <w:tcW w:w="3544" w:type="dxa"/>
            <w:vAlign w:val="top"/>
            <w:vMerge w:val="continue"/>
            <w:textDirection w:val="lrTb"/>
            <w:noWrap w:val="false"/>
          </w:tcPr>
          <w:p>
            <w:pPr>
              <w:pStyle w:val="113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20"/>
        </w:trPr>
        <w:tc>
          <w:tcPr>
            <w:tcBorders>
              <w:top w:val="single" w:color="000000" w:sz="4" w:space="0"/>
              <w:left w:val="single" w:color="000000" w:sz="4" w:space="0"/>
              <w:bottom w:val="none" w:color="000000" w:sz="4" w:space="0"/>
              <w:right w:val="single" w:color="000000" w:sz="4" w:space="0"/>
            </w:tcBorders>
            <w:tcW w:w="850" w:type="dxa"/>
            <w:vAlign w:val="top"/>
            <w:textDirection w:val="lrTb"/>
            <w:noWrap w:val="false"/>
          </w:tcPr>
          <w:p>
            <w:pPr>
              <w:pStyle w:val="1135"/>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135"/>
              <w:rPr>
                <w:bCs/>
                <w:color w:val="000000"/>
                <w:sz w:val="20"/>
                <w:szCs w:val="20"/>
              </w:rPr>
            </w:pPr>
            <w:r>
              <w:rPr>
                <w:bCs/>
                <w:color w:val="000000"/>
                <w:sz w:val="20"/>
                <w:szCs w:val="20"/>
              </w:rPr>
              <w:t xml:space="preserve">- в евро</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985" w:type="dxa"/>
            <w:vAlign w:val="top"/>
            <w:textDirection w:val="lrTb"/>
            <w:noWrap w:val="false"/>
          </w:tcPr>
          <w:p>
            <w:pPr>
              <w:pStyle w:val="1135"/>
              <w:jc w:val="center"/>
              <w:rPr>
                <w:bCs/>
                <w:sz w:val="20"/>
                <w:szCs w:val="20"/>
              </w:rPr>
            </w:pPr>
            <w:r>
              <w:rPr>
                <w:bCs/>
                <w:sz w:val="20"/>
                <w:szCs w:val="20"/>
              </w:rPr>
              <w:t xml:space="preserve">0,25% от суммы аккредитива, увеличения суммы аккредитива и/или неиспользованного остатка средств по аккредитиву,</w:t>
            </w:r>
            <w:r>
              <w:rPr>
                <w:bCs/>
                <w:sz w:val="20"/>
                <w:szCs w:val="20"/>
              </w:rPr>
            </w:r>
            <w:r>
              <w:rPr>
                <w:bCs/>
                <w:sz w:val="20"/>
                <w:szCs w:val="20"/>
              </w:rPr>
            </w:r>
          </w:p>
          <w:p>
            <w:pPr>
              <w:pStyle w:val="1135"/>
              <w:jc w:val="center"/>
              <w:rPr>
                <w:bCs/>
                <w:sz w:val="20"/>
                <w:szCs w:val="20"/>
              </w:rPr>
            </w:pPr>
            <w:r>
              <w:rPr>
                <w:bCs/>
                <w:sz w:val="20"/>
                <w:szCs w:val="20"/>
              </w:rPr>
              <w:t xml:space="preserve">минимум 5000 руб.,</w:t>
            </w:r>
            <w:r>
              <w:rPr>
                <w:bCs/>
                <w:sz w:val="20"/>
                <w:szCs w:val="20"/>
              </w:rPr>
            </w:r>
            <w:r>
              <w:rPr>
                <w:bCs/>
                <w:sz w:val="20"/>
                <w:szCs w:val="20"/>
              </w:rPr>
            </w:r>
          </w:p>
          <w:p>
            <w:pPr>
              <w:pStyle w:val="1135"/>
              <w:jc w:val="center"/>
              <w:rPr>
                <w:bCs/>
                <w:sz w:val="20"/>
                <w:szCs w:val="20"/>
              </w:rPr>
            </w:pPr>
            <w:r>
              <w:rPr>
                <w:bCs/>
                <w:sz w:val="20"/>
                <w:szCs w:val="20"/>
              </w:rPr>
              <w:t xml:space="preserve">за период, состоящий из 90 последовательных календарных дней, или его часть</w:t>
            </w:r>
            <w:r>
              <w:rPr>
                <w:bCs/>
                <w:sz w:val="20"/>
                <w:szCs w:val="20"/>
              </w:rPr>
            </w:r>
            <w:r>
              <w:rPr>
                <w:bCs/>
                <w:sz w:val="20"/>
                <w:szCs w:val="20"/>
              </w:rPr>
            </w:r>
          </w:p>
        </w:tc>
        <w:tc>
          <w:tcPr>
            <w:tcBorders>
              <w:left w:val="single" w:color="000000" w:sz="4" w:space="0"/>
              <w:bottom w:val="none" w:color="000000" w:sz="4" w:space="0"/>
              <w:right w:val="single" w:color="000000" w:sz="4" w:space="0"/>
            </w:tcBorders>
            <w:tcW w:w="3544" w:type="dxa"/>
            <w:vAlign w:val="top"/>
            <w:vMerge w:val="continue"/>
            <w:textDirection w:val="lrTb"/>
            <w:noWrap w:val="false"/>
          </w:tcPr>
          <w:p>
            <w:pPr>
              <w:pStyle w:val="113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single" w:color="000000" w:sz="4" w:space="0"/>
              <w:right w:val="single" w:color="000000" w:sz="4" w:space="0"/>
            </w:tcBorders>
            <w:tcW w:w="850" w:type="dxa"/>
            <w:vAlign w:val="top"/>
            <w:textDirection w:val="lrTb"/>
            <w:noWrap w:val="false"/>
          </w:tcPr>
          <w:p>
            <w:pPr>
              <w:pStyle w:val="1135"/>
              <w:jc w:val="center"/>
              <w:rPr>
                <w:sz w:val="20"/>
                <w:szCs w:val="20"/>
                <w:lang w:val="en-US"/>
              </w:rPr>
            </w:pPr>
            <w:r>
              <w:rPr>
                <w:sz w:val="20"/>
                <w:szCs w:val="20"/>
                <w:lang w:val="en-US"/>
              </w:rPr>
              <w:t xml:space="preserve">5.1.2.2.</w:t>
            </w:r>
            <w:r>
              <w:rPr>
                <w:sz w:val="20"/>
                <w:szCs w:val="20"/>
                <w:lang w:val="en-US"/>
              </w:rPr>
            </w:r>
            <w:r>
              <w:rPr>
                <w:sz w:val="20"/>
                <w:szCs w:val="20"/>
                <w:lang w:val="en-US"/>
              </w:rPr>
            </w:r>
          </w:p>
        </w:tc>
        <w:tc>
          <w:tcPr>
            <w:tcBorders>
              <w:top w:val="none" w:color="000000" w:sz="4" w:space="0"/>
              <w:left w:val="single" w:color="000000" w:sz="4" w:space="0"/>
              <w:bottom w:val="single" w:color="000000" w:sz="4" w:space="0"/>
              <w:right w:val="single" w:color="000000" w:sz="4" w:space="0"/>
            </w:tcBorders>
            <w:tcW w:w="3969" w:type="dxa"/>
            <w:vAlign w:val="top"/>
            <w:textDirection w:val="lrTb"/>
            <w:noWrap w:val="false"/>
          </w:tcPr>
          <w:p>
            <w:pPr>
              <w:pStyle w:val="1135"/>
              <w:rPr>
                <w:sz w:val="20"/>
                <w:szCs w:val="20"/>
              </w:rPr>
            </w:pPr>
            <w:r>
              <w:rPr>
                <w:bCs/>
                <w:color w:val="000000"/>
                <w:sz w:val="20"/>
                <w:szCs w:val="20"/>
              </w:rPr>
              <w:t xml:space="preserve">При отсутствии 100% денежного покрытия</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1985" w:type="dxa"/>
            <w:vAlign w:val="top"/>
            <w:textDirection w:val="lrTb"/>
            <w:noWrap w:val="false"/>
          </w:tcPr>
          <w:p>
            <w:pPr>
              <w:pStyle w:val="1135"/>
              <w:jc w:val="center"/>
              <w:rPr>
                <w:sz w:val="20"/>
                <w:szCs w:val="20"/>
              </w:rPr>
            </w:pPr>
            <w:r>
              <w:rPr>
                <w:sz w:val="20"/>
                <w:szCs w:val="20"/>
              </w:rPr>
              <w:t xml:space="preserve">по соглашению сторон</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544" w:type="dxa"/>
            <w:vAlign w:val="top"/>
            <w:textDirection w:val="lrTb"/>
            <w:noWrap w:val="false"/>
          </w:tcPr>
          <w:p>
            <w:pPr>
              <w:pStyle w:val="113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none" w:color="000000" w:sz="4" w:space="0"/>
              <w:right w:val="single" w:color="000000" w:sz="4" w:space="0"/>
            </w:tcBorders>
            <w:tcW w:w="850" w:type="dxa"/>
            <w:vAlign w:val="top"/>
            <w:textDirection w:val="lrTb"/>
            <w:noWrap w:val="false"/>
          </w:tcPr>
          <w:p>
            <w:pPr>
              <w:pStyle w:val="1135"/>
              <w:jc w:val="center"/>
              <w:rPr>
                <w:sz w:val="20"/>
                <w:szCs w:val="20"/>
              </w:rPr>
            </w:pPr>
            <w:r>
              <w:rPr>
                <w:sz w:val="20"/>
                <w:szCs w:val="20"/>
              </w:rPr>
              <w:t xml:space="preserve">5.1.3.</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135"/>
              <w:numPr>
                <w:ilvl w:val="0"/>
                <w:numId w:val="25"/>
              </w:numPr>
              <w:ind w:left="184" w:hanging="153"/>
              <w:jc w:val="both"/>
              <w:spacing w:before="40"/>
              <w:rPr>
                <w:bCs/>
                <w:color w:val="000000"/>
                <w:sz w:val="20"/>
                <w:szCs w:val="20"/>
              </w:rPr>
            </w:pPr>
            <w:r>
              <w:rPr>
                <w:bCs/>
                <w:color w:val="000000"/>
                <w:sz w:val="20"/>
                <w:szCs w:val="20"/>
              </w:rPr>
              <w:t xml:space="preserve">Подтверждение аккредитива, открытого другим банком,</w:t>
            </w:r>
            <w:r>
              <w:rPr>
                <w:bCs/>
                <w:color w:val="000000"/>
                <w:sz w:val="20"/>
                <w:szCs w:val="20"/>
              </w:rPr>
            </w:r>
            <w:r>
              <w:rPr>
                <w:bCs/>
                <w:color w:val="000000"/>
                <w:sz w:val="20"/>
                <w:szCs w:val="20"/>
              </w:rPr>
            </w:r>
          </w:p>
          <w:p>
            <w:pPr>
              <w:pStyle w:val="1135"/>
              <w:numPr>
                <w:ilvl w:val="0"/>
                <w:numId w:val="25"/>
              </w:numPr>
              <w:ind w:left="184" w:hanging="153"/>
              <w:jc w:val="both"/>
              <w:spacing w:before="40"/>
              <w:rPr>
                <w:bCs/>
                <w:color w:val="000000"/>
                <w:sz w:val="20"/>
                <w:szCs w:val="20"/>
              </w:rPr>
            </w:pPr>
            <w:r>
              <w:rPr>
                <w:bCs/>
                <w:color w:val="000000"/>
                <w:sz w:val="20"/>
                <w:szCs w:val="20"/>
              </w:rPr>
              <w:t xml:space="preserve">подтверждение изменения условий подтвержденного Банком аккредитива, связанного с увеличением суммы</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985" w:type="dxa"/>
            <w:vAlign w:val="top"/>
            <w:textDirection w:val="lrTb"/>
            <w:noWrap w:val="false"/>
          </w:tcPr>
          <w:p>
            <w:pPr>
              <w:pStyle w:val="1135"/>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544" w:type="dxa"/>
            <w:vAlign w:val="top"/>
            <w:textDirection w:val="lrTb"/>
            <w:noWrap w:val="false"/>
          </w:tcPr>
          <w:p>
            <w:pPr>
              <w:pStyle w:val="113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850" w:type="dxa"/>
            <w:vAlign w:val="top"/>
            <w:textDirection w:val="lrTb"/>
            <w:noWrap w:val="false"/>
          </w:tcPr>
          <w:p>
            <w:pPr>
              <w:pStyle w:val="1135"/>
              <w:jc w:val="center"/>
              <w:rPr>
                <w:sz w:val="20"/>
                <w:szCs w:val="20"/>
                <w:lang w:val="en-US"/>
              </w:rPr>
            </w:pPr>
            <w:r>
              <w:rPr>
                <w:sz w:val="20"/>
                <w:szCs w:val="20"/>
                <w:lang w:val="en-US"/>
              </w:rPr>
              <w:t xml:space="preserve">5.1.3.1.</w:t>
            </w:r>
            <w:r>
              <w:rPr>
                <w:sz w:val="20"/>
                <w:szCs w:val="20"/>
                <w:lang w:val="en-US"/>
              </w:rPr>
            </w:r>
            <w:r>
              <w:rPr>
                <w:sz w:val="20"/>
                <w:szCs w:val="20"/>
                <w:lang w:val="en-U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35"/>
              <w:rPr>
                <w:sz w:val="20"/>
                <w:szCs w:val="20"/>
              </w:rPr>
            </w:pPr>
            <w:r>
              <w:rPr>
                <w:sz w:val="20"/>
                <w:szCs w:val="20"/>
              </w:rPr>
              <w:t xml:space="preserve">- при предоставлении банком-эмитентом </w:t>
            </w:r>
            <w:r>
              <w:rPr>
                <w:sz w:val="20"/>
                <w:szCs w:val="20"/>
              </w:rPr>
              <w:t xml:space="preserve">100% </w:t>
            </w:r>
            <w:r>
              <w:rPr>
                <w:sz w:val="20"/>
                <w:szCs w:val="20"/>
              </w:rPr>
              <w:t xml:space="preserve">денежного покрытия </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35"/>
              <w:jc w:val="center"/>
              <w:rPr>
                <w:sz w:val="20"/>
                <w:szCs w:val="20"/>
              </w:rPr>
            </w:pPr>
            <w:r>
              <w:rPr>
                <w:sz w:val="20"/>
                <w:szCs w:val="20"/>
              </w:rPr>
              <w:t xml:space="preserve">0,20% от суммы аккредитива, увеличения суммы аккредитива и/или неиспользованного остатка средств по аккредитиву,</w:t>
            </w:r>
            <w:r>
              <w:rPr>
                <w:sz w:val="20"/>
                <w:szCs w:val="20"/>
              </w:rPr>
            </w:r>
            <w:r>
              <w:rPr>
                <w:sz w:val="20"/>
                <w:szCs w:val="20"/>
              </w:rPr>
            </w:r>
          </w:p>
          <w:p>
            <w:pPr>
              <w:pStyle w:val="1135"/>
              <w:jc w:val="center"/>
              <w:rPr>
                <w:sz w:val="20"/>
                <w:szCs w:val="20"/>
              </w:rPr>
            </w:pPr>
            <w:r>
              <w:rPr>
                <w:sz w:val="20"/>
                <w:szCs w:val="20"/>
              </w:rPr>
              <w:t xml:space="preserve">минимум </w:t>
            </w:r>
            <w:r>
              <w:rPr>
                <w:sz w:val="20"/>
                <w:szCs w:val="20"/>
              </w:rPr>
              <w:t xml:space="preserve">5</w:t>
            </w:r>
            <w:r>
              <w:rPr>
                <w:sz w:val="20"/>
                <w:szCs w:val="20"/>
              </w:rPr>
              <w:t xml:space="preserve">000 руб. за период</w:t>
            </w:r>
            <w:r>
              <w:rPr>
                <w:sz w:val="20"/>
                <w:szCs w:val="20"/>
              </w:rPr>
              <w:t xml:space="preserve">, </w:t>
            </w:r>
            <w:r>
              <w:rPr>
                <w:bCs/>
                <w:sz w:val="20"/>
                <w:szCs w:val="20"/>
              </w:rPr>
              <w:t xml:space="preserve">состоящий из 90 последовательных календарных дней, или его часть</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544" w:type="dxa"/>
            <w:vAlign w:val="top"/>
            <w:textDirection w:val="lrTb"/>
            <w:noWrap w:val="false"/>
          </w:tcPr>
          <w:p>
            <w:pPr>
              <w:pStyle w:val="1135"/>
              <w:jc w:val="both"/>
              <w:spacing w:before="40"/>
              <w:rPr>
                <w:iCs/>
                <w:sz w:val="20"/>
                <w:szCs w:val="20"/>
              </w:rPr>
            </w:pPr>
            <w:r>
              <w:rPr>
                <w:iCs/>
                <w:sz w:val="20"/>
                <w:szCs w:val="20"/>
              </w:rPr>
              <w:t xml:space="preserve">Комиссия взимается в течение срока действия аккредитива и периода отсрочки платежа по аккредитиву (если аккредитив исполняется с отсрочкой платежа).</w:t>
            </w:r>
            <w:r>
              <w:rPr>
                <w:iCs/>
                <w:sz w:val="20"/>
                <w:szCs w:val="20"/>
              </w:rPr>
            </w:r>
            <w:r>
              <w:rPr>
                <w:iCs/>
                <w:sz w:val="20"/>
                <w:szCs w:val="20"/>
              </w:rPr>
            </w:r>
          </w:p>
          <w:p>
            <w:pPr>
              <w:pStyle w:val="1135"/>
              <w:jc w:val="both"/>
              <w:spacing w:before="40"/>
              <w:rPr>
                <w:iCs/>
                <w:sz w:val="20"/>
                <w:szCs w:val="20"/>
              </w:rPr>
            </w:pPr>
            <w:r>
              <w:rPr>
                <w:iCs/>
                <w:sz w:val="20"/>
                <w:szCs w:val="20"/>
              </w:rPr>
              <w:t xml:space="preserve">Первый период начинается в дату подтверждения аккредитива. Каждый следующий период начинается</w:t>
            </w:r>
            <w:r>
              <w:rPr>
                <w:iCs/>
                <w:sz w:val="20"/>
                <w:szCs w:val="20"/>
              </w:rPr>
              <w:t xml:space="preserve"> на следующий календарный день после даты окончания предыдущего периода. Последний период заканчивается в дату окончания срока действия аккредитива или в дату последнего отсроченного платежа по аккредитиву (если аккредитив исполняется с отсрочкой платежа).</w:t>
            </w:r>
            <w:r>
              <w:rPr>
                <w:iCs/>
                <w:sz w:val="20"/>
                <w:szCs w:val="20"/>
              </w:rPr>
            </w:r>
            <w:r>
              <w:rPr>
                <w:iCs/>
                <w:sz w:val="20"/>
                <w:szCs w:val="20"/>
              </w:rPr>
            </w:r>
          </w:p>
          <w:p>
            <w:pPr>
              <w:pStyle w:val="1135"/>
              <w:jc w:val="both"/>
              <w:spacing w:before="40"/>
              <w:rPr>
                <w:iCs/>
                <w:sz w:val="20"/>
                <w:szCs w:val="20"/>
              </w:rPr>
            </w:pPr>
            <w:r>
              <w:rPr>
                <w:iCs/>
                <w:sz w:val="20"/>
                <w:szCs w:val="20"/>
              </w:rPr>
              <w:t xml:space="preserve">В расчет комиссии включаются как первый, так и последний день периода.</w:t>
            </w:r>
            <w:r>
              <w:rPr>
                <w:iCs/>
                <w:sz w:val="20"/>
                <w:szCs w:val="20"/>
              </w:rPr>
            </w:r>
            <w:r>
              <w:rPr>
                <w:iCs/>
                <w:sz w:val="20"/>
                <w:szCs w:val="20"/>
              </w:rPr>
            </w:r>
          </w:p>
          <w:p>
            <w:pPr>
              <w:pStyle w:val="1135"/>
              <w:jc w:val="both"/>
              <w:spacing w:before="40"/>
              <w:rPr>
                <w:iCs/>
                <w:sz w:val="20"/>
                <w:szCs w:val="20"/>
              </w:rPr>
            </w:pPr>
            <w:r>
              <w:rPr>
                <w:iCs/>
                <w:sz w:val="20"/>
                <w:szCs w:val="20"/>
              </w:rPr>
              <w:t xml:space="preserve">Начисление комиссии производится на сумму аккредитива/неиспользованного остатка средств по аккредитиву по состоянию на начало каждого дня периода (при этом в дату подтверждения аккредитива комиссия начисляется</w:t>
            </w:r>
            <w:r>
              <w:rPr>
                <w:iCs/>
                <w:sz w:val="20"/>
                <w:szCs w:val="20"/>
              </w:rPr>
              <w:t xml:space="preserve"> на сумму аккредитива, в дату подтверждения увеличения суммы аккредитива – на сумму неиспользованного остатка средств по аккредитиву с учетом увеличения его суммы). Комиссия начисляется без учета фактического количества дней действия аккредитива в периоде.</w:t>
            </w:r>
            <w:r>
              <w:rPr>
                <w:iCs/>
                <w:sz w:val="20"/>
                <w:szCs w:val="20"/>
              </w:rPr>
            </w:r>
            <w:r>
              <w:rPr>
                <w:iCs/>
                <w:sz w:val="20"/>
                <w:szCs w:val="20"/>
              </w:rPr>
            </w:r>
          </w:p>
          <w:p>
            <w:pPr>
              <w:pStyle w:val="1135"/>
              <w:jc w:val="both"/>
              <w:rPr>
                <w:bCs/>
                <w:color w:val="000000"/>
                <w:sz w:val="20"/>
                <w:szCs w:val="20"/>
              </w:rPr>
            </w:pPr>
            <w:r>
              <w:rPr>
                <w:iCs/>
                <w:sz w:val="20"/>
                <w:szCs w:val="20"/>
              </w:rPr>
              <w:t xml:space="preserve">Комиссия уплачив</w:t>
            </w:r>
            <w:r>
              <w:rPr>
                <w:iCs/>
                <w:sz w:val="20"/>
                <w:szCs w:val="20"/>
              </w:rPr>
              <w:t xml:space="preserve">ается по мере осуществления платежей по аккредитиву в дату осуществления соответствующего платежа, а в случае, если аккредитив не был использован или был использован не полностью - не позднее пятого рабочего дня с даты истечения срока действия аккредитива.</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single" w:color="000000" w:sz="4" w:space="0"/>
              <w:right w:val="single" w:color="000000" w:sz="4" w:space="0"/>
            </w:tcBorders>
            <w:tcW w:w="850" w:type="dxa"/>
            <w:vAlign w:val="top"/>
            <w:textDirection w:val="lrTb"/>
            <w:noWrap w:val="false"/>
          </w:tcPr>
          <w:p>
            <w:pPr>
              <w:pStyle w:val="1135"/>
              <w:jc w:val="center"/>
              <w:rPr>
                <w:sz w:val="20"/>
                <w:szCs w:val="20"/>
              </w:rPr>
            </w:pPr>
            <w:r>
              <w:rPr>
                <w:sz w:val="20"/>
                <w:szCs w:val="20"/>
              </w:rPr>
              <w:t xml:space="preserve">5.1.3.2.</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969" w:type="dxa"/>
            <w:vAlign w:val="top"/>
            <w:textDirection w:val="lrTb"/>
            <w:noWrap w:val="false"/>
          </w:tcPr>
          <w:p>
            <w:pPr>
              <w:pStyle w:val="1135"/>
              <w:rPr>
                <w:sz w:val="20"/>
                <w:szCs w:val="20"/>
              </w:rPr>
            </w:pPr>
            <w:r>
              <w:rPr>
                <w:sz w:val="20"/>
                <w:szCs w:val="20"/>
              </w:rPr>
              <w:t xml:space="preserve">При отсутствии 100% денежного покрытия</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1985" w:type="dxa"/>
            <w:vAlign w:val="top"/>
            <w:textDirection w:val="lrTb"/>
            <w:noWrap w:val="false"/>
          </w:tcPr>
          <w:p>
            <w:pPr>
              <w:pStyle w:val="1135"/>
              <w:jc w:val="center"/>
              <w:rPr>
                <w:sz w:val="20"/>
                <w:szCs w:val="20"/>
              </w:rPr>
            </w:pPr>
            <w:r>
              <w:rPr>
                <w:sz w:val="20"/>
                <w:szCs w:val="20"/>
              </w:rPr>
              <w:t xml:space="preserve">по соглашению сторон</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544" w:type="dxa"/>
            <w:vAlign w:val="top"/>
            <w:textDirection w:val="lrTb"/>
            <w:noWrap w:val="false"/>
          </w:tcPr>
          <w:p>
            <w:pPr>
              <w:pStyle w:val="113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right w:val="single" w:color="000000" w:sz="4" w:space="0"/>
            </w:tcBorders>
            <w:tcW w:w="850" w:type="dxa"/>
            <w:vAlign w:val="top"/>
            <w:textDirection w:val="lrTb"/>
            <w:noWrap w:val="false"/>
          </w:tcPr>
          <w:p>
            <w:pPr>
              <w:pStyle w:val="1135"/>
              <w:jc w:val="center"/>
              <w:rPr>
                <w:sz w:val="20"/>
                <w:szCs w:val="20"/>
              </w:rPr>
            </w:pPr>
            <w:r>
              <w:rPr>
                <w:sz w:val="20"/>
                <w:szCs w:val="20"/>
              </w:rPr>
              <w:t xml:space="preserve">5.1.4.</w:t>
            </w:r>
            <w:r>
              <w:rPr>
                <w:sz w:val="20"/>
                <w:szCs w:val="20"/>
              </w:rPr>
            </w:r>
            <w:r>
              <w:rPr>
                <w:sz w:val="20"/>
                <w:szCs w:val="20"/>
              </w:rPr>
            </w:r>
          </w:p>
        </w:tc>
        <w:tc>
          <w:tcPr>
            <w:tcBorders>
              <w:top w:val="single" w:color="000000" w:sz="4" w:space="0"/>
              <w:left w:val="single" w:color="000000" w:sz="4" w:space="0"/>
              <w:right w:val="single" w:color="000000" w:sz="4" w:space="0"/>
            </w:tcBorders>
            <w:tcW w:w="3969" w:type="dxa"/>
            <w:vAlign w:val="top"/>
            <w:textDirection w:val="lrTb"/>
            <w:noWrap w:val="false"/>
          </w:tcPr>
          <w:p>
            <w:pPr>
              <w:pStyle w:val="1135"/>
              <w:numPr>
                <w:ilvl w:val="0"/>
                <w:numId w:val="25"/>
              </w:numPr>
              <w:ind w:left="184" w:hanging="153"/>
              <w:jc w:val="both"/>
              <w:spacing w:before="40"/>
              <w:rPr>
                <w:bCs/>
                <w:color w:val="000000"/>
                <w:sz w:val="20"/>
                <w:szCs w:val="20"/>
              </w:rPr>
            </w:pPr>
            <w:r>
              <w:rPr>
                <w:bCs/>
                <w:color w:val="000000"/>
                <w:sz w:val="20"/>
                <w:szCs w:val="20"/>
              </w:rPr>
              <w:t xml:space="preserve">Авизование изменений условий ранее авизованного аккредитива, не связанных с увеличением его суммы;</w:t>
            </w:r>
            <w:r>
              <w:rPr>
                <w:bCs/>
                <w:color w:val="000000"/>
                <w:sz w:val="20"/>
                <w:szCs w:val="20"/>
              </w:rPr>
            </w:r>
            <w:r>
              <w:rPr>
                <w:bCs/>
                <w:color w:val="000000"/>
                <w:sz w:val="20"/>
                <w:szCs w:val="20"/>
              </w:rPr>
            </w:r>
          </w:p>
          <w:p>
            <w:pPr>
              <w:pStyle w:val="1135"/>
              <w:numPr>
                <w:ilvl w:val="0"/>
                <w:numId w:val="25"/>
              </w:numPr>
              <w:ind w:left="184" w:hanging="153"/>
              <w:jc w:val="both"/>
              <w:spacing w:before="40"/>
              <w:rPr>
                <w:bCs/>
                <w:color w:val="000000"/>
              </w:rPr>
            </w:pPr>
            <w:r>
              <w:rPr>
                <w:bCs/>
                <w:color w:val="000000"/>
                <w:sz w:val="20"/>
                <w:szCs w:val="20"/>
              </w:rPr>
              <w:t xml:space="preserve">запрос согласия на аннуляцию/отзыв аккредитива, открытого другим банком</w:t>
            </w:r>
            <w:r>
              <w:rPr>
                <w:bCs/>
                <w:color w:val="000000"/>
              </w:rPr>
            </w:r>
            <w:r>
              <w:rPr>
                <w:bCs/>
                <w:color w:val="000000"/>
              </w:rPr>
            </w:r>
          </w:p>
        </w:tc>
        <w:tc>
          <w:tcPr>
            <w:tcBorders>
              <w:top w:val="single" w:color="000000" w:sz="4" w:space="0"/>
              <w:left w:val="single" w:color="000000" w:sz="4" w:space="0"/>
              <w:right w:val="single" w:color="000000" w:sz="4" w:space="0"/>
            </w:tcBorders>
            <w:tcW w:w="1985" w:type="dxa"/>
            <w:vAlign w:val="top"/>
            <w:textDirection w:val="lrTb"/>
            <w:noWrap w:val="false"/>
          </w:tcPr>
          <w:p>
            <w:pPr>
              <w:pStyle w:val="1135"/>
              <w:jc w:val="center"/>
              <w:rPr>
                <w:sz w:val="20"/>
                <w:szCs w:val="20"/>
              </w:rPr>
            </w:pPr>
            <w:r>
              <w:rPr>
                <w:sz w:val="20"/>
                <w:szCs w:val="20"/>
              </w:rPr>
              <w:t xml:space="preserve">1500 руб.</w:t>
            </w:r>
            <w:r>
              <w:rPr>
                <w:sz w:val="20"/>
                <w:szCs w:val="20"/>
              </w:rPr>
            </w:r>
            <w:r>
              <w:rPr>
                <w:sz w:val="20"/>
                <w:szCs w:val="20"/>
              </w:rPr>
            </w:r>
          </w:p>
        </w:tc>
        <w:tc>
          <w:tcPr>
            <w:tcBorders>
              <w:top w:val="single" w:color="000000" w:sz="4" w:space="0"/>
              <w:left w:val="single" w:color="000000" w:sz="4" w:space="0"/>
              <w:right w:val="single" w:color="000000" w:sz="4" w:space="0"/>
            </w:tcBorders>
            <w:tcW w:w="3544" w:type="dxa"/>
            <w:vAlign w:val="top"/>
            <w:textDirection w:val="lrTb"/>
            <w:noWrap w:val="false"/>
          </w:tcPr>
          <w:p>
            <w:pPr>
              <w:pStyle w:val="1135"/>
              <w:rPr>
                <w:sz w:val="20"/>
                <w:szCs w:val="20"/>
              </w:rPr>
            </w:pPr>
            <w:r>
              <w:rPr>
                <w:bCs/>
                <w:color w:val="000000"/>
                <w:sz w:val="20"/>
                <w:szCs w:val="20"/>
              </w:rPr>
              <w:t xml:space="preserve">Комиссия не взимается в случае открытия и авизования аккредитива одним и тем же региональным филиалом Банка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35"/>
              <w:jc w:val="center"/>
              <w:rPr>
                <w:sz w:val="20"/>
                <w:szCs w:val="20"/>
              </w:rPr>
            </w:pPr>
            <w:r>
              <w:rPr>
                <w:sz w:val="20"/>
                <w:szCs w:val="20"/>
              </w:rPr>
              <w:t xml:space="preserve">5.1.5.</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35"/>
              <w:numPr>
                <w:ilvl w:val="0"/>
                <w:numId w:val="27"/>
              </w:numPr>
              <w:rPr>
                <w:sz w:val="20"/>
                <w:szCs w:val="20"/>
              </w:rPr>
            </w:pPr>
            <w:r>
              <w:rPr>
                <w:sz w:val="20"/>
                <w:szCs w:val="20"/>
              </w:rPr>
              <w:t xml:space="preserve">Внесение в условия открытого Банком аккредитива изменений, не связанных с увеличением </w:t>
            </w:r>
            <w:r>
              <w:rPr>
                <w:sz w:val="20"/>
                <w:szCs w:val="20"/>
              </w:rPr>
              <w:t xml:space="preserve">его </w:t>
            </w:r>
            <w:r>
              <w:rPr>
                <w:sz w:val="20"/>
                <w:szCs w:val="20"/>
              </w:rPr>
              <w:t xml:space="preserve">суммы;</w:t>
            </w:r>
            <w:r>
              <w:rPr>
                <w:sz w:val="20"/>
                <w:szCs w:val="20"/>
              </w:rPr>
            </w:r>
            <w:r>
              <w:rPr>
                <w:sz w:val="20"/>
                <w:szCs w:val="20"/>
              </w:rPr>
            </w:r>
          </w:p>
          <w:p>
            <w:pPr>
              <w:pStyle w:val="1135"/>
              <w:numPr>
                <w:ilvl w:val="0"/>
                <w:numId w:val="27"/>
              </w:numPr>
              <w:rPr>
                <w:sz w:val="20"/>
                <w:szCs w:val="20"/>
              </w:rPr>
            </w:pPr>
            <w:r>
              <w:rPr>
                <w:sz w:val="20"/>
                <w:szCs w:val="20"/>
              </w:rPr>
              <w:t xml:space="preserve">запрос согласия на аннуляцию аккредитива</w:t>
            </w:r>
            <w:r>
              <w:rPr>
                <w:sz w:val="20"/>
                <w:szCs w:val="20"/>
              </w:rPr>
              <w:t xml:space="preserve">/</w:t>
            </w:r>
            <w:r>
              <w:rPr>
                <w:sz w:val="20"/>
                <w:szCs w:val="20"/>
              </w:rPr>
              <w:t xml:space="preserve">отзыв аккредитива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35"/>
              <w:jc w:val="center"/>
              <w:rPr>
                <w:sz w:val="20"/>
                <w:szCs w:val="20"/>
              </w:rPr>
            </w:pPr>
            <w:r>
              <w:rPr>
                <w:sz w:val="20"/>
                <w:szCs w:val="20"/>
              </w:rPr>
              <w:t xml:space="preserve">1500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3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35"/>
              <w:jc w:val="center"/>
              <w:rPr>
                <w:sz w:val="20"/>
                <w:szCs w:val="20"/>
              </w:rPr>
            </w:pPr>
            <w:r>
              <w:rPr>
                <w:sz w:val="20"/>
                <w:szCs w:val="20"/>
              </w:rPr>
              <w:t xml:space="preserve">5.1.6.</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35"/>
              <w:rPr>
                <w:sz w:val="20"/>
                <w:szCs w:val="20"/>
              </w:rPr>
            </w:pPr>
            <w:r>
              <w:rPr>
                <w:sz w:val="20"/>
                <w:szCs w:val="20"/>
              </w:rPr>
              <w:t xml:space="preserve">Обработка/проверка документов</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35"/>
              <w:jc w:val="center"/>
              <w:rPr>
                <w:sz w:val="20"/>
                <w:szCs w:val="20"/>
              </w:rPr>
            </w:pPr>
            <w:r>
              <w:rPr>
                <w:sz w:val="20"/>
                <w:szCs w:val="20"/>
              </w:rPr>
              <w:t xml:space="preserve">0,15% от суммы, подлежащей оплате, минимум </w:t>
            </w:r>
            <w:r>
              <w:rPr>
                <w:sz w:val="20"/>
                <w:szCs w:val="20"/>
              </w:rPr>
              <w:t xml:space="preserve">50</w:t>
            </w:r>
            <w:r>
              <w:rPr>
                <w:sz w:val="20"/>
                <w:szCs w:val="20"/>
              </w:rPr>
              <w:t xml:space="preserve">00 руб., максимум </w:t>
            </w:r>
            <w:r>
              <w:rPr>
                <w:sz w:val="20"/>
                <w:szCs w:val="20"/>
              </w:rPr>
              <w:t xml:space="preserve">10</w:t>
            </w:r>
            <w:r>
              <w:rPr>
                <w:sz w:val="20"/>
                <w:szCs w:val="20"/>
              </w:rPr>
              <w:t xml:space="preserve">0</w:t>
            </w:r>
            <w:r>
              <w:rPr>
                <w:sz w:val="20"/>
                <w:szCs w:val="20"/>
              </w:rPr>
              <w:t xml:space="preserve">000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35"/>
              <w:rPr>
                <w:sz w:val="20"/>
                <w:szCs w:val="20"/>
              </w:rPr>
            </w:pPr>
            <w:r>
              <w:rPr>
                <w:sz w:val="20"/>
                <w:szCs w:val="20"/>
              </w:rPr>
              <w:t xml:space="preserve">Комиссия взимается за обработку/проверку одного комплекта документов (в т. ч. если документы не приняты к оплате) исходя из суммы, подлежащей оплате в рамках аккредитива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4"/>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1135"/>
              <w:jc w:val="center"/>
              <w:rPr>
                <w:sz w:val="20"/>
                <w:szCs w:val="20"/>
              </w:rPr>
            </w:pPr>
            <w:r>
              <w:rPr>
                <w:sz w:val="20"/>
                <w:szCs w:val="20"/>
              </w:rPr>
              <w:t xml:space="preserve">5.2.</w:t>
            </w:r>
            <w:r>
              <w:rPr>
                <w:sz w:val="20"/>
                <w:szCs w:val="20"/>
              </w:rPr>
              <w:t xml:space="preserve"> </w:t>
            </w:r>
            <w:r>
              <w:rPr>
                <w:sz w:val="20"/>
                <w:szCs w:val="20"/>
              </w:rPr>
              <w:t xml:space="preserve">Документарные аккредитивы, открытые </w:t>
            </w:r>
            <w:r>
              <w:rPr>
                <w:sz w:val="20"/>
                <w:szCs w:val="20"/>
              </w:rPr>
              <w:t xml:space="preserve">АО «Россельхозбанк»</w:t>
            </w:r>
            <w:r>
              <w:rPr>
                <w:sz w:val="20"/>
                <w:szCs w:val="20"/>
              </w:rPr>
              <w:t xml:space="preserve"> для расчетов по внешнеторговым сделкам (импортные аккредитивы)</w:t>
            </w:r>
            <w:r>
              <w:rPr>
                <w:sz w:val="20"/>
                <w:szCs w:val="20"/>
              </w:rPr>
            </w:r>
            <w:r>
              <w:rPr>
                <w:sz w:val="20"/>
                <w:szCs w:val="20"/>
              </w:rPr>
            </w:r>
          </w:p>
          <w:p>
            <w:pPr>
              <w:pStyle w:val="1135"/>
              <w:jc w:val="center"/>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35"/>
              <w:jc w:val="center"/>
              <w:rPr>
                <w:sz w:val="20"/>
                <w:szCs w:val="20"/>
              </w:rPr>
            </w:pPr>
            <w:r>
              <w:rPr>
                <w:sz w:val="20"/>
                <w:szCs w:val="20"/>
              </w:rPr>
              <w:t xml:space="preserve">5.2.1.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35"/>
              <w:numPr>
                <w:ilvl w:val="0"/>
                <w:numId w:val="25"/>
              </w:numPr>
              <w:ind w:left="184" w:hanging="153"/>
              <w:jc w:val="both"/>
              <w:spacing w:before="40"/>
              <w:rPr>
                <w:bCs/>
                <w:color w:val="000000"/>
                <w:sz w:val="20"/>
                <w:szCs w:val="20"/>
              </w:rPr>
            </w:pPr>
            <w:r>
              <w:rPr>
                <w:bCs/>
                <w:color w:val="000000"/>
                <w:sz w:val="20"/>
                <w:szCs w:val="20"/>
              </w:rPr>
              <w:t xml:space="preserve">Открытие,</w:t>
            </w:r>
            <w:r>
              <w:rPr>
                <w:bCs/>
                <w:color w:val="000000"/>
                <w:sz w:val="20"/>
                <w:szCs w:val="20"/>
              </w:rPr>
            </w:r>
            <w:r>
              <w:rPr>
                <w:bCs/>
                <w:color w:val="000000"/>
                <w:sz w:val="20"/>
                <w:szCs w:val="20"/>
              </w:rPr>
            </w:r>
          </w:p>
          <w:p>
            <w:pPr>
              <w:pStyle w:val="1135"/>
              <w:numPr>
                <w:ilvl w:val="0"/>
                <w:numId w:val="25"/>
              </w:numPr>
              <w:ind w:left="184" w:hanging="153"/>
              <w:jc w:val="both"/>
              <w:spacing w:before="40"/>
              <w:rPr>
                <w:bCs/>
                <w:color w:val="000000"/>
                <w:sz w:val="20"/>
                <w:szCs w:val="20"/>
              </w:rPr>
            </w:pPr>
            <w:r>
              <w:rPr>
                <w:bCs/>
                <w:color w:val="000000"/>
                <w:sz w:val="20"/>
                <w:szCs w:val="20"/>
              </w:rPr>
              <w:t xml:space="preserve">увеличение суммы,</w:t>
            </w:r>
            <w:r>
              <w:rPr>
                <w:bCs/>
                <w:color w:val="000000"/>
                <w:sz w:val="20"/>
                <w:szCs w:val="20"/>
              </w:rPr>
            </w:r>
            <w:r>
              <w:rPr>
                <w:bCs/>
                <w:color w:val="000000"/>
                <w:sz w:val="20"/>
                <w:szCs w:val="20"/>
              </w:rPr>
            </w:r>
          </w:p>
          <w:p>
            <w:pPr>
              <w:pStyle w:val="1135"/>
              <w:numPr>
                <w:ilvl w:val="0"/>
                <w:numId w:val="25"/>
              </w:numPr>
              <w:ind w:left="184" w:hanging="153"/>
              <w:jc w:val="both"/>
              <w:spacing w:before="40"/>
              <w:rPr>
                <w:bCs/>
                <w:color w:val="000000"/>
                <w:sz w:val="20"/>
                <w:szCs w:val="20"/>
              </w:rPr>
            </w:pPr>
            <w:r>
              <w:rPr>
                <w:bCs/>
                <w:color w:val="000000"/>
                <w:sz w:val="20"/>
                <w:szCs w:val="20"/>
              </w:rPr>
              <w:t xml:space="preserve">продление срока действия аккредитива на срок, выходящий за пределы периода, комиссия за который оплачена ранее</w:t>
            </w:r>
            <w:r>
              <w:rPr>
                <w:sz w:val="20"/>
                <w:szCs w:val="20"/>
              </w:rPr>
              <w:t xml:space="preserve">:</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35"/>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3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35"/>
              <w:jc w:val="center"/>
              <w:rPr>
                <w:sz w:val="20"/>
                <w:szCs w:val="20"/>
              </w:rPr>
            </w:pPr>
            <w:r>
              <w:rPr>
                <w:sz w:val="20"/>
                <w:szCs w:val="20"/>
              </w:rPr>
              <w:t xml:space="preserve">5.2.1.1.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35"/>
              <w:rPr>
                <w:sz w:val="20"/>
                <w:szCs w:val="20"/>
              </w:rPr>
            </w:pPr>
            <w:r>
              <w:rPr>
                <w:bCs/>
                <w:color w:val="000000"/>
                <w:sz w:val="20"/>
                <w:szCs w:val="20"/>
              </w:rPr>
              <w:t xml:space="preserve">При наличии 100% денежного покрытия: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35"/>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right w:val="single" w:color="000000" w:sz="4" w:space="0"/>
            </w:tcBorders>
            <w:tcW w:w="3544" w:type="dxa"/>
            <w:vAlign w:val="center"/>
            <w:vMerge w:val="restart"/>
            <w:textDirection w:val="lrTb"/>
            <w:noWrap w:val="false"/>
          </w:tcPr>
          <w:p>
            <w:pPr>
              <w:pStyle w:val="1135"/>
              <w:jc w:val="both"/>
              <w:spacing w:before="40"/>
              <w:rPr>
                <w:iCs/>
                <w:sz w:val="20"/>
                <w:szCs w:val="20"/>
              </w:rPr>
            </w:pPr>
            <w:r>
              <w:rPr>
                <w:iCs/>
                <w:sz w:val="20"/>
                <w:szCs w:val="20"/>
              </w:rPr>
              <w:t xml:space="preserve">Комиссия взимается в течение срока действия аккредитива и периода отсрочки платежа по аккредитиву (если аккредитив исполняется с отсрочкой платежа) или срока тратты (если аккредитив исполняется путем акцепта срочной тратты).</w:t>
            </w:r>
            <w:r>
              <w:rPr>
                <w:iCs/>
                <w:sz w:val="20"/>
                <w:szCs w:val="20"/>
              </w:rPr>
            </w:r>
            <w:r>
              <w:rPr>
                <w:iCs/>
                <w:sz w:val="20"/>
                <w:szCs w:val="20"/>
              </w:rPr>
            </w:r>
          </w:p>
          <w:p>
            <w:pPr>
              <w:pStyle w:val="1135"/>
              <w:jc w:val="both"/>
              <w:spacing w:before="40"/>
              <w:rPr>
                <w:iCs/>
                <w:sz w:val="20"/>
                <w:szCs w:val="20"/>
              </w:rPr>
            </w:pPr>
            <w:r>
              <w:rPr>
                <w:iCs/>
                <w:sz w:val="20"/>
                <w:szCs w:val="20"/>
              </w:rPr>
              <w:t xml:space="preserve">Первый период начинается в дату открытия аккредитива. Каждый следующий период начинается на следующий календарный день после даты окончания предыдущего периода. Последний период заканчивается в д</w:t>
            </w:r>
            <w:r>
              <w:rPr>
                <w:iCs/>
                <w:sz w:val="20"/>
                <w:szCs w:val="20"/>
              </w:rPr>
              <w:t xml:space="preserve">ату окончания срока действия аккредитива, или в дату последнего отсроченного платежа по аккредитиву (если аккредитив исполняется с отсрочкой платежа) или в самую позднюю дату оплаты срочной тратты (если аккредитив исполняется путем акцепта срочной тратты).</w:t>
            </w:r>
            <w:r>
              <w:rPr>
                <w:iCs/>
                <w:sz w:val="20"/>
                <w:szCs w:val="20"/>
              </w:rPr>
            </w:r>
            <w:r>
              <w:rPr>
                <w:iCs/>
                <w:sz w:val="20"/>
                <w:szCs w:val="20"/>
              </w:rPr>
            </w:r>
          </w:p>
          <w:p>
            <w:pPr>
              <w:pStyle w:val="1135"/>
              <w:jc w:val="both"/>
              <w:spacing w:before="40"/>
              <w:rPr>
                <w:iCs/>
                <w:sz w:val="20"/>
                <w:szCs w:val="20"/>
              </w:rPr>
            </w:pPr>
            <w:r>
              <w:rPr>
                <w:iCs/>
                <w:sz w:val="20"/>
                <w:szCs w:val="20"/>
              </w:rPr>
              <w:t xml:space="preserve">В расчет комиссии включаются как первый, так и последний день периода.</w:t>
            </w:r>
            <w:r>
              <w:rPr>
                <w:iCs/>
                <w:sz w:val="20"/>
                <w:szCs w:val="20"/>
              </w:rPr>
            </w:r>
            <w:r>
              <w:rPr>
                <w:iCs/>
                <w:sz w:val="20"/>
                <w:szCs w:val="20"/>
              </w:rPr>
            </w:r>
          </w:p>
          <w:p>
            <w:pPr>
              <w:pStyle w:val="1135"/>
              <w:jc w:val="both"/>
              <w:spacing w:before="40"/>
              <w:rPr>
                <w:iCs/>
                <w:sz w:val="20"/>
                <w:szCs w:val="20"/>
              </w:rPr>
            </w:pPr>
            <w:r>
              <w:rPr>
                <w:iCs/>
                <w:sz w:val="20"/>
                <w:szCs w:val="20"/>
              </w:rPr>
              <w:t xml:space="preserve">Расчет суммы комиссии производится на сумму аккредитива/тратты по состоянию на дату </w:t>
            </w:r>
            <w:r>
              <w:rPr>
                <w:iCs/>
                <w:sz w:val="20"/>
                <w:szCs w:val="20"/>
              </w:rPr>
              <w:t xml:space="preserve">открытия аккредитива/на дату начала очередного периода. Комиссия уплачивается за каждый период или его часть (без учета фактического количества дней действия аккредитива в периоде) в дату открытия аккредитива/в первый рабочий день соответствующего периода.</w:t>
            </w:r>
            <w:r>
              <w:rPr>
                <w:iCs/>
                <w:sz w:val="20"/>
                <w:szCs w:val="20"/>
              </w:rPr>
            </w:r>
            <w:r>
              <w:rPr>
                <w:iCs/>
                <w:sz w:val="20"/>
                <w:szCs w:val="20"/>
              </w:rPr>
            </w:r>
          </w:p>
          <w:p>
            <w:pPr>
              <w:pStyle w:val="1135"/>
              <w:jc w:val="both"/>
              <w:spacing w:before="40"/>
              <w:rPr>
                <w:iCs/>
                <w:sz w:val="20"/>
                <w:szCs w:val="20"/>
              </w:rPr>
            </w:pPr>
            <w:r>
              <w:rPr>
                <w:iCs/>
                <w:sz w:val="20"/>
                <w:szCs w:val="20"/>
              </w:rPr>
              <w:t xml:space="preserve">При внесении в условия открытого аккредитива изменений, связанных с увеличением суммы, комиссия начисляется на сумму увеличения.</w:t>
            </w:r>
            <w:r>
              <w:rPr>
                <w:iCs/>
                <w:sz w:val="20"/>
                <w:szCs w:val="20"/>
              </w:rPr>
            </w:r>
            <w:r>
              <w:rPr>
                <w:iCs/>
                <w:sz w:val="20"/>
                <w:szCs w:val="20"/>
              </w:rPr>
            </w:r>
          </w:p>
          <w:p>
            <w:pPr>
              <w:pStyle w:val="1135"/>
              <w:jc w:val="both"/>
              <w:spacing w:before="40"/>
              <w:rPr>
                <w:iCs/>
                <w:sz w:val="20"/>
                <w:szCs w:val="20"/>
              </w:rPr>
            </w:pPr>
            <w:r>
              <w:rPr>
                <w:iCs/>
                <w:sz w:val="20"/>
                <w:szCs w:val="20"/>
              </w:rPr>
              <w:t xml:space="preserve">При внесении в условия отк</w:t>
            </w:r>
            <w:r>
              <w:rPr>
                <w:iCs/>
                <w:sz w:val="20"/>
                <w:szCs w:val="20"/>
              </w:rPr>
              <w:t xml:space="preserve">рытого аккредитива изменений, связанных 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заканчивается в дату окончания текущего периода.</w:t>
            </w:r>
            <w:r>
              <w:rPr>
                <w:iCs/>
                <w:sz w:val="20"/>
                <w:szCs w:val="20"/>
              </w:rPr>
            </w:r>
            <w:r>
              <w:rPr>
                <w:iCs/>
                <w:sz w:val="20"/>
                <w:szCs w:val="20"/>
              </w:rPr>
            </w:r>
          </w:p>
          <w:p>
            <w:pPr>
              <w:pStyle w:val="1135"/>
              <w:jc w:val="both"/>
              <w:rPr>
                <w:iCs/>
                <w:sz w:val="20"/>
                <w:szCs w:val="20"/>
              </w:rPr>
            </w:pPr>
            <w:r>
              <w:rPr>
                <w:iCs/>
                <w:sz w:val="20"/>
                <w:szCs w:val="20"/>
              </w:rPr>
              <w:t xml:space="preserve">Если в период, за который была уплачена комиссия, был совершен платеж по аккредитиву/был совершен акцепт или платеж по тратте/сумма аккредитива была уменьшена/аккредитив был закрыт, сумма комиссии не пересчитывается и не возвращается Банком.</w:t>
            </w:r>
            <w:r>
              <w:rPr>
                <w:iCs/>
                <w:sz w:val="20"/>
                <w:szCs w:val="20"/>
              </w:rPr>
            </w:r>
            <w:r>
              <w:rPr>
                <w:iCs/>
                <w:sz w:val="20"/>
                <w:szCs w:val="20"/>
              </w:rPr>
            </w:r>
          </w:p>
          <w:p>
            <w:pPr>
              <w:pStyle w:val="1135"/>
              <w:jc w:val="both"/>
              <w:rPr>
                <w:iCs/>
                <w:sz w:val="20"/>
                <w:szCs w:val="20"/>
              </w:rPr>
            </w:pPr>
            <w:r>
              <w:rPr>
                <w:iCs/>
                <w:sz w:val="20"/>
                <w:szCs w:val="20"/>
              </w:rPr>
            </w:r>
            <w:r>
              <w:rPr>
                <w:iCs/>
                <w:sz w:val="20"/>
                <w:szCs w:val="20"/>
              </w:rPr>
            </w:r>
            <w:r>
              <w:rPr>
                <w:iCs/>
                <w:sz w:val="20"/>
                <w:szCs w:val="20"/>
              </w:rPr>
            </w:r>
          </w:p>
          <w:p>
            <w:pPr>
              <w:pStyle w:val="1135"/>
              <w:jc w:val="both"/>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910"/>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35"/>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35"/>
              <w:jc w:val="both"/>
              <w:spacing w:before="40" w:after="40"/>
              <w:rPr>
                <w:bCs/>
                <w:color w:val="000000"/>
                <w:sz w:val="20"/>
                <w:szCs w:val="20"/>
              </w:rPr>
            </w:pPr>
            <w:r>
              <w:rPr>
                <w:bCs/>
                <w:color w:val="000000"/>
                <w:sz w:val="20"/>
                <w:szCs w:val="20"/>
              </w:rPr>
              <w:t xml:space="preserve">- в долларах США, рублях и иной валюте (кроме евро)</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35"/>
              <w:jc w:val="center"/>
              <w:rPr>
                <w:bCs/>
                <w:sz w:val="20"/>
                <w:szCs w:val="20"/>
              </w:rPr>
            </w:pPr>
            <w:r>
              <w:rPr>
                <w:bCs/>
                <w:sz w:val="20"/>
                <w:szCs w:val="20"/>
              </w:rPr>
              <w:t xml:space="preserve">0,15% от суммы аккредитива, увеличения суммы аккредитива и/или неиспользованного остатка средств по аккредитиву, минимум 150 евро,</w:t>
            </w:r>
            <w:r>
              <w:rPr>
                <w:bCs/>
                <w:sz w:val="20"/>
                <w:szCs w:val="20"/>
              </w:rPr>
            </w:r>
            <w:r>
              <w:rPr>
                <w:bCs/>
                <w:sz w:val="20"/>
                <w:szCs w:val="20"/>
              </w:rPr>
            </w:r>
          </w:p>
          <w:p>
            <w:pPr>
              <w:pStyle w:val="1135"/>
              <w:jc w:val="center"/>
              <w:rPr>
                <w:sz w:val="20"/>
                <w:szCs w:val="20"/>
              </w:rPr>
            </w:pPr>
            <w:r>
              <w:rPr>
                <w:bCs/>
                <w:sz w:val="20"/>
                <w:szCs w:val="20"/>
              </w:rPr>
              <w:t xml:space="preserve">за период, состоящий из 90 последовательных календарных дней, или его часть</w:t>
            </w:r>
            <w:r>
              <w:rPr>
                <w:sz w:val="20"/>
                <w:szCs w:val="20"/>
              </w:rPr>
            </w:r>
            <w:r>
              <w:rPr>
                <w:sz w:val="20"/>
                <w:szCs w:val="20"/>
              </w:rPr>
            </w:r>
          </w:p>
        </w:tc>
        <w:tc>
          <w:tcPr>
            <w:tcBorders>
              <w:left w:val="single" w:color="000000" w:sz="4" w:space="0"/>
              <w:right w:val="single" w:color="000000" w:sz="4" w:space="0"/>
            </w:tcBorders>
            <w:tcW w:w="3544" w:type="dxa"/>
            <w:vAlign w:val="top"/>
            <w:vMerge w:val="continue"/>
            <w:textDirection w:val="lrTb"/>
            <w:noWrap w:val="false"/>
          </w:tcPr>
          <w:p>
            <w:pPr>
              <w:pStyle w:val="113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175"/>
        </w:trPr>
        <w:tc>
          <w:tcPr>
            <w:tcBorders>
              <w:top w:val="single" w:color="000000" w:sz="4" w:space="0"/>
              <w:left w:val="single" w:color="000000" w:sz="4" w:space="0"/>
              <w:right w:val="single" w:color="000000" w:sz="4" w:space="0"/>
            </w:tcBorders>
            <w:tcW w:w="850" w:type="dxa"/>
            <w:vAlign w:val="top"/>
            <w:textDirection w:val="lrTb"/>
            <w:noWrap w:val="false"/>
          </w:tcPr>
          <w:p>
            <w:pPr>
              <w:pStyle w:val="1135"/>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right w:val="single" w:color="000000" w:sz="4" w:space="0"/>
            </w:tcBorders>
            <w:tcW w:w="3969" w:type="dxa"/>
            <w:vAlign w:val="top"/>
            <w:textDirection w:val="lrTb"/>
            <w:noWrap w:val="false"/>
          </w:tcPr>
          <w:p>
            <w:pPr>
              <w:pStyle w:val="1135"/>
              <w:jc w:val="both"/>
              <w:spacing w:before="40" w:after="40"/>
              <w:rPr>
                <w:bCs/>
                <w:color w:val="000000"/>
                <w:sz w:val="20"/>
                <w:szCs w:val="20"/>
              </w:rPr>
            </w:pPr>
            <w:r>
              <w:rPr>
                <w:bCs/>
                <w:color w:val="000000"/>
                <w:sz w:val="20"/>
                <w:szCs w:val="20"/>
              </w:rPr>
              <w:t xml:space="preserve">- в евро</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35"/>
              <w:jc w:val="center"/>
              <w:rPr>
                <w:bCs/>
                <w:sz w:val="20"/>
                <w:szCs w:val="20"/>
              </w:rPr>
            </w:pPr>
            <w:r>
              <w:rPr>
                <w:bCs/>
                <w:sz w:val="20"/>
                <w:szCs w:val="20"/>
              </w:rPr>
              <w:t xml:space="preserve">0,25% от суммы аккредитива, увеличения суммы аккредитива и/или неиспользованного остатка средств по аккредитиву, минимум 150 евро,</w:t>
            </w:r>
            <w:r>
              <w:rPr>
                <w:bCs/>
                <w:sz w:val="20"/>
                <w:szCs w:val="20"/>
              </w:rPr>
            </w:r>
            <w:r>
              <w:rPr>
                <w:bCs/>
                <w:sz w:val="20"/>
                <w:szCs w:val="20"/>
              </w:rPr>
            </w:r>
          </w:p>
          <w:p>
            <w:pPr>
              <w:pStyle w:val="1135"/>
              <w:jc w:val="center"/>
              <w:rPr>
                <w:bCs/>
                <w:sz w:val="20"/>
                <w:szCs w:val="20"/>
              </w:rPr>
            </w:pPr>
            <w:r>
              <w:rPr>
                <w:bCs/>
                <w:sz w:val="20"/>
                <w:szCs w:val="20"/>
              </w:rPr>
              <w:t xml:space="preserve">за период, состоящий из 90 последовательных календарных дней, или его часть</w:t>
            </w:r>
            <w:r>
              <w:rPr>
                <w:bCs/>
                <w:sz w:val="20"/>
                <w:szCs w:val="20"/>
              </w:rPr>
            </w:r>
            <w:r>
              <w:rPr>
                <w:bCs/>
                <w:sz w:val="20"/>
                <w:szCs w:val="20"/>
              </w:rPr>
            </w:r>
          </w:p>
        </w:tc>
        <w:tc>
          <w:tcPr>
            <w:tcBorders>
              <w:left w:val="single" w:color="000000" w:sz="4" w:space="0"/>
              <w:bottom w:val="single" w:color="000000" w:sz="4" w:space="0"/>
              <w:right w:val="single" w:color="000000" w:sz="4" w:space="0"/>
            </w:tcBorders>
            <w:tcW w:w="3544" w:type="dxa"/>
            <w:vAlign w:val="top"/>
            <w:vMerge w:val="continue"/>
            <w:textDirection w:val="lrTb"/>
            <w:noWrap w:val="false"/>
          </w:tcPr>
          <w:p>
            <w:pPr>
              <w:pStyle w:val="113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35"/>
        </w:trPr>
        <w:tc>
          <w:tcPr>
            <w:tcBorders>
              <w:left w:val="single" w:color="000000" w:sz="4" w:space="0"/>
              <w:bottom w:val="single" w:color="000000" w:sz="4" w:space="0"/>
              <w:right w:val="single" w:color="000000" w:sz="4" w:space="0"/>
            </w:tcBorders>
            <w:tcW w:w="850" w:type="dxa"/>
            <w:vAlign w:val="top"/>
            <w:textDirection w:val="lrTb"/>
            <w:noWrap w:val="false"/>
          </w:tcPr>
          <w:p>
            <w:pPr>
              <w:pStyle w:val="1135"/>
              <w:jc w:val="center"/>
              <w:rPr>
                <w:sz w:val="20"/>
                <w:szCs w:val="20"/>
              </w:rPr>
            </w:pPr>
            <w:r>
              <w:rPr>
                <w:sz w:val="20"/>
                <w:szCs w:val="20"/>
              </w:rPr>
              <w:t xml:space="preserve">5.2.1.2.</w:t>
            </w:r>
            <w:r>
              <w:rPr>
                <w:sz w:val="20"/>
                <w:szCs w:val="20"/>
              </w:rPr>
            </w:r>
            <w:r>
              <w:rPr>
                <w:sz w:val="20"/>
                <w:szCs w:val="20"/>
              </w:rPr>
            </w:r>
          </w:p>
        </w:tc>
        <w:tc>
          <w:tcPr>
            <w:tcBorders>
              <w:top w:val="single" w:color="000000" w:sz="4" w:space="0"/>
            </w:tcBorders>
            <w:tcW w:w="3969" w:type="dxa"/>
            <w:vAlign w:val="top"/>
            <w:textDirection w:val="lrTb"/>
            <w:noWrap w:val="false"/>
          </w:tcPr>
          <w:p>
            <w:pPr>
              <w:pStyle w:val="1135"/>
              <w:jc w:val="both"/>
              <w:spacing w:before="40" w:after="40"/>
              <w:rPr>
                <w:bCs/>
                <w:color w:val="000000"/>
                <w:sz w:val="20"/>
                <w:szCs w:val="20"/>
              </w:rPr>
            </w:pPr>
            <w:r>
              <w:rPr>
                <w:bCs/>
                <w:color w:val="000000"/>
                <w:sz w:val="20"/>
                <w:szCs w:val="20"/>
              </w:rPr>
              <w:t xml:space="preserve">При отсутствии 100% денежного покрытия </w:t>
            </w:r>
            <w:r>
              <w:rPr>
                <w:bCs/>
                <w:color w:val="000000"/>
                <w:sz w:val="20"/>
                <w:szCs w:val="20"/>
              </w:rPr>
            </w:r>
            <w:r>
              <w:rPr>
                <w:bCs/>
                <w:color w:val="000000"/>
                <w:sz w:val="20"/>
                <w:szCs w:val="20"/>
              </w:rPr>
            </w:r>
          </w:p>
        </w:tc>
        <w:tc>
          <w:tcPr>
            <w:tcBorders>
              <w:top w:val="single" w:color="000000" w:sz="4" w:space="0"/>
            </w:tcBorders>
            <w:tcW w:w="1985" w:type="dxa"/>
            <w:vAlign w:val="top"/>
            <w:textDirection w:val="lrTb"/>
            <w:noWrap w:val="false"/>
          </w:tcPr>
          <w:p>
            <w:pPr>
              <w:pStyle w:val="1135"/>
              <w:jc w:val="center"/>
              <w:rPr>
                <w:bCs/>
                <w:color w:val="000000"/>
                <w:sz w:val="20"/>
                <w:szCs w:val="20"/>
              </w:rPr>
            </w:pPr>
            <w:r>
              <w:rPr>
                <w:bCs/>
                <w:color w:val="000000"/>
                <w:sz w:val="20"/>
                <w:szCs w:val="20"/>
              </w:rPr>
              <w:t xml:space="preserve">По соглашению сторон</w:t>
            </w:r>
            <w:r>
              <w:rPr>
                <w:bCs/>
                <w:color w:val="000000"/>
                <w:sz w:val="20"/>
                <w:szCs w:val="20"/>
              </w:rPr>
            </w:r>
            <w:r>
              <w:rPr>
                <w:bCs/>
                <w:color w:val="000000"/>
                <w:sz w:val="20"/>
                <w:szCs w:val="20"/>
              </w:rPr>
            </w:r>
          </w:p>
        </w:tc>
        <w:tc>
          <w:tcPr>
            <w:tcBorders>
              <w:left w:val="single" w:color="000000" w:sz="4" w:space="0"/>
              <w:bottom w:val="single" w:color="000000" w:sz="4" w:space="0"/>
              <w:right w:val="single" w:color="000000" w:sz="4" w:space="0"/>
            </w:tcBorders>
            <w:tcW w:w="3544" w:type="dxa"/>
            <w:vAlign w:val="top"/>
            <w:textDirection w:val="lrTb"/>
            <w:noWrap w:val="false"/>
          </w:tcPr>
          <w:p>
            <w:pPr>
              <w:pStyle w:val="113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35"/>
              <w:jc w:val="center"/>
              <w:rPr>
                <w:sz w:val="20"/>
                <w:szCs w:val="20"/>
              </w:rPr>
            </w:pPr>
            <w:r>
              <w:rPr>
                <w:sz w:val="20"/>
                <w:szCs w:val="20"/>
              </w:rPr>
              <w:t xml:space="preserve">5.2.2.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35"/>
              <w:numPr>
                <w:ilvl w:val="0"/>
                <w:numId w:val="25"/>
              </w:numPr>
              <w:ind w:left="184" w:hanging="153"/>
              <w:jc w:val="both"/>
              <w:spacing w:before="40"/>
              <w:rPr>
                <w:sz w:val="20"/>
                <w:szCs w:val="20"/>
              </w:rPr>
            </w:pPr>
            <w:r>
              <w:rPr>
                <w:bCs/>
                <w:color w:val="000000"/>
                <w:sz w:val="20"/>
                <w:szCs w:val="20"/>
              </w:rPr>
              <w:t xml:space="preserve">Внесение в условия открытого Банком аккредитива изменений, не связанных с увеличением суммы</w:t>
            </w:r>
            <w:r>
              <w:rPr>
                <w:sz w:val="20"/>
                <w:szCs w:val="20"/>
              </w:rPr>
              <w:t xml:space="preserve">;</w:t>
            </w:r>
            <w:r>
              <w:rPr>
                <w:sz w:val="20"/>
                <w:szCs w:val="20"/>
              </w:rPr>
            </w:r>
            <w:r>
              <w:rPr>
                <w:sz w:val="20"/>
                <w:szCs w:val="20"/>
              </w:rPr>
            </w:r>
          </w:p>
          <w:p>
            <w:pPr>
              <w:pStyle w:val="1135"/>
              <w:numPr>
                <w:ilvl w:val="0"/>
                <w:numId w:val="25"/>
              </w:numPr>
              <w:ind w:left="184" w:hanging="153"/>
              <w:jc w:val="both"/>
              <w:spacing w:before="40"/>
              <w:rPr>
                <w:bCs/>
                <w:color w:val="000000"/>
                <w:sz w:val="20"/>
                <w:szCs w:val="20"/>
              </w:rPr>
            </w:pPr>
            <w:r>
              <w:rPr>
                <w:bCs/>
                <w:color w:val="000000"/>
                <w:sz w:val="20"/>
                <w:szCs w:val="20"/>
              </w:rPr>
              <w:t xml:space="preserve">запрос согласия на аннуляцию аккредитива</w:t>
            </w:r>
            <w:r>
              <w:rPr>
                <w:bCs/>
                <w:color w:val="000000"/>
                <w:sz w:val="20"/>
                <w:szCs w:val="20"/>
              </w:rPr>
            </w:r>
            <w:r>
              <w:rPr>
                <w:bCs/>
                <w:color w:val="000000"/>
                <w:sz w:val="20"/>
                <w:szCs w:val="20"/>
              </w:rPr>
            </w:r>
          </w:p>
          <w:p>
            <w:pPr>
              <w:pStyle w:val="1135"/>
              <w:rPr>
                <w:sz w:val="20"/>
                <w:szCs w:val="20"/>
              </w:rPr>
            </w:pPr>
            <w:r>
              <w:rPr>
                <w:bCs/>
                <w:color w:val="000000"/>
                <w:sz w:val="20"/>
                <w:szCs w:val="20"/>
              </w:rPr>
              <w:t xml:space="preserve">(не применяется при изменении условий и аннуляции трансферированного аккредитива)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35"/>
              <w:jc w:val="center"/>
              <w:rPr>
                <w:sz w:val="20"/>
                <w:szCs w:val="20"/>
              </w:rPr>
            </w:pPr>
            <w:r>
              <w:rPr>
                <w:sz w:val="20"/>
                <w:szCs w:val="20"/>
              </w:rPr>
              <w:t xml:space="preserve">50</w:t>
            </w:r>
            <w:r>
              <w:rPr>
                <w:sz w:val="20"/>
                <w:szCs w:val="20"/>
              </w:rPr>
              <w:t xml:space="preserve"> евро</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3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35"/>
              <w:jc w:val="center"/>
              <w:rPr>
                <w:sz w:val="20"/>
                <w:szCs w:val="20"/>
              </w:rPr>
            </w:pPr>
            <w:r>
              <w:rPr>
                <w:sz w:val="20"/>
                <w:szCs w:val="20"/>
              </w:rPr>
              <w:t xml:space="preserve">5.2.3.</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35"/>
              <w:rPr>
                <w:sz w:val="20"/>
                <w:szCs w:val="20"/>
              </w:rPr>
            </w:pPr>
            <w:r>
              <w:rPr>
                <w:sz w:val="20"/>
                <w:szCs w:val="20"/>
              </w:rPr>
              <w:t xml:space="preserve">Обработка/проверка документов</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35"/>
              <w:jc w:val="center"/>
              <w:rPr>
                <w:sz w:val="20"/>
                <w:szCs w:val="20"/>
              </w:rPr>
            </w:pPr>
            <w:r>
              <w:rPr>
                <w:sz w:val="20"/>
                <w:szCs w:val="20"/>
              </w:rPr>
              <w:t xml:space="preserve">0,15% от суммы, подлежащей оплате,</w:t>
            </w:r>
            <w:r>
              <w:rPr>
                <w:sz w:val="20"/>
                <w:szCs w:val="20"/>
              </w:rPr>
            </w:r>
            <w:r>
              <w:rPr>
                <w:sz w:val="20"/>
                <w:szCs w:val="20"/>
              </w:rPr>
            </w:r>
          </w:p>
          <w:p>
            <w:pPr>
              <w:pStyle w:val="1135"/>
              <w:jc w:val="center"/>
              <w:rPr>
                <w:sz w:val="20"/>
                <w:szCs w:val="20"/>
              </w:rPr>
            </w:pPr>
            <w:r>
              <w:rPr>
                <w:sz w:val="20"/>
                <w:szCs w:val="20"/>
              </w:rPr>
              <w:t xml:space="preserve">минимум 150 </w:t>
            </w:r>
            <w:r>
              <w:rPr>
                <w:sz w:val="20"/>
                <w:szCs w:val="20"/>
              </w:rPr>
              <w:t xml:space="preserve">евро</w:t>
            </w:r>
            <w:r>
              <w:rPr>
                <w:sz w:val="20"/>
                <w:szCs w:val="20"/>
              </w:rPr>
              <w:t xml:space="preserve">, максимум 5000 </w:t>
            </w:r>
            <w:r>
              <w:rPr>
                <w:sz w:val="20"/>
                <w:szCs w:val="20"/>
              </w:rPr>
              <w:t xml:space="preserve">евро</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35"/>
              <w:rPr>
                <w:sz w:val="20"/>
                <w:szCs w:val="20"/>
              </w:rPr>
            </w:pPr>
            <w:r>
              <w:rPr>
                <w:sz w:val="20"/>
                <w:szCs w:val="20"/>
              </w:rPr>
              <w:t xml:space="preserve">Комиссия взимается за обработку/проверку одного комплекта документов (в т. ч. если документы не приняты к оплате) исходя из суммы, подлежащей оплате в рамках аккредитива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35"/>
              <w:jc w:val="center"/>
              <w:rPr>
                <w:sz w:val="20"/>
                <w:szCs w:val="20"/>
              </w:rPr>
            </w:pPr>
            <w:r>
              <w:rPr>
                <w:sz w:val="20"/>
                <w:szCs w:val="20"/>
              </w:rPr>
              <w:t xml:space="preserve">5.2.4.</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35"/>
              <w:rPr>
                <w:sz w:val="20"/>
                <w:szCs w:val="20"/>
              </w:rPr>
            </w:pPr>
            <w:r>
              <w:rPr>
                <w:sz w:val="20"/>
                <w:szCs w:val="20"/>
              </w:rPr>
              <w:t xml:space="preserve">Проверка документов, представленных с расхождениями с условиями аккредитива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35"/>
              <w:jc w:val="center"/>
              <w:rPr>
                <w:sz w:val="20"/>
                <w:szCs w:val="20"/>
              </w:rPr>
            </w:pPr>
            <w:r>
              <w:rPr>
                <w:sz w:val="20"/>
                <w:szCs w:val="20"/>
              </w:rPr>
              <w:t xml:space="preserve">50 </w:t>
            </w:r>
            <w:r>
              <w:rPr>
                <w:sz w:val="20"/>
                <w:szCs w:val="20"/>
              </w:rPr>
              <w:t xml:space="preserve">евро</w:t>
            </w:r>
            <w:r>
              <w:rPr>
                <w:sz w:val="20"/>
                <w:szCs w:val="20"/>
              </w:rPr>
              <w:t xml:space="preserve"> за каждый комплект документов</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35"/>
              <w:rPr>
                <w:sz w:val="20"/>
                <w:szCs w:val="20"/>
              </w:rPr>
            </w:pPr>
            <w:r>
              <w:rPr>
                <w:sz w:val="20"/>
                <w:szCs w:val="20"/>
              </w:rPr>
              <w:t xml:space="preserve">Комиссия взимается в дополнение к комиссии, указанной в п. 5.2.3, и предъявляется к оплате бенефициару; в случае если бенефициар не оплатил данную комиссию, она может быть предъявлена к оплате плательщику</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35"/>
              <w:jc w:val="center"/>
              <w:rPr>
                <w:sz w:val="20"/>
                <w:szCs w:val="20"/>
              </w:rPr>
            </w:pPr>
            <w:r>
              <w:rPr>
                <w:sz w:val="20"/>
                <w:szCs w:val="20"/>
              </w:rPr>
              <w:t xml:space="preserve">5.2.5.</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35"/>
              <w:numPr>
                <w:ilvl w:val="0"/>
                <w:numId w:val="25"/>
              </w:numPr>
              <w:ind w:left="184" w:hanging="153"/>
              <w:jc w:val="both"/>
              <w:spacing w:before="40"/>
              <w:rPr>
                <w:bCs/>
                <w:color w:val="000000"/>
                <w:sz w:val="20"/>
                <w:szCs w:val="20"/>
              </w:rPr>
            </w:pPr>
            <w:r>
              <w:rPr>
                <w:bCs/>
                <w:color w:val="000000"/>
                <w:sz w:val="20"/>
                <w:szCs w:val="20"/>
              </w:rPr>
              <w:t xml:space="preserve">Перевод аккредитива в пользу другого бенефициара (трансферация);</w:t>
            </w:r>
            <w:r>
              <w:rPr>
                <w:bCs/>
                <w:color w:val="000000"/>
                <w:sz w:val="20"/>
                <w:szCs w:val="20"/>
              </w:rPr>
            </w:r>
            <w:r>
              <w:rPr>
                <w:bCs/>
                <w:color w:val="000000"/>
                <w:sz w:val="20"/>
                <w:szCs w:val="20"/>
              </w:rPr>
            </w:r>
          </w:p>
          <w:p>
            <w:pPr>
              <w:pStyle w:val="1135"/>
              <w:numPr>
                <w:ilvl w:val="0"/>
                <w:numId w:val="25"/>
              </w:numPr>
              <w:ind w:left="184" w:hanging="153"/>
              <w:jc w:val="both"/>
              <w:spacing w:before="40"/>
              <w:rPr>
                <w:bCs/>
                <w:color w:val="000000"/>
              </w:rPr>
            </w:pPr>
            <w:r>
              <w:rPr>
                <w:bCs/>
                <w:color w:val="000000"/>
                <w:sz w:val="20"/>
                <w:szCs w:val="20"/>
              </w:rPr>
              <w:t xml:space="preserve">изменение условий трансферированного аккредитива, связанное с увеличением суммы</w:t>
            </w:r>
            <w:r>
              <w:rPr>
                <w:bCs/>
                <w:color w:val="000000"/>
              </w:rPr>
            </w:r>
            <w:r>
              <w:rPr>
                <w:bCs/>
                <w:color w:val="00000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35"/>
              <w:jc w:val="center"/>
              <w:rPr>
                <w:sz w:val="20"/>
                <w:szCs w:val="20"/>
              </w:rPr>
            </w:pPr>
            <w:r>
              <w:rPr>
                <w:sz w:val="20"/>
                <w:szCs w:val="20"/>
              </w:rPr>
              <w:t xml:space="preserve">0,15% от трансферированной суммы или суммы её увеличения, минимум 150 </w:t>
            </w:r>
            <w:r>
              <w:rPr>
                <w:sz w:val="20"/>
                <w:szCs w:val="20"/>
              </w:rPr>
              <w:t xml:space="preserve">евро</w:t>
            </w:r>
            <w:r>
              <w:rPr>
                <w:sz w:val="20"/>
                <w:szCs w:val="20"/>
              </w:rPr>
              <w:t xml:space="preserve"> максимум 1000 </w:t>
            </w:r>
            <w:r>
              <w:rPr>
                <w:sz w:val="20"/>
                <w:szCs w:val="20"/>
              </w:rPr>
              <w:t xml:space="preserve">евро</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3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35"/>
              <w:jc w:val="center"/>
              <w:rPr>
                <w:sz w:val="20"/>
                <w:szCs w:val="20"/>
              </w:rPr>
            </w:pPr>
            <w:r>
              <w:rPr>
                <w:sz w:val="20"/>
                <w:szCs w:val="20"/>
              </w:rPr>
              <w:t xml:space="preserve">5.2.6.</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35"/>
              <w:numPr>
                <w:ilvl w:val="0"/>
                <w:numId w:val="31"/>
              </w:numPr>
              <w:rPr>
                <w:sz w:val="20"/>
                <w:szCs w:val="20"/>
              </w:rPr>
            </w:pPr>
            <w:r>
              <w:rPr>
                <w:sz w:val="20"/>
                <w:szCs w:val="20"/>
              </w:rPr>
              <w:t xml:space="preserve">Изменение условий </w:t>
            </w:r>
            <w:r>
              <w:rPr>
                <w:sz w:val="20"/>
                <w:szCs w:val="20"/>
              </w:rPr>
              <w:t xml:space="preserve">трансферированного аккредитива, не связанное с увеличением суммы;</w:t>
            </w:r>
            <w:r>
              <w:rPr>
                <w:sz w:val="20"/>
                <w:szCs w:val="20"/>
              </w:rPr>
            </w:r>
            <w:r>
              <w:rPr>
                <w:sz w:val="20"/>
                <w:szCs w:val="20"/>
              </w:rPr>
            </w:r>
          </w:p>
          <w:p>
            <w:pPr>
              <w:pStyle w:val="1135"/>
              <w:numPr>
                <w:ilvl w:val="0"/>
                <w:numId w:val="31"/>
              </w:numPr>
              <w:rPr>
                <w:sz w:val="20"/>
                <w:szCs w:val="20"/>
              </w:rPr>
            </w:pPr>
            <w:r>
              <w:rPr>
                <w:sz w:val="20"/>
                <w:szCs w:val="20"/>
              </w:rPr>
              <w:t xml:space="preserve">запрос согласия на аннуляцию трансферированного аккредитива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35"/>
              <w:jc w:val="center"/>
              <w:rPr>
                <w:sz w:val="20"/>
                <w:szCs w:val="20"/>
              </w:rPr>
            </w:pPr>
            <w:r>
              <w:rPr>
                <w:sz w:val="20"/>
                <w:szCs w:val="20"/>
              </w:rPr>
              <w:t xml:space="preserve">150 </w:t>
            </w:r>
            <w:r>
              <w:rPr>
                <w:sz w:val="20"/>
                <w:szCs w:val="20"/>
              </w:rPr>
              <w:t xml:space="preserve">евро</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3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4"/>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1135"/>
              <w:jc w:val="center"/>
              <w:rPr>
                <w:sz w:val="20"/>
                <w:szCs w:val="20"/>
              </w:rPr>
            </w:pPr>
            <w:r>
              <w:rPr>
                <w:sz w:val="20"/>
                <w:szCs w:val="20"/>
              </w:rPr>
              <w:t xml:space="preserve">5.3.</w:t>
            </w:r>
            <w:r>
              <w:rPr>
                <w:sz w:val="20"/>
                <w:szCs w:val="20"/>
              </w:rPr>
              <w:t xml:space="preserve"> </w:t>
            </w:r>
            <w:r>
              <w:rPr>
                <w:sz w:val="20"/>
                <w:szCs w:val="20"/>
              </w:rPr>
              <w:t xml:space="preserve">Документарные аккредитивы, открытые другими банками для расчетов по внешнеторговым сделкам (экспортные аккредитивы)</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35"/>
              <w:jc w:val="center"/>
              <w:rPr>
                <w:sz w:val="20"/>
                <w:szCs w:val="20"/>
              </w:rPr>
            </w:pPr>
            <w:r>
              <w:rPr>
                <w:sz w:val="20"/>
                <w:szCs w:val="20"/>
              </w:rPr>
              <w:t xml:space="preserve">5.3.1.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35"/>
              <w:rPr>
                <w:sz w:val="20"/>
                <w:szCs w:val="20"/>
              </w:rPr>
            </w:pPr>
            <w:r>
              <w:rPr>
                <w:sz w:val="20"/>
                <w:szCs w:val="20"/>
              </w:rPr>
              <w:t xml:space="preserve">Предварительное авизование аккредитива</w:t>
            </w:r>
            <w:r>
              <w:rPr>
                <w:sz w:val="20"/>
                <w:szCs w:val="20"/>
              </w:rPr>
            </w:r>
            <w:r>
              <w:rPr>
                <w:sz w:val="20"/>
                <w:szCs w:val="20"/>
              </w:rPr>
            </w:r>
          </w:p>
          <w:p>
            <w:pPr>
              <w:pStyle w:val="1135"/>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35"/>
              <w:jc w:val="center"/>
              <w:rPr>
                <w:sz w:val="20"/>
                <w:szCs w:val="20"/>
              </w:rPr>
            </w:pPr>
            <w:r>
              <w:rPr>
                <w:sz w:val="20"/>
                <w:szCs w:val="20"/>
              </w:rPr>
              <w:t xml:space="preserve">150 </w:t>
            </w:r>
            <w:r>
              <w:rPr>
                <w:sz w:val="20"/>
                <w:szCs w:val="20"/>
              </w:rPr>
              <w:t xml:space="preserve">евро</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35"/>
              <w:rPr>
                <w:sz w:val="20"/>
                <w:szCs w:val="20"/>
              </w:rPr>
            </w:pPr>
            <w:r>
              <w:rPr>
                <w:sz w:val="20"/>
                <w:szCs w:val="20"/>
              </w:rPr>
              <w:t xml:space="preserve"> </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35"/>
              <w:jc w:val="center"/>
              <w:rPr>
                <w:sz w:val="20"/>
                <w:szCs w:val="20"/>
              </w:rPr>
            </w:pPr>
            <w:r>
              <w:rPr>
                <w:sz w:val="20"/>
                <w:szCs w:val="20"/>
              </w:rPr>
              <w:t xml:space="preserve">5.3.2.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35"/>
              <w:numPr>
                <w:ilvl w:val="0"/>
                <w:numId w:val="32"/>
              </w:numPr>
              <w:rPr>
                <w:sz w:val="20"/>
                <w:szCs w:val="20"/>
              </w:rPr>
            </w:pPr>
            <w:r>
              <w:rPr>
                <w:sz w:val="20"/>
                <w:szCs w:val="20"/>
              </w:rPr>
              <w:t xml:space="preserve">Авизование аккредитива; </w:t>
            </w:r>
            <w:r>
              <w:rPr>
                <w:sz w:val="20"/>
                <w:szCs w:val="20"/>
              </w:rPr>
            </w:r>
            <w:r>
              <w:rPr>
                <w:sz w:val="20"/>
                <w:szCs w:val="20"/>
              </w:rPr>
            </w:r>
          </w:p>
          <w:p>
            <w:pPr>
              <w:pStyle w:val="1135"/>
              <w:numPr>
                <w:ilvl w:val="0"/>
                <w:numId w:val="32"/>
              </w:numPr>
              <w:rPr>
                <w:sz w:val="20"/>
                <w:szCs w:val="20"/>
              </w:rPr>
            </w:pPr>
            <w:r>
              <w:rPr>
                <w:sz w:val="20"/>
                <w:szCs w:val="20"/>
              </w:rPr>
              <w:t xml:space="preserve">авизование изменения условий </w:t>
            </w:r>
            <w:r>
              <w:rPr>
                <w:sz w:val="20"/>
                <w:szCs w:val="20"/>
              </w:rPr>
              <w:t xml:space="preserve">ранее авизованного </w:t>
            </w:r>
            <w:r>
              <w:rPr>
                <w:sz w:val="20"/>
                <w:szCs w:val="20"/>
              </w:rPr>
              <w:t xml:space="preserve">аккредитива, связанного с увеличением суммы </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35"/>
              <w:jc w:val="center"/>
              <w:rPr>
                <w:sz w:val="20"/>
                <w:szCs w:val="20"/>
              </w:rPr>
            </w:pPr>
            <w:r>
              <w:rPr>
                <w:sz w:val="20"/>
                <w:szCs w:val="20"/>
              </w:rPr>
              <w:t xml:space="preserve">0,15% от суммы аккредитива или от суммы увеличения,</w:t>
            </w:r>
            <w:r>
              <w:rPr>
                <w:sz w:val="20"/>
                <w:szCs w:val="20"/>
              </w:rPr>
            </w:r>
            <w:r>
              <w:rPr>
                <w:sz w:val="20"/>
                <w:szCs w:val="20"/>
              </w:rPr>
            </w:r>
          </w:p>
          <w:p>
            <w:pPr>
              <w:pStyle w:val="1135"/>
              <w:jc w:val="center"/>
              <w:rPr>
                <w:sz w:val="20"/>
                <w:szCs w:val="20"/>
              </w:rPr>
            </w:pPr>
            <w:r>
              <w:rPr>
                <w:sz w:val="20"/>
                <w:szCs w:val="20"/>
              </w:rPr>
              <w:t xml:space="preserve">минимум 150 </w:t>
            </w:r>
            <w:r>
              <w:rPr>
                <w:sz w:val="20"/>
                <w:szCs w:val="20"/>
              </w:rPr>
              <w:t xml:space="preserve">евро</w:t>
            </w:r>
            <w:r>
              <w:rPr>
                <w:sz w:val="20"/>
                <w:szCs w:val="20"/>
              </w:rPr>
              <w:t xml:space="preserve">, максимум 1000 </w:t>
            </w:r>
            <w:r>
              <w:rPr>
                <w:sz w:val="20"/>
                <w:szCs w:val="20"/>
              </w:rPr>
              <w:t xml:space="preserve">евро</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3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35"/>
              <w:jc w:val="center"/>
              <w:rPr>
                <w:sz w:val="20"/>
                <w:szCs w:val="20"/>
              </w:rPr>
            </w:pPr>
            <w:r>
              <w:rPr>
                <w:sz w:val="20"/>
                <w:szCs w:val="20"/>
              </w:rPr>
              <w:t xml:space="preserve">5.3.3.</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35"/>
              <w:numPr>
                <w:ilvl w:val="0"/>
                <w:numId w:val="33"/>
              </w:numPr>
              <w:rPr>
                <w:sz w:val="20"/>
                <w:szCs w:val="20"/>
              </w:rPr>
            </w:pPr>
            <w:r>
              <w:rPr>
                <w:sz w:val="20"/>
                <w:szCs w:val="20"/>
              </w:rPr>
              <w:t xml:space="preserve">Подтверждение аккредитива,</w:t>
            </w:r>
            <w:r>
              <w:rPr>
                <w:sz w:val="20"/>
                <w:szCs w:val="20"/>
              </w:rPr>
            </w:r>
            <w:r>
              <w:rPr>
                <w:sz w:val="20"/>
                <w:szCs w:val="20"/>
              </w:rPr>
            </w:r>
          </w:p>
          <w:p>
            <w:pPr>
              <w:pStyle w:val="1135"/>
              <w:numPr>
                <w:ilvl w:val="0"/>
                <w:numId w:val="33"/>
              </w:numPr>
              <w:rPr>
                <w:sz w:val="20"/>
                <w:szCs w:val="20"/>
              </w:rPr>
            </w:pPr>
            <w:r>
              <w:rPr>
                <w:sz w:val="20"/>
                <w:szCs w:val="20"/>
              </w:rPr>
              <w:t xml:space="preserve">подтверждение</w:t>
            </w:r>
            <w:r>
              <w:rPr>
                <w:sz w:val="20"/>
                <w:szCs w:val="20"/>
              </w:rPr>
              <w:t xml:space="preserve"> изменения условий подтвержденного Банком аккредитива, связанного с увеличением суммы </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35"/>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3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none" w:color="000000" w:sz="4" w:space="0"/>
              <w:right w:val="single" w:color="000000" w:sz="4" w:space="0"/>
            </w:tcBorders>
            <w:tcW w:w="850" w:type="dxa"/>
            <w:vAlign w:val="top"/>
            <w:textDirection w:val="lrTb"/>
            <w:noWrap w:val="false"/>
          </w:tcPr>
          <w:p>
            <w:pPr>
              <w:pStyle w:val="1135"/>
              <w:jc w:val="center"/>
              <w:rPr>
                <w:sz w:val="20"/>
                <w:szCs w:val="20"/>
              </w:rPr>
            </w:pPr>
            <w:r>
              <w:rPr>
                <w:sz w:val="20"/>
                <w:szCs w:val="20"/>
              </w:rPr>
              <w:t xml:space="preserve">5.3.3.1.</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135"/>
              <w:rPr>
                <w:sz w:val="20"/>
                <w:szCs w:val="20"/>
              </w:rPr>
            </w:pPr>
            <w:r>
              <w:rPr>
                <w:sz w:val="20"/>
                <w:szCs w:val="20"/>
              </w:rPr>
              <w:t xml:space="preserve">П</w:t>
            </w:r>
            <w:r>
              <w:rPr>
                <w:sz w:val="20"/>
                <w:szCs w:val="20"/>
              </w:rPr>
              <w:t xml:space="preserve">ри предоставлении банком-эмитентом </w:t>
            </w:r>
            <w:r>
              <w:rPr>
                <w:sz w:val="20"/>
                <w:szCs w:val="20"/>
              </w:rPr>
              <w:t xml:space="preserve">100 %</w:t>
            </w:r>
            <w:r>
              <w:rPr>
                <w:sz w:val="20"/>
                <w:szCs w:val="20"/>
              </w:rPr>
              <w:t xml:space="preserve"> денежного покрытия </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1985" w:type="dxa"/>
            <w:vAlign w:val="top"/>
            <w:textDirection w:val="lrTb"/>
            <w:noWrap w:val="false"/>
          </w:tcPr>
          <w:p>
            <w:pPr>
              <w:pStyle w:val="1135"/>
              <w:jc w:val="center"/>
              <w:rPr>
                <w:bCs/>
                <w:sz w:val="20"/>
                <w:szCs w:val="20"/>
              </w:rPr>
            </w:pPr>
            <w:r>
              <w:rPr>
                <w:bCs/>
                <w:sz w:val="20"/>
                <w:szCs w:val="20"/>
              </w:rPr>
              <w:t xml:space="preserve">0,20% от суммы аккредитива, увеличения суммы аккредитива и/или неиспользованного остатка средств по аккредитиву,</w:t>
            </w:r>
            <w:r>
              <w:rPr>
                <w:bCs/>
                <w:sz w:val="20"/>
                <w:szCs w:val="20"/>
              </w:rPr>
            </w:r>
            <w:r>
              <w:rPr>
                <w:bCs/>
                <w:sz w:val="20"/>
                <w:szCs w:val="20"/>
              </w:rPr>
            </w:r>
          </w:p>
          <w:p>
            <w:pPr>
              <w:pStyle w:val="1135"/>
              <w:jc w:val="center"/>
              <w:rPr>
                <w:bCs/>
                <w:sz w:val="20"/>
                <w:szCs w:val="20"/>
              </w:rPr>
            </w:pPr>
            <w:r>
              <w:rPr>
                <w:bCs/>
                <w:sz w:val="20"/>
                <w:szCs w:val="20"/>
              </w:rPr>
              <w:t xml:space="preserve">минимум 150 евро,</w:t>
            </w:r>
            <w:r>
              <w:rPr>
                <w:bCs/>
                <w:sz w:val="20"/>
                <w:szCs w:val="20"/>
              </w:rPr>
            </w:r>
            <w:r>
              <w:rPr>
                <w:bCs/>
                <w:sz w:val="20"/>
                <w:szCs w:val="20"/>
              </w:rPr>
            </w:r>
          </w:p>
          <w:p>
            <w:pPr>
              <w:pStyle w:val="1135"/>
              <w:jc w:val="center"/>
              <w:rPr>
                <w:bCs/>
                <w:color w:val="000000"/>
                <w:sz w:val="20"/>
                <w:szCs w:val="20"/>
              </w:rPr>
            </w:pPr>
            <w:r>
              <w:rPr>
                <w:bCs/>
                <w:sz w:val="20"/>
                <w:szCs w:val="20"/>
              </w:rPr>
              <w:t xml:space="preserve">за период, состоящий из 90 последовательных календарных дней, или его часть</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3544" w:type="dxa"/>
            <w:vAlign w:val="top"/>
            <w:textDirection w:val="lrTb"/>
            <w:noWrap w:val="false"/>
          </w:tcPr>
          <w:p>
            <w:pPr>
              <w:pStyle w:val="1135"/>
              <w:jc w:val="both"/>
              <w:spacing w:before="40"/>
              <w:rPr>
                <w:iCs/>
                <w:sz w:val="20"/>
                <w:szCs w:val="20"/>
              </w:rPr>
            </w:pPr>
            <w:r>
              <w:rPr>
                <w:iCs/>
                <w:sz w:val="20"/>
                <w:szCs w:val="20"/>
              </w:rPr>
              <w:t xml:space="preserve">Комиссия взимается в течение срока действия аккредитива и периода отсрочки платежа по аккредитиву (если аккредитив исполняется с отсрочкой платежа) и срока тратты (если аккредитив исполняется путем акцепта срочной тратты).</w:t>
            </w:r>
            <w:r>
              <w:rPr>
                <w:iCs/>
                <w:sz w:val="20"/>
                <w:szCs w:val="20"/>
              </w:rPr>
            </w:r>
            <w:r>
              <w:rPr>
                <w:iCs/>
                <w:sz w:val="20"/>
                <w:szCs w:val="20"/>
              </w:rPr>
            </w:r>
          </w:p>
          <w:p>
            <w:pPr>
              <w:pStyle w:val="1135"/>
              <w:jc w:val="both"/>
              <w:spacing w:before="40"/>
              <w:rPr>
                <w:iCs/>
                <w:sz w:val="20"/>
                <w:szCs w:val="20"/>
              </w:rPr>
            </w:pPr>
            <w:r>
              <w:rPr>
                <w:iCs/>
                <w:sz w:val="20"/>
                <w:szCs w:val="20"/>
              </w:rPr>
              <w:t xml:space="preserve">Первый период начинается в дату подтверждения аккредитива. Каждый следующий период начинается на следующий календарный день после даты окончания предыдущего периода. Последний период заканчивается в д</w:t>
            </w:r>
            <w:r>
              <w:rPr>
                <w:iCs/>
                <w:sz w:val="20"/>
                <w:szCs w:val="20"/>
              </w:rPr>
              <w:t xml:space="preserve">ату окончания срока действия аккредитива, или в дату последнего отсроченного платежа по аккредитиву (если аккредитив исполняется с отсрочкой платежа) или в самую позднюю дату оплаты срочной тратты (если аккредитив исполняется путем акцепта срочной тратты).</w:t>
            </w:r>
            <w:r>
              <w:rPr>
                <w:iCs/>
                <w:sz w:val="20"/>
                <w:szCs w:val="20"/>
              </w:rPr>
            </w:r>
            <w:r>
              <w:rPr>
                <w:iCs/>
                <w:sz w:val="20"/>
                <w:szCs w:val="20"/>
              </w:rPr>
            </w:r>
          </w:p>
          <w:p>
            <w:pPr>
              <w:pStyle w:val="1135"/>
              <w:jc w:val="both"/>
              <w:spacing w:before="40"/>
              <w:rPr>
                <w:iCs/>
                <w:sz w:val="20"/>
                <w:szCs w:val="20"/>
              </w:rPr>
            </w:pPr>
            <w:r>
              <w:rPr>
                <w:iCs/>
                <w:sz w:val="20"/>
                <w:szCs w:val="20"/>
              </w:rPr>
              <w:t xml:space="preserve">В расчет комиссии включаются как первый, так и последний день периода.</w:t>
            </w:r>
            <w:r>
              <w:rPr>
                <w:iCs/>
                <w:sz w:val="20"/>
                <w:szCs w:val="20"/>
              </w:rPr>
            </w:r>
            <w:r>
              <w:rPr>
                <w:iCs/>
                <w:sz w:val="20"/>
                <w:szCs w:val="20"/>
              </w:rPr>
            </w:r>
          </w:p>
          <w:p>
            <w:pPr>
              <w:pStyle w:val="1135"/>
              <w:jc w:val="both"/>
              <w:spacing w:before="40"/>
              <w:rPr>
                <w:iCs/>
                <w:sz w:val="20"/>
                <w:szCs w:val="20"/>
              </w:rPr>
            </w:pPr>
            <w:r>
              <w:rPr>
                <w:iCs/>
                <w:sz w:val="20"/>
                <w:szCs w:val="20"/>
              </w:rPr>
              <w:t xml:space="preserve">Начисление комиссии производится на сумму аккредитива / неиспользованного остатка средств по аккредитиву / тратты по состоянию на начало каждого дня периода (при этом в дату подтверждения аккредитива комиссия начисляется</w:t>
            </w:r>
            <w:r>
              <w:rPr>
                <w:iCs/>
                <w:sz w:val="20"/>
                <w:szCs w:val="20"/>
              </w:rPr>
              <w:t xml:space="preserve"> на сумму аккредитива, в дату подтверждения увеличения суммы аккредитива – на сумму неиспользованного остатка средств по аккредитиву с учетом увеличения его суммы). Комиссия начисляется без учета фактического количества дней действия аккредитива в периоде.</w:t>
            </w:r>
            <w:r>
              <w:rPr>
                <w:iCs/>
                <w:sz w:val="20"/>
                <w:szCs w:val="20"/>
              </w:rPr>
            </w:r>
            <w:r>
              <w:rPr>
                <w:iCs/>
                <w:sz w:val="20"/>
                <w:szCs w:val="20"/>
              </w:rPr>
            </w:r>
          </w:p>
          <w:p>
            <w:pPr>
              <w:pStyle w:val="1135"/>
              <w:jc w:val="both"/>
              <w:spacing w:before="40"/>
              <w:rPr>
                <w:iCs/>
                <w:sz w:val="20"/>
                <w:szCs w:val="20"/>
              </w:rPr>
            </w:pPr>
            <w:r>
              <w:rPr>
                <w:iCs/>
                <w:sz w:val="20"/>
                <w:szCs w:val="20"/>
              </w:rPr>
              <w:t xml:space="preserve">Комиссия уплачивается в начисленной сумме п</w:t>
            </w:r>
            <w:r>
              <w:rPr>
                <w:iCs/>
                <w:sz w:val="20"/>
                <w:szCs w:val="20"/>
              </w:rPr>
              <w:t xml:space="preserve">о мере осуществления платежей по аккредитиву/тратте в дату осуществления соответствующего платежа, а в случае, если аккредитив не был использован или был использован не полностью - не позднее пятого рабочего дня с даты истечения срока действия аккредитива.</w:t>
            </w:r>
            <w:r>
              <w:rPr>
                <w:iCs/>
                <w:sz w:val="20"/>
                <w:szCs w:val="20"/>
              </w:rPr>
            </w:r>
            <w:r>
              <w:rPr>
                <w:iCs/>
                <w:sz w:val="20"/>
                <w:szCs w:val="20"/>
              </w:rPr>
            </w:r>
          </w:p>
          <w:p>
            <w:pPr>
              <w:pStyle w:val="1135"/>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35"/>
              <w:jc w:val="center"/>
              <w:rPr>
                <w:sz w:val="20"/>
                <w:szCs w:val="20"/>
              </w:rPr>
            </w:pPr>
            <w:r>
              <w:rPr>
                <w:sz w:val="20"/>
                <w:szCs w:val="20"/>
              </w:rPr>
              <w:t xml:space="preserve">5.3.3.2.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35"/>
              <w:rPr>
                <w:sz w:val="20"/>
                <w:szCs w:val="20"/>
              </w:rPr>
            </w:pPr>
            <w:r>
              <w:rPr>
                <w:bCs/>
                <w:color w:val="000000"/>
                <w:sz w:val="20"/>
                <w:szCs w:val="20"/>
              </w:rPr>
              <w:t xml:space="preserve">При отсутствии 100% денежного покрытия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35"/>
              <w:jc w:val="center"/>
              <w:rPr>
                <w:sz w:val="20"/>
                <w:szCs w:val="20"/>
              </w:rPr>
            </w:pPr>
            <w:r>
              <w:rPr>
                <w:sz w:val="20"/>
                <w:szCs w:val="20"/>
              </w:rPr>
              <w:t xml:space="preserve">по соглашению сторон</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3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35"/>
              <w:jc w:val="center"/>
              <w:rPr>
                <w:sz w:val="20"/>
                <w:szCs w:val="20"/>
              </w:rPr>
            </w:pPr>
            <w:r>
              <w:rPr>
                <w:sz w:val="20"/>
                <w:szCs w:val="20"/>
              </w:rPr>
              <w:t xml:space="preserve">5.3.4.</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35"/>
              <w:numPr>
                <w:ilvl w:val="0"/>
                <w:numId w:val="25"/>
              </w:numPr>
              <w:ind w:left="184" w:hanging="153"/>
              <w:jc w:val="both"/>
              <w:spacing w:before="40"/>
              <w:rPr>
                <w:bCs/>
                <w:color w:val="000000"/>
                <w:sz w:val="20"/>
                <w:szCs w:val="20"/>
              </w:rPr>
            </w:pPr>
            <w:r>
              <w:rPr>
                <w:bCs/>
                <w:color w:val="000000"/>
                <w:sz w:val="20"/>
                <w:szCs w:val="20"/>
              </w:rPr>
              <w:t xml:space="preserve">Авизование изменений условий ранее авизованного аккредитива, не связанных с увеличением его суммы;</w:t>
            </w:r>
            <w:r>
              <w:rPr>
                <w:bCs/>
                <w:color w:val="000000"/>
                <w:sz w:val="20"/>
                <w:szCs w:val="20"/>
              </w:rPr>
            </w:r>
            <w:r>
              <w:rPr>
                <w:bCs/>
                <w:color w:val="000000"/>
                <w:sz w:val="20"/>
                <w:szCs w:val="20"/>
              </w:rPr>
            </w:r>
          </w:p>
          <w:p>
            <w:pPr>
              <w:pStyle w:val="1135"/>
              <w:numPr>
                <w:ilvl w:val="0"/>
                <w:numId w:val="25"/>
              </w:numPr>
              <w:ind w:left="184" w:hanging="153"/>
              <w:jc w:val="both"/>
              <w:spacing w:before="40"/>
              <w:rPr>
                <w:bCs/>
                <w:color w:val="000000"/>
                <w:sz w:val="20"/>
                <w:szCs w:val="20"/>
              </w:rPr>
            </w:pPr>
            <w:r>
              <w:rPr>
                <w:bCs/>
                <w:color w:val="000000"/>
                <w:sz w:val="20"/>
                <w:szCs w:val="20"/>
              </w:rPr>
              <w:t xml:space="preserve">запроса на аннуляцию аккредитива</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35"/>
              <w:jc w:val="center"/>
              <w:rPr>
                <w:sz w:val="20"/>
                <w:szCs w:val="20"/>
              </w:rPr>
            </w:pPr>
            <w:r>
              <w:rPr>
                <w:sz w:val="20"/>
                <w:szCs w:val="20"/>
              </w:rPr>
              <w:t xml:space="preserve">50 евро</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3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35"/>
              <w:jc w:val="center"/>
              <w:rPr>
                <w:sz w:val="20"/>
                <w:szCs w:val="20"/>
              </w:rPr>
            </w:pPr>
            <w:r>
              <w:rPr>
                <w:sz w:val="20"/>
                <w:szCs w:val="20"/>
              </w:rPr>
              <w:t xml:space="preserve">5.3.5.</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35"/>
              <w:rPr>
                <w:sz w:val="20"/>
                <w:szCs w:val="20"/>
              </w:rPr>
            </w:pPr>
            <w:r>
              <w:rPr>
                <w:sz w:val="20"/>
                <w:szCs w:val="20"/>
              </w:rPr>
              <w:t xml:space="preserve">Обработка / проверка документов</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35"/>
              <w:jc w:val="center"/>
              <w:rPr>
                <w:sz w:val="20"/>
                <w:szCs w:val="20"/>
              </w:rPr>
            </w:pPr>
            <w:r>
              <w:rPr>
                <w:sz w:val="20"/>
                <w:szCs w:val="20"/>
              </w:rPr>
              <w:t xml:space="preserve">0,15% от суммы, подлежащей оплате,</w:t>
            </w:r>
            <w:r>
              <w:rPr>
                <w:sz w:val="20"/>
                <w:szCs w:val="20"/>
              </w:rPr>
            </w:r>
            <w:r>
              <w:rPr>
                <w:sz w:val="20"/>
                <w:szCs w:val="20"/>
              </w:rPr>
            </w:r>
          </w:p>
          <w:p>
            <w:pPr>
              <w:pStyle w:val="1135"/>
              <w:jc w:val="center"/>
              <w:rPr>
                <w:sz w:val="20"/>
                <w:szCs w:val="20"/>
              </w:rPr>
            </w:pPr>
            <w:r>
              <w:rPr>
                <w:sz w:val="20"/>
                <w:szCs w:val="20"/>
              </w:rPr>
              <w:t xml:space="preserve">минимум 150 </w:t>
            </w:r>
            <w:r>
              <w:rPr>
                <w:sz w:val="20"/>
                <w:szCs w:val="20"/>
              </w:rPr>
              <w:t xml:space="preserve">евро</w:t>
            </w:r>
            <w:r>
              <w:rPr>
                <w:sz w:val="20"/>
                <w:szCs w:val="20"/>
              </w:rPr>
              <w:t xml:space="preserve">,</w:t>
            </w:r>
            <w:r>
              <w:rPr>
                <w:sz w:val="20"/>
                <w:szCs w:val="20"/>
              </w:rPr>
            </w:r>
            <w:r>
              <w:rPr>
                <w:sz w:val="20"/>
                <w:szCs w:val="20"/>
              </w:rPr>
            </w:r>
          </w:p>
          <w:p>
            <w:pPr>
              <w:pStyle w:val="1135"/>
              <w:jc w:val="center"/>
              <w:rPr>
                <w:sz w:val="20"/>
                <w:szCs w:val="20"/>
              </w:rPr>
            </w:pPr>
            <w:r>
              <w:rPr>
                <w:sz w:val="20"/>
                <w:szCs w:val="20"/>
              </w:rPr>
              <w:t xml:space="preserve">максимум 5000 </w:t>
            </w:r>
            <w:r>
              <w:rPr>
                <w:sz w:val="20"/>
                <w:szCs w:val="20"/>
              </w:rPr>
              <w:t xml:space="preserve">евро</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35"/>
              <w:rPr>
                <w:sz w:val="20"/>
                <w:szCs w:val="20"/>
              </w:rPr>
            </w:pPr>
            <w:r>
              <w:rPr>
                <w:sz w:val="20"/>
                <w:szCs w:val="20"/>
              </w:rPr>
              <w:t xml:space="preserve">Комиссия взимается за обработку/проверку одного комплекта документов (в т. ч. если документы не приняты к оплате) исходя из суммы, подлежащей оплате в рамках аккредитива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35"/>
              <w:jc w:val="center"/>
              <w:rPr>
                <w:sz w:val="20"/>
                <w:szCs w:val="20"/>
              </w:rPr>
            </w:pPr>
            <w:r>
              <w:rPr>
                <w:sz w:val="20"/>
                <w:szCs w:val="20"/>
              </w:rPr>
              <w:t xml:space="preserve">5.3.6.</w:t>
            </w:r>
            <w:r>
              <w:rPr>
                <w:sz w:val="20"/>
                <w:szCs w:val="20"/>
              </w:rPr>
            </w:r>
            <w:r>
              <w:rPr>
                <w:sz w:val="20"/>
                <w:szCs w:val="20"/>
              </w:rPr>
            </w:r>
          </w:p>
        </w:tc>
        <w:tc>
          <w:tcPr>
            <w:tcW w:w="3969" w:type="dxa"/>
            <w:vAlign w:val="top"/>
            <w:textDirection w:val="lrTb"/>
            <w:noWrap w:val="false"/>
          </w:tcPr>
          <w:p>
            <w:pPr>
              <w:pStyle w:val="1135"/>
              <w:numPr>
                <w:ilvl w:val="0"/>
                <w:numId w:val="25"/>
              </w:numPr>
              <w:ind w:left="184" w:hanging="153"/>
              <w:jc w:val="both"/>
              <w:spacing w:before="40"/>
              <w:rPr>
                <w:bCs/>
                <w:color w:val="000000"/>
                <w:sz w:val="20"/>
                <w:szCs w:val="20"/>
              </w:rPr>
            </w:pPr>
            <w:r>
              <w:rPr>
                <w:bCs/>
                <w:color w:val="000000"/>
                <w:sz w:val="20"/>
                <w:szCs w:val="20"/>
              </w:rPr>
              <w:t xml:space="preserve">Перевод аккредитива в пользу другого бенефициара (трансферация); </w:t>
            </w:r>
            <w:r>
              <w:rPr>
                <w:bCs/>
                <w:color w:val="000000"/>
                <w:sz w:val="20"/>
                <w:szCs w:val="20"/>
              </w:rPr>
            </w:r>
            <w:r>
              <w:rPr>
                <w:bCs/>
                <w:color w:val="000000"/>
                <w:sz w:val="20"/>
                <w:szCs w:val="20"/>
              </w:rPr>
            </w:r>
          </w:p>
          <w:p>
            <w:pPr>
              <w:pStyle w:val="1135"/>
              <w:numPr>
                <w:ilvl w:val="0"/>
                <w:numId w:val="25"/>
              </w:numPr>
              <w:ind w:left="184" w:hanging="153"/>
              <w:jc w:val="both"/>
              <w:spacing w:before="40"/>
              <w:rPr>
                <w:bCs/>
                <w:color w:val="000000"/>
                <w:sz w:val="20"/>
                <w:szCs w:val="20"/>
              </w:rPr>
            </w:pPr>
            <w:r>
              <w:rPr>
                <w:bCs/>
                <w:color w:val="000000"/>
                <w:sz w:val="20"/>
                <w:szCs w:val="20"/>
              </w:rPr>
              <w:t xml:space="preserve">изменение условий трансферированного аккредитива, связанное с увеличением суммы</w:t>
            </w:r>
            <w:r>
              <w:rPr>
                <w:bCs/>
                <w:color w:val="000000"/>
                <w:sz w:val="20"/>
                <w:szCs w:val="20"/>
              </w:rPr>
            </w:r>
            <w:r>
              <w:rPr>
                <w:bCs/>
                <w:color w:val="000000"/>
                <w:sz w:val="20"/>
                <w:szCs w:val="20"/>
              </w:rPr>
            </w:r>
          </w:p>
        </w:tc>
        <w:tc>
          <w:tcPr>
            <w:tcW w:w="1985" w:type="dxa"/>
            <w:vAlign w:val="top"/>
            <w:textDirection w:val="lrTb"/>
            <w:noWrap w:val="false"/>
          </w:tcPr>
          <w:p>
            <w:pPr>
              <w:pStyle w:val="1135"/>
              <w:jc w:val="center"/>
              <w:spacing w:before="40"/>
              <w:rPr>
                <w:bCs/>
                <w:color w:val="000000"/>
                <w:sz w:val="20"/>
                <w:szCs w:val="20"/>
              </w:rPr>
            </w:pPr>
            <w:r>
              <w:rPr>
                <w:bCs/>
                <w:color w:val="000000"/>
                <w:sz w:val="20"/>
                <w:szCs w:val="20"/>
              </w:rPr>
              <w:t xml:space="preserve">0,15% от трансферированной суммы или суммы её увеличения,</w:t>
            </w:r>
            <w:r>
              <w:rPr>
                <w:bCs/>
                <w:color w:val="000000"/>
                <w:sz w:val="20"/>
                <w:szCs w:val="20"/>
              </w:rPr>
            </w:r>
            <w:r>
              <w:rPr>
                <w:bCs/>
                <w:color w:val="000000"/>
                <w:sz w:val="20"/>
                <w:szCs w:val="20"/>
              </w:rPr>
            </w:r>
          </w:p>
          <w:p>
            <w:pPr>
              <w:pStyle w:val="1135"/>
              <w:jc w:val="center"/>
              <w:rPr>
                <w:bCs/>
                <w:color w:val="000000"/>
                <w:sz w:val="20"/>
                <w:szCs w:val="20"/>
              </w:rPr>
            </w:pPr>
            <w:r>
              <w:rPr>
                <w:bCs/>
                <w:color w:val="000000"/>
                <w:sz w:val="20"/>
                <w:szCs w:val="20"/>
              </w:rPr>
              <w:t xml:space="preserve">минимум 150 евро,</w:t>
            </w:r>
            <w:r>
              <w:rPr>
                <w:bCs/>
                <w:color w:val="000000"/>
                <w:sz w:val="20"/>
                <w:szCs w:val="20"/>
              </w:rPr>
            </w:r>
            <w:r>
              <w:rPr>
                <w:bCs/>
                <w:color w:val="000000"/>
                <w:sz w:val="20"/>
                <w:szCs w:val="20"/>
              </w:rPr>
            </w:r>
          </w:p>
          <w:p>
            <w:pPr>
              <w:pStyle w:val="1135"/>
              <w:jc w:val="center"/>
              <w:rPr>
                <w:bCs/>
                <w:color w:val="000000"/>
                <w:sz w:val="20"/>
                <w:szCs w:val="20"/>
              </w:rPr>
            </w:pPr>
            <w:r>
              <w:rPr>
                <w:bCs/>
                <w:color w:val="000000"/>
                <w:sz w:val="20"/>
                <w:szCs w:val="20"/>
              </w:rPr>
              <w:t xml:space="preserve">максимум 1 500 евро</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3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35"/>
              <w:jc w:val="center"/>
              <w:rPr>
                <w:sz w:val="20"/>
                <w:szCs w:val="20"/>
              </w:rPr>
            </w:pPr>
            <w:r>
              <w:rPr>
                <w:sz w:val="20"/>
                <w:szCs w:val="20"/>
              </w:rPr>
              <w:t xml:space="preserve">5.3.7.</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35"/>
              <w:numPr>
                <w:ilvl w:val="0"/>
                <w:numId w:val="25"/>
              </w:numPr>
              <w:ind w:left="184" w:hanging="153"/>
              <w:jc w:val="both"/>
              <w:spacing w:before="40"/>
              <w:rPr>
                <w:bCs/>
                <w:color w:val="000000"/>
                <w:sz w:val="20"/>
                <w:szCs w:val="20"/>
              </w:rPr>
            </w:pPr>
            <w:r>
              <w:rPr>
                <w:bCs/>
                <w:color w:val="000000"/>
                <w:sz w:val="20"/>
                <w:szCs w:val="20"/>
              </w:rPr>
              <w:t xml:space="preserve">Изменение условий трансферированного аккредитива, не связанное с увеличением суммы; </w:t>
            </w:r>
            <w:r>
              <w:rPr>
                <w:bCs/>
                <w:color w:val="000000"/>
                <w:sz w:val="20"/>
                <w:szCs w:val="20"/>
              </w:rPr>
            </w:r>
            <w:r>
              <w:rPr>
                <w:bCs/>
                <w:color w:val="000000"/>
                <w:sz w:val="20"/>
                <w:szCs w:val="20"/>
              </w:rPr>
            </w:r>
          </w:p>
          <w:p>
            <w:pPr>
              <w:pStyle w:val="1135"/>
              <w:numPr>
                <w:ilvl w:val="0"/>
                <w:numId w:val="25"/>
              </w:numPr>
              <w:ind w:left="184" w:hanging="153"/>
              <w:jc w:val="both"/>
              <w:spacing w:before="40"/>
              <w:rPr>
                <w:bCs/>
                <w:color w:val="000000"/>
                <w:sz w:val="20"/>
                <w:szCs w:val="20"/>
              </w:rPr>
            </w:pPr>
            <w:r>
              <w:rPr>
                <w:bCs/>
                <w:color w:val="000000"/>
                <w:sz w:val="20"/>
                <w:szCs w:val="20"/>
              </w:rPr>
              <w:t xml:space="preserve">авизование запроса на аннуляцию трансферированного аккредитива</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35"/>
              <w:jc w:val="center"/>
              <w:rPr>
                <w:sz w:val="20"/>
                <w:szCs w:val="20"/>
              </w:rPr>
            </w:pPr>
            <w:r>
              <w:rPr>
                <w:sz w:val="20"/>
                <w:szCs w:val="20"/>
              </w:rPr>
              <w:t xml:space="preserve">150 </w:t>
            </w:r>
            <w:r>
              <w:rPr>
                <w:sz w:val="20"/>
                <w:szCs w:val="20"/>
              </w:rPr>
              <w:t xml:space="preserve">евро</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3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4"/>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1135"/>
              <w:jc w:val="center"/>
              <w:rPr>
                <w:sz w:val="20"/>
                <w:szCs w:val="20"/>
              </w:rPr>
            </w:pPr>
            <w:r>
              <w:rPr>
                <w:sz w:val="20"/>
                <w:szCs w:val="20"/>
              </w:rPr>
              <w:t xml:space="preserve">5.4.</w:t>
            </w:r>
            <w:r>
              <w:rPr>
                <w:sz w:val="20"/>
                <w:szCs w:val="20"/>
              </w:rPr>
              <w:t xml:space="preserve"> </w:t>
            </w:r>
            <w:r>
              <w:rPr>
                <w:sz w:val="20"/>
                <w:szCs w:val="20"/>
              </w:rPr>
              <w:t xml:space="preserve">Инкассо</w:t>
            </w:r>
            <w:r>
              <w:rPr>
                <w:sz w:val="20"/>
                <w:szCs w:val="20"/>
              </w:rPr>
            </w:r>
            <w:r>
              <w:rPr>
                <w:sz w:val="20"/>
                <w:szCs w:val="20"/>
              </w:rPr>
            </w:r>
          </w:p>
          <w:p>
            <w:pPr>
              <w:pStyle w:val="1135"/>
              <w:jc w:val="center"/>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4"/>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1135"/>
              <w:jc w:val="center"/>
              <w:rPr>
                <w:sz w:val="20"/>
                <w:szCs w:val="20"/>
              </w:rPr>
            </w:pPr>
            <w:r>
              <w:rPr>
                <w:sz w:val="20"/>
                <w:szCs w:val="20"/>
              </w:rPr>
              <w:t xml:space="preserve">Документарное инкассо</w:t>
            </w:r>
            <w:r>
              <w:rPr>
                <w:sz w:val="20"/>
                <w:szCs w:val="20"/>
              </w:rPr>
            </w:r>
            <w:r>
              <w:rPr>
                <w:sz w:val="20"/>
                <w:szCs w:val="20"/>
              </w:rPr>
            </w:r>
          </w:p>
          <w:p>
            <w:pPr>
              <w:pStyle w:val="1135"/>
              <w:jc w:val="center"/>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35"/>
              <w:jc w:val="center"/>
              <w:rPr>
                <w:sz w:val="20"/>
                <w:szCs w:val="20"/>
              </w:rPr>
            </w:pPr>
            <w:r>
              <w:rPr>
                <w:sz w:val="20"/>
                <w:szCs w:val="20"/>
              </w:rPr>
              <w:t xml:space="preserve">5.4.1.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35"/>
              <w:rPr>
                <w:sz w:val="20"/>
                <w:szCs w:val="20"/>
              </w:rPr>
            </w:pPr>
            <w:r>
              <w:rPr>
                <w:sz w:val="20"/>
                <w:szCs w:val="20"/>
              </w:rPr>
              <w:t xml:space="preserve">Прием, проверка, подготовка документов для отправки на инкассо</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35"/>
              <w:jc w:val="center"/>
              <w:rPr>
                <w:sz w:val="20"/>
                <w:szCs w:val="20"/>
              </w:rPr>
            </w:pPr>
            <w:r>
              <w:rPr>
                <w:sz w:val="20"/>
                <w:szCs w:val="20"/>
              </w:rPr>
              <w:t xml:space="preserve">0,15% от суммы,</w:t>
            </w:r>
            <w:r>
              <w:rPr>
                <w:sz w:val="20"/>
                <w:szCs w:val="20"/>
              </w:rPr>
            </w:r>
            <w:r>
              <w:rPr>
                <w:sz w:val="20"/>
                <w:szCs w:val="20"/>
              </w:rPr>
            </w:r>
          </w:p>
          <w:p>
            <w:pPr>
              <w:pStyle w:val="1135"/>
              <w:jc w:val="center"/>
              <w:rPr>
                <w:sz w:val="20"/>
                <w:szCs w:val="20"/>
              </w:rPr>
            </w:pPr>
            <w:r>
              <w:rPr>
                <w:sz w:val="20"/>
                <w:szCs w:val="20"/>
              </w:rPr>
              <w:t xml:space="preserve">мин. 50 </w:t>
            </w:r>
            <w:r>
              <w:rPr>
                <w:sz w:val="20"/>
                <w:szCs w:val="20"/>
              </w:rPr>
              <w:t xml:space="preserve">евро</w:t>
            </w:r>
            <w:r>
              <w:rPr>
                <w:sz w:val="20"/>
                <w:szCs w:val="20"/>
              </w:rPr>
            </w:r>
            <w:r>
              <w:rPr>
                <w:sz w:val="20"/>
                <w:szCs w:val="20"/>
              </w:rPr>
            </w:r>
          </w:p>
          <w:p>
            <w:pPr>
              <w:pStyle w:val="1135"/>
              <w:jc w:val="center"/>
              <w:rPr>
                <w:sz w:val="20"/>
                <w:szCs w:val="20"/>
              </w:rPr>
            </w:pPr>
            <w:r>
              <w:rPr>
                <w:sz w:val="20"/>
                <w:szCs w:val="20"/>
              </w:rPr>
              <w:t xml:space="preserve">макс. 500</w:t>
            </w:r>
            <w:r>
              <w:rPr>
                <w:sz w:val="20"/>
                <w:szCs w:val="20"/>
              </w:rPr>
              <w:t xml:space="preserve"> евро</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3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35"/>
              <w:jc w:val="center"/>
              <w:rPr>
                <w:sz w:val="20"/>
                <w:szCs w:val="20"/>
              </w:rPr>
            </w:pPr>
            <w:r>
              <w:rPr>
                <w:sz w:val="20"/>
                <w:szCs w:val="20"/>
              </w:rPr>
              <w:t xml:space="preserve">5.4.2.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35"/>
              <w:rPr>
                <w:sz w:val="20"/>
                <w:szCs w:val="20"/>
              </w:rPr>
            </w:pPr>
            <w:r>
              <w:rPr>
                <w:sz w:val="20"/>
                <w:szCs w:val="20"/>
              </w:rPr>
              <w:t xml:space="preserve">Изменение условий инкассового поручения или аннуляция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35"/>
              <w:jc w:val="center"/>
              <w:rPr>
                <w:sz w:val="20"/>
                <w:szCs w:val="20"/>
              </w:rPr>
            </w:pPr>
            <w:r>
              <w:rPr>
                <w:sz w:val="20"/>
                <w:szCs w:val="20"/>
              </w:rPr>
              <w:t xml:space="preserve">30</w:t>
            </w:r>
            <w:r>
              <w:rPr>
                <w:sz w:val="20"/>
                <w:szCs w:val="20"/>
              </w:rPr>
              <w:t xml:space="preserve"> евро</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3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35"/>
              <w:jc w:val="center"/>
              <w:rPr>
                <w:sz w:val="20"/>
                <w:szCs w:val="20"/>
              </w:rPr>
            </w:pPr>
            <w:r>
              <w:rPr>
                <w:sz w:val="20"/>
                <w:szCs w:val="20"/>
              </w:rPr>
              <w:t xml:space="preserve">5.4.3.</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35"/>
              <w:rPr>
                <w:sz w:val="20"/>
                <w:szCs w:val="20"/>
              </w:rPr>
            </w:pPr>
            <w:r>
              <w:rPr>
                <w:sz w:val="20"/>
                <w:szCs w:val="20"/>
              </w:rPr>
              <w:t xml:space="preserve">Выдача документов против платежа и/или акцепта или на других условиях</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35"/>
              <w:jc w:val="center"/>
              <w:rPr>
                <w:sz w:val="20"/>
                <w:szCs w:val="20"/>
              </w:rPr>
            </w:pPr>
            <w:r>
              <w:rPr>
                <w:sz w:val="20"/>
                <w:szCs w:val="20"/>
              </w:rPr>
              <w:t xml:space="preserve">0,15% от суммы,</w:t>
            </w:r>
            <w:r>
              <w:rPr>
                <w:sz w:val="20"/>
                <w:szCs w:val="20"/>
              </w:rPr>
            </w:r>
            <w:r>
              <w:rPr>
                <w:sz w:val="20"/>
                <w:szCs w:val="20"/>
              </w:rPr>
            </w:r>
          </w:p>
          <w:p>
            <w:pPr>
              <w:pStyle w:val="1135"/>
              <w:jc w:val="center"/>
              <w:rPr>
                <w:sz w:val="20"/>
                <w:szCs w:val="20"/>
              </w:rPr>
            </w:pPr>
            <w:r>
              <w:rPr>
                <w:sz w:val="20"/>
                <w:szCs w:val="20"/>
              </w:rPr>
              <w:t xml:space="preserve">мин. 50 </w:t>
            </w:r>
            <w:r>
              <w:rPr>
                <w:sz w:val="20"/>
                <w:szCs w:val="20"/>
              </w:rPr>
              <w:t xml:space="preserve">евро</w:t>
            </w:r>
            <w:r>
              <w:rPr>
                <w:sz w:val="20"/>
                <w:szCs w:val="20"/>
              </w:rPr>
            </w:r>
            <w:r>
              <w:rPr>
                <w:sz w:val="20"/>
                <w:szCs w:val="20"/>
              </w:rPr>
            </w:r>
          </w:p>
          <w:p>
            <w:pPr>
              <w:pStyle w:val="1135"/>
              <w:jc w:val="center"/>
              <w:rPr>
                <w:sz w:val="20"/>
                <w:szCs w:val="20"/>
              </w:rPr>
            </w:pPr>
            <w:r>
              <w:rPr>
                <w:sz w:val="20"/>
                <w:szCs w:val="20"/>
              </w:rPr>
              <w:t xml:space="preserve">макс. 500</w:t>
            </w:r>
            <w:r>
              <w:rPr>
                <w:sz w:val="20"/>
                <w:szCs w:val="20"/>
              </w:rPr>
              <w:t xml:space="preserve"> евро</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3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35"/>
              <w:jc w:val="center"/>
              <w:rPr>
                <w:sz w:val="20"/>
                <w:szCs w:val="20"/>
              </w:rPr>
            </w:pPr>
            <w:r>
              <w:rPr>
                <w:sz w:val="20"/>
                <w:szCs w:val="20"/>
              </w:rPr>
              <w:t xml:space="preserve">5.4.4.</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35"/>
              <w:rPr>
                <w:sz w:val="20"/>
                <w:szCs w:val="20"/>
              </w:rPr>
            </w:pPr>
            <w:r>
              <w:rPr>
                <w:sz w:val="20"/>
                <w:szCs w:val="20"/>
              </w:rPr>
              <w:t xml:space="preserve">Возврат неоплаченных/неакцептованных документов</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35"/>
              <w:jc w:val="center"/>
              <w:rPr>
                <w:sz w:val="20"/>
                <w:szCs w:val="20"/>
              </w:rPr>
            </w:pPr>
            <w:r>
              <w:rPr>
                <w:sz w:val="20"/>
                <w:szCs w:val="20"/>
              </w:rPr>
              <w:t xml:space="preserve">50 </w:t>
            </w:r>
            <w:r>
              <w:rPr>
                <w:sz w:val="20"/>
                <w:szCs w:val="20"/>
              </w:rPr>
              <w:t xml:space="preserve">евро</w:t>
            </w:r>
            <w:r>
              <w:rPr>
                <w:sz w:val="20"/>
                <w:szCs w:val="20"/>
              </w:rPr>
              <w:t xml:space="preserve"> за каждый комплект документов</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3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4"/>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1135"/>
              <w:jc w:val="center"/>
              <w:rPr>
                <w:sz w:val="20"/>
                <w:szCs w:val="20"/>
              </w:rPr>
            </w:pPr>
            <w:r>
              <w:rPr>
                <w:sz w:val="20"/>
                <w:szCs w:val="20"/>
              </w:rPr>
              <w:t xml:space="preserve">Чистое инкассо:</w:t>
            </w:r>
            <w:r>
              <w:rPr>
                <w:sz w:val="20"/>
                <w:szCs w:val="20"/>
              </w:rPr>
            </w:r>
            <w:r>
              <w:rPr>
                <w:sz w:val="20"/>
                <w:szCs w:val="20"/>
              </w:rPr>
            </w:r>
          </w:p>
          <w:p>
            <w:pPr>
              <w:pStyle w:val="1135"/>
              <w:jc w:val="center"/>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35"/>
              <w:jc w:val="center"/>
              <w:rPr>
                <w:sz w:val="20"/>
                <w:szCs w:val="20"/>
              </w:rPr>
            </w:pPr>
            <w:r>
              <w:rPr>
                <w:sz w:val="20"/>
                <w:szCs w:val="20"/>
              </w:rPr>
              <w:t xml:space="preserve">5.4.5.</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35"/>
              <w:rPr>
                <w:sz w:val="20"/>
                <w:szCs w:val="20"/>
              </w:rPr>
            </w:pPr>
            <w:r>
              <w:rPr>
                <w:sz w:val="20"/>
                <w:szCs w:val="20"/>
              </w:rPr>
              <w:t xml:space="preserve">Инкассо финансовых документов за исключением чеков</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35"/>
              <w:jc w:val="center"/>
              <w:rPr>
                <w:sz w:val="20"/>
                <w:szCs w:val="20"/>
              </w:rPr>
            </w:pPr>
            <w:r>
              <w:rPr>
                <w:sz w:val="20"/>
                <w:szCs w:val="20"/>
              </w:rPr>
              <w:t xml:space="preserve">0,1% от суммы,</w:t>
            </w:r>
            <w:r>
              <w:rPr>
                <w:sz w:val="20"/>
                <w:szCs w:val="20"/>
              </w:rPr>
            </w:r>
            <w:r>
              <w:rPr>
                <w:sz w:val="20"/>
                <w:szCs w:val="20"/>
              </w:rPr>
            </w:r>
          </w:p>
          <w:p>
            <w:pPr>
              <w:pStyle w:val="1135"/>
              <w:jc w:val="center"/>
              <w:rPr>
                <w:sz w:val="20"/>
                <w:szCs w:val="20"/>
              </w:rPr>
            </w:pPr>
            <w:r>
              <w:rPr>
                <w:sz w:val="20"/>
                <w:szCs w:val="20"/>
              </w:rPr>
              <w:t xml:space="preserve">мин. 5 </w:t>
            </w:r>
            <w:r>
              <w:rPr>
                <w:sz w:val="20"/>
                <w:szCs w:val="20"/>
              </w:rPr>
              <w:t xml:space="preserve">евро</w:t>
            </w:r>
            <w:r>
              <w:rPr>
                <w:sz w:val="20"/>
                <w:szCs w:val="20"/>
              </w:rPr>
            </w:r>
            <w:r>
              <w:rPr>
                <w:sz w:val="20"/>
                <w:szCs w:val="20"/>
              </w:rPr>
            </w:r>
          </w:p>
          <w:p>
            <w:pPr>
              <w:pStyle w:val="1135"/>
              <w:jc w:val="center"/>
              <w:rPr>
                <w:sz w:val="20"/>
                <w:szCs w:val="20"/>
              </w:rPr>
            </w:pPr>
            <w:r>
              <w:rPr>
                <w:sz w:val="20"/>
                <w:szCs w:val="20"/>
              </w:rPr>
              <w:t xml:space="preserve">макс. 500 </w:t>
            </w:r>
            <w:r>
              <w:rPr>
                <w:sz w:val="20"/>
                <w:szCs w:val="20"/>
              </w:rPr>
              <w:t xml:space="preserve">евро</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3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35"/>
              <w:jc w:val="center"/>
              <w:rPr>
                <w:sz w:val="20"/>
                <w:szCs w:val="20"/>
              </w:rPr>
            </w:pPr>
            <w:r>
              <w:rPr>
                <w:sz w:val="20"/>
                <w:szCs w:val="20"/>
              </w:rPr>
              <w:t xml:space="preserve">5.4.6.</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35"/>
              <w:rPr>
                <w:sz w:val="20"/>
                <w:szCs w:val="20"/>
              </w:rPr>
            </w:pPr>
            <w:r>
              <w:rPr>
                <w:sz w:val="20"/>
                <w:szCs w:val="20"/>
              </w:rPr>
              <w:t xml:space="preserve">Переписка по инкассо</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35"/>
              <w:jc w:val="center"/>
              <w:rPr>
                <w:sz w:val="20"/>
                <w:szCs w:val="20"/>
              </w:rPr>
            </w:pPr>
            <w:r>
              <w:rPr>
                <w:sz w:val="20"/>
                <w:szCs w:val="20"/>
              </w:rPr>
              <w:t xml:space="preserve">3</w:t>
            </w:r>
            <w:r>
              <w:rPr>
                <w:sz w:val="20"/>
                <w:szCs w:val="20"/>
              </w:rPr>
              <w:t xml:space="preserve">5</w:t>
            </w:r>
            <w:r>
              <w:rPr>
                <w:sz w:val="20"/>
                <w:szCs w:val="20"/>
              </w:rPr>
              <w:t xml:space="preserve"> </w:t>
            </w:r>
            <w:r>
              <w:rPr>
                <w:sz w:val="20"/>
                <w:szCs w:val="20"/>
              </w:rPr>
              <w:t xml:space="preserve">евро</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35"/>
              <w:rPr>
                <w:sz w:val="20"/>
                <w:szCs w:val="20"/>
              </w:rPr>
            </w:pPr>
            <w:r>
              <w:rPr>
                <w:sz w:val="20"/>
                <w:szCs w:val="20"/>
              </w:rPr>
              <w:t xml:space="preserve">Комиссия включает НДС</w:t>
            </w:r>
            <w:r>
              <w:rPr>
                <w:sz w:val="20"/>
                <w:szCs w:val="20"/>
              </w:rPr>
            </w:r>
            <w:r>
              <w:rPr>
                <w:sz w:val="20"/>
                <w:szCs w:val="20"/>
              </w:rPr>
            </w:r>
          </w:p>
        </w:tc>
      </w:tr>
    </w:tbl>
    <w:p>
      <w:pPr>
        <w:pStyle w:val="1135"/>
        <w:jc w:val="both"/>
        <w:spacing w:before="120"/>
        <w:tabs>
          <w:tab w:val="left" w:pos="284" w:leader="none"/>
        </w:tabs>
        <w:rPr>
          <w:sz w:val="20"/>
          <w:szCs w:val="20"/>
          <w:u w:val="single"/>
        </w:rPr>
      </w:pPr>
      <w:r>
        <w:rPr>
          <w:sz w:val="20"/>
          <w:szCs w:val="20"/>
          <w:u w:val="single"/>
        </w:rPr>
      </w:r>
      <w:r>
        <w:rPr>
          <w:sz w:val="20"/>
          <w:szCs w:val="20"/>
          <w:u w:val="single"/>
        </w:rPr>
      </w:r>
      <w:r>
        <w:rPr>
          <w:sz w:val="20"/>
          <w:szCs w:val="20"/>
          <w:u w:val="single"/>
        </w:rPr>
      </w:r>
    </w:p>
    <w:p>
      <w:pPr>
        <w:pStyle w:val="1135"/>
        <w:jc w:val="both"/>
        <w:spacing w:before="120"/>
        <w:tabs>
          <w:tab w:val="left" w:pos="284" w:leader="none"/>
        </w:tabs>
        <w:rPr>
          <w:sz w:val="20"/>
          <w:szCs w:val="20"/>
          <w:u w:val="single"/>
        </w:rPr>
      </w:pPr>
      <w:r>
        <w:rPr>
          <w:sz w:val="20"/>
          <w:szCs w:val="20"/>
          <w:u w:val="single"/>
        </w:rPr>
      </w:r>
      <w:r>
        <w:rPr>
          <w:sz w:val="20"/>
          <w:szCs w:val="20"/>
          <w:u w:val="single"/>
        </w:rPr>
      </w:r>
      <w:r>
        <w:rPr>
          <w:sz w:val="20"/>
          <w:szCs w:val="20"/>
          <w:u w:val="single"/>
        </w:rPr>
      </w:r>
    </w:p>
    <w:p>
      <w:pPr>
        <w:pStyle w:val="1135"/>
        <w:jc w:val="both"/>
        <w:spacing w:before="120"/>
        <w:tabs>
          <w:tab w:val="left" w:pos="284" w:leader="none"/>
        </w:tabs>
        <w:rPr>
          <w:sz w:val="20"/>
          <w:szCs w:val="20"/>
          <w:u w:val="single"/>
        </w:rPr>
      </w:pPr>
      <w:r>
        <w:rPr>
          <w:sz w:val="20"/>
          <w:szCs w:val="20"/>
          <w:u w:val="single"/>
        </w:rPr>
        <w:t xml:space="preserve">П</w:t>
      </w:r>
      <w:r>
        <w:rPr>
          <w:sz w:val="20"/>
          <w:szCs w:val="20"/>
          <w:u w:val="single"/>
        </w:rPr>
        <w:t xml:space="preserve">римечание:</w:t>
      </w:r>
      <w:r>
        <w:rPr>
          <w:sz w:val="20"/>
          <w:szCs w:val="20"/>
          <w:u w:val="single"/>
        </w:rPr>
      </w:r>
      <w:r>
        <w:rPr>
          <w:sz w:val="20"/>
          <w:szCs w:val="20"/>
          <w:u w:val="single"/>
        </w:rPr>
      </w:r>
    </w:p>
    <w:p>
      <w:pPr>
        <w:pStyle w:val="1135"/>
        <w:jc w:val="both"/>
        <w:spacing w:before="40" w:line="276" w:lineRule="auto"/>
        <w:tabs>
          <w:tab w:val="left" w:pos="-1276" w:leader="none"/>
          <w:tab w:val="left" w:pos="284" w:leader="none"/>
          <w:tab w:val="left" w:pos="1134" w:leader="none"/>
        </w:tabs>
        <w:rPr>
          <w:bCs/>
          <w:color w:val="000000"/>
          <w:sz w:val="20"/>
          <w:szCs w:val="20"/>
        </w:rPr>
      </w:pPr>
      <w:r>
        <w:rPr>
          <w:sz w:val="20"/>
          <w:szCs w:val="20"/>
        </w:rPr>
        <w:t xml:space="preserve">1.</w:t>
        <w:tab/>
        <w:t xml:space="preserve">При указании в наименовании услуги двух и более операций к</w:t>
      </w:r>
      <w:r>
        <w:rPr>
          <w:bCs/>
          <w:color w:val="000000"/>
          <w:sz w:val="20"/>
          <w:szCs w:val="20"/>
        </w:rPr>
        <w:t xml:space="preserve">омиссия взимается за каждую </w:t>
      </w:r>
      <w:r>
        <w:rPr>
          <w:bCs/>
          <w:color w:val="000000"/>
          <w:sz w:val="20"/>
          <w:szCs w:val="20"/>
        </w:rPr>
        <w:t xml:space="preserve">осуществленную операцию </w:t>
      </w:r>
      <w:r>
        <w:rPr>
          <w:bCs/>
          <w:color w:val="000000"/>
          <w:sz w:val="20"/>
          <w:szCs w:val="20"/>
        </w:rPr>
        <w:t xml:space="preserve">из перечисленных </w:t>
      </w:r>
      <w:r>
        <w:rPr>
          <w:bCs/>
          <w:color w:val="000000"/>
          <w:sz w:val="20"/>
          <w:szCs w:val="20"/>
        </w:rPr>
        <w:t xml:space="preserve">в соответствующем пункте Тарифа.</w:t>
      </w:r>
      <w:r>
        <w:rPr>
          <w:bCs/>
          <w:color w:val="000000"/>
          <w:sz w:val="20"/>
          <w:szCs w:val="20"/>
        </w:rPr>
      </w:r>
      <w:r>
        <w:rPr>
          <w:bCs/>
          <w:color w:val="000000"/>
          <w:sz w:val="20"/>
          <w:szCs w:val="20"/>
        </w:rPr>
      </w:r>
    </w:p>
    <w:p>
      <w:pPr>
        <w:pStyle w:val="1135"/>
        <w:jc w:val="both"/>
        <w:spacing w:before="40" w:line="276" w:lineRule="auto"/>
        <w:tabs>
          <w:tab w:val="left" w:pos="-1276" w:leader="none"/>
          <w:tab w:val="left" w:pos="284" w:leader="none"/>
          <w:tab w:val="left" w:pos="1134" w:leader="none"/>
        </w:tabs>
        <w:rPr>
          <w:sz w:val="20"/>
          <w:szCs w:val="20"/>
        </w:rPr>
      </w:pPr>
      <w:r>
        <w:rPr>
          <w:sz w:val="20"/>
          <w:szCs w:val="20"/>
        </w:rPr>
        <w:t xml:space="preserve">2. </w:t>
      </w:r>
      <w:r>
        <w:rPr>
          <w:sz w:val="20"/>
          <w:szCs w:val="20"/>
        </w:rPr>
        <w:t xml:space="preserve">Комиссии взимаются Банком по мере оказания соответствующих услуг</w:t>
      </w:r>
      <w:r>
        <w:rPr>
          <w:sz w:val="20"/>
          <w:szCs w:val="20"/>
        </w:rPr>
        <w:t xml:space="preserve"> в дату оказания услуги</w:t>
      </w:r>
      <w:r>
        <w:rPr>
          <w:sz w:val="20"/>
          <w:szCs w:val="20"/>
        </w:rPr>
        <w:t xml:space="preserve">, если иной порядок не указан в примечании к Тарифу и/или </w:t>
      </w:r>
      <w:r>
        <w:rPr>
          <w:sz w:val="20"/>
          <w:szCs w:val="20"/>
        </w:rPr>
        <w:t xml:space="preserve">не установлен по соглашению сторон</w:t>
      </w:r>
      <w:r>
        <w:rPr>
          <w:sz w:val="20"/>
          <w:szCs w:val="20"/>
        </w:rPr>
        <w:t xml:space="preserve">.</w:t>
      </w:r>
      <w:r>
        <w:rPr>
          <w:sz w:val="20"/>
          <w:szCs w:val="20"/>
        </w:rPr>
      </w:r>
      <w:r>
        <w:rPr>
          <w:sz w:val="20"/>
          <w:szCs w:val="20"/>
        </w:rPr>
      </w:r>
    </w:p>
    <w:p>
      <w:pPr>
        <w:pStyle w:val="1135"/>
        <w:jc w:val="both"/>
        <w:spacing w:before="40" w:line="276" w:lineRule="auto"/>
        <w:tabs>
          <w:tab w:val="left" w:pos="284" w:leader="none"/>
          <w:tab w:val="left" w:pos="1134" w:leader="none"/>
        </w:tabs>
        <w:rPr>
          <w:sz w:val="20"/>
          <w:szCs w:val="20"/>
        </w:rPr>
      </w:pPr>
      <w:r>
        <w:rPr>
          <w:sz w:val="20"/>
          <w:szCs w:val="20"/>
        </w:rPr>
        <w:t xml:space="preserve">3. Комиссии по Разделу 5.1 «</w:t>
      </w:r>
      <w:r>
        <w:rPr>
          <w:sz w:val="20"/>
          <w:szCs w:val="20"/>
        </w:rPr>
        <w:t xml:space="preserve">Аккредитивы для расчетов на территории Российской Федерации</w:t>
      </w:r>
      <w:r>
        <w:rPr>
          <w:sz w:val="20"/>
          <w:szCs w:val="20"/>
        </w:rPr>
        <w:t xml:space="preserve">» начисляются в рублях РФ. По аккредитивам, номинированным в иностранной валюте, комиссионное вознаграждение, выраженное в процентном отношении от суммы осуществленной операции, начисляется в рублевом эквиваленте, пересчитанном по курсу </w:t>
      </w:r>
      <w:r>
        <w:rPr>
          <w:sz w:val="20"/>
          <w:szCs w:val="20"/>
        </w:rPr>
        <w:t xml:space="preserve">Банка России, действующему на дату</w:t>
      </w:r>
      <w:r>
        <w:rPr>
          <w:sz w:val="20"/>
          <w:szCs w:val="20"/>
        </w:rPr>
        <w:t xml:space="preserve"> оказания услуги/на дату начала периода (для комиссий, уплачиваемых за период).</w:t>
      </w:r>
      <w:r>
        <w:rPr>
          <w:sz w:val="20"/>
          <w:szCs w:val="20"/>
        </w:rPr>
      </w:r>
      <w:r>
        <w:rPr>
          <w:sz w:val="20"/>
          <w:szCs w:val="20"/>
        </w:rPr>
      </w:r>
    </w:p>
    <w:p>
      <w:pPr>
        <w:pStyle w:val="1135"/>
        <w:jc w:val="both"/>
        <w:spacing w:before="40" w:line="276" w:lineRule="auto"/>
        <w:tabs>
          <w:tab w:val="left" w:pos="284" w:leader="none"/>
          <w:tab w:val="left" w:pos="1134" w:leader="none"/>
        </w:tabs>
        <w:rPr>
          <w:sz w:val="20"/>
          <w:szCs w:val="20"/>
        </w:rPr>
      </w:pPr>
      <w:r>
        <w:rPr>
          <w:sz w:val="20"/>
          <w:szCs w:val="20"/>
        </w:rPr>
        <w:t xml:space="preserve">4. Комиссии по Разделам 5.2 «</w:t>
      </w:r>
      <w:r>
        <w:rPr>
          <w:sz w:val="20"/>
          <w:szCs w:val="20"/>
        </w:rPr>
        <w:t xml:space="preserve">Документарные аккредитивы, открытые АО «Россельхозбанк» для расчетов по внешнеторговым сделкам (импортные аккредитивы)</w:t>
      </w:r>
      <w:r>
        <w:rPr>
          <w:sz w:val="20"/>
          <w:szCs w:val="20"/>
        </w:rPr>
        <w:t xml:space="preserve">», 5.3 «</w:t>
      </w:r>
      <w:r>
        <w:rPr>
          <w:sz w:val="20"/>
          <w:szCs w:val="20"/>
        </w:rPr>
        <w:t xml:space="preserve">Документарные аккредитивы, открытые другими банками для расчетов по внешнеторговым сделкам (экспортные аккредитивы)</w:t>
      </w:r>
      <w:r>
        <w:rPr>
          <w:sz w:val="20"/>
          <w:szCs w:val="20"/>
        </w:rPr>
        <w:t xml:space="preserve">» и 5.4 «</w:t>
      </w:r>
      <w:r>
        <w:rPr>
          <w:sz w:val="20"/>
          <w:szCs w:val="20"/>
        </w:rPr>
        <w:t xml:space="preserve">Инкассо</w:t>
      </w:r>
      <w:r>
        <w:rPr>
          <w:sz w:val="20"/>
          <w:szCs w:val="20"/>
        </w:rPr>
        <w:t xml:space="preserve">» начисляются в евро. По аккредитивам и инкассо в валюте, отличной от евро, комиссионное во</w:t>
      </w:r>
      <w:r>
        <w:rPr>
          <w:sz w:val="20"/>
          <w:szCs w:val="20"/>
        </w:rPr>
        <w:t xml:space="preserve">знаграждение, выраженное в процентном отношении от суммы осуществленной операции, начисляется в эквиваленте в евро, пересчитанном по курсу</w:t>
      </w:r>
      <w:r>
        <w:rPr>
          <w:sz w:val="20"/>
          <w:szCs w:val="20"/>
        </w:rPr>
        <w:t xml:space="preserve">/кросс-курсу</w:t>
      </w:r>
      <w:r>
        <w:rPr>
          <w:sz w:val="20"/>
          <w:szCs w:val="20"/>
        </w:rPr>
        <w:t xml:space="preserve"> </w:t>
      </w:r>
      <w:r>
        <w:rPr>
          <w:sz w:val="20"/>
          <w:szCs w:val="20"/>
        </w:rPr>
        <w:t xml:space="preserve">Банка России, действующему на дату</w:t>
      </w:r>
      <w:r>
        <w:rPr>
          <w:sz w:val="20"/>
          <w:szCs w:val="20"/>
        </w:rPr>
        <w:t xml:space="preserve"> оказания услуги/на дату начала периода (для комиссий, уплачиваемых за период).</w:t>
      </w:r>
      <w:r>
        <w:rPr>
          <w:sz w:val="20"/>
          <w:szCs w:val="20"/>
        </w:rPr>
      </w:r>
      <w:r>
        <w:rPr>
          <w:sz w:val="20"/>
          <w:szCs w:val="20"/>
        </w:rPr>
      </w:r>
    </w:p>
    <w:p>
      <w:pPr>
        <w:pStyle w:val="1135"/>
        <w:jc w:val="both"/>
        <w:spacing w:before="40" w:line="276" w:lineRule="auto"/>
        <w:tabs>
          <w:tab w:val="left" w:pos="284" w:leader="none"/>
          <w:tab w:val="left" w:pos="1134" w:leader="none"/>
        </w:tabs>
        <w:rPr>
          <w:sz w:val="20"/>
          <w:szCs w:val="20"/>
        </w:rPr>
      </w:pPr>
      <w:r>
        <w:rPr>
          <w:sz w:val="20"/>
          <w:szCs w:val="20"/>
        </w:rPr>
        <w:t xml:space="preserve">Под кросс-курсом Банка России понимается отношение курса одной иностранной валюты к курсу другой иностранной валюты, рассчитанное по официальным курсам этих валют по отношению к рублю, установленным Банком России.</w:t>
      </w:r>
      <w:r>
        <w:rPr>
          <w:sz w:val="20"/>
          <w:szCs w:val="20"/>
        </w:rPr>
      </w:r>
      <w:r>
        <w:rPr>
          <w:sz w:val="20"/>
          <w:szCs w:val="20"/>
        </w:rPr>
      </w:r>
    </w:p>
    <w:p>
      <w:pPr>
        <w:pStyle w:val="1135"/>
        <w:jc w:val="both"/>
        <w:spacing w:before="40" w:line="276" w:lineRule="auto"/>
        <w:tabs>
          <w:tab w:val="left" w:pos="284" w:leader="none"/>
          <w:tab w:val="left" w:pos="1134" w:leader="none"/>
        </w:tabs>
        <w:rPr>
          <w:sz w:val="20"/>
          <w:szCs w:val="20"/>
        </w:rPr>
      </w:pPr>
      <w:r>
        <w:rPr>
          <w:sz w:val="20"/>
          <w:szCs w:val="20"/>
        </w:rPr>
        <w:t xml:space="preserve">5</w:t>
      </w:r>
      <w:r>
        <w:rPr>
          <w:sz w:val="20"/>
          <w:szCs w:val="20"/>
        </w:rPr>
        <w:t xml:space="preserve">. </w:t>
      </w:r>
      <w:r>
        <w:rPr>
          <w:sz w:val="20"/>
          <w:szCs w:val="20"/>
        </w:rPr>
        <w:t xml:space="preserve">Если уплата комиссионного вознаграждения Банка, </w:t>
      </w:r>
      <w:r>
        <w:rPr>
          <w:sz w:val="20"/>
          <w:szCs w:val="20"/>
        </w:rPr>
        <w:t xml:space="preserve">начисленного</w:t>
      </w:r>
      <w:r>
        <w:rPr>
          <w:sz w:val="20"/>
          <w:szCs w:val="20"/>
        </w:rPr>
        <w:t xml:space="preserve"> в </w:t>
      </w:r>
      <w:r>
        <w:rPr>
          <w:sz w:val="20"/>
          <w:szCs w:val="20"/>
        </w:rPr>
        <w:t xml:space="preserve">рублях РФ</w:t>
      </w:r>
      <w:r>
        <w:rPr>
          <w:sz w:val="20"/>
          <w:szCs w:val="20"/>
        </w:rPr>
        <w:t xml:space="preserve">, производится в другой иностранной валюте, то расчет суммы эквивалента осуществляется по курсу Банка России, действу</w:t>
      </w:r>
      <w:r>
        <w:rPr>
          <w:sz w:val="20"/>
          <w:szCs w:val="20"/>
        </w:rPr>
        <w:t xml:space="preserve">ющему на дату уплаты комиссии.</w:t>
      </w:r>
      <w:r>
        <w:rPr>
          <w:sz w:val="20"/>
          <w:szCs w:val="20"/>
        </w:rPr>
      </w:r>
      <w:r>
        <w:rPr>
          <w:sz w:val="20"/>
          <w:szCs w:val="20"/>
        </w:rPr>
      </w:r>
    </w:p>
    <w:p>
      <w:pPr>
        <w:pStyle w:val="1135"/>
        <w:jc w:val="both"/>
        <w:spacing w:before="40" w:line="276" w:lineRule="auto"/>
        <w:tabs>
          <w:tab w:val="left" w:pos="-1276" w:leader="none"/>
          <w:tab w:val="left" w:pos="284" w:leader="none"/>
          <w:tab w:val="left" w:pos="1134" w:leader="none"/>
        </w:tabs>
        <w:rPr>
          <w:sz w:val="20"/>
          <w:szCs w:val="20"/>
        </w:rPr>
      </w:pPr>
      <w:r>
        <w:rPr>
          <w:sz w:val="20"/>
          <w:szCs w:val="20"/>
        </w:rPr>
        <w:t xml:space="preserve">Если уплата комиссионного вознаграждения Банка, </w:t>
      </w:r>
      <w:r>
        <w:rPr>
          <w:sz w:val="20"/>
          <w:szCs w:val="20"/>
        </w:rPr>
        <w:t xml:space="preserve">начисленного</w:t>
      </w:r>
      <w:r>
        <w:rPr>
          <w:sz w:val="20"/>
          <w:szCs w:val="20"/>
        </w:rPr>
        <w:t xml:space="preserve"> в евро, производится в другой иностранной валюте или в рублях, то расчет суммы эквивалента осуществляется по курсу/кросс-курсу Банка России, действующему на дату уплаты комиссии, если иное не предусмотрено отдельным соглашением. </w:t>
      </w:r>
      <w:r>
        <w:rPr>
          <w:sz w:val="20"/>
          <w:szCs w:val="20"/>
        </w:rPr>
      </w:r>
      <w:r>
        <w:rPr>
          <w:sz w:val="20"/>
          <w:szCs w:val="20"/>
        </w:rPr>
      </w:r>
    </w:p>
    <w:p>
      <w:pPr>
        <w:pStyle w:val="1135"/>
        <w:jc w:val="both"/>
        <w:spacing w:before="40" w:line="276" w:lineRule="auto"/>
        <w:tabs>
          <w:tab w:val="left" w:pos="-1276" w:leader="none"/>
          <w:tab w:val="left" w:pos="284" w:leader="none"/>
          <w:tab w:val="left" w:pos="1134" w:leader="none"/>
        </w:tabs>
        <w:rPr>
          <w:sz w:val="20"/>
          <w:szCs w:val="20"/>
        </w:rPr>
      </w:pPr>
      <w:r>
        <w:rPr>
          <w:sz w:val="20"/>
          <w:szCs w:val="20"/>
        </w:rPr>
        <w:t xml:space="preserve">Счет списания комиссионного вознаграждения определяется в соответствии с инструкциями клиента</w:t>
      </w:r>
      <w:r>
        <w:rPr>
          <w:sz w:val="20"/>
          <w:szCs w:val="20"/>
        </w:rPr>
        <w:t xml:space="preserve"> на условиях заранее данного акцепта</w:t>
      </w:r>
      <w:r>
        <w:rPr>
          <w:sz w:val="20"/>
          <w:szCs w:val="20"/>
        </w:rPr>
        <w:t xml:space="preserve">.</w:t>
      </w:r>
      <w:r>
        <w:rPr>
          <w:sz w:val="20"/>
          <w:szCs w:val="20"/>
        </w:rPr>
      </w:r>
      <w:r>
        <w:rPr>
          <w:sz w:val="20"/>
          <w:szCs w:val="20"/>
        </w:rPr>
      </w:r>
    </w:p>
    <w:p>
      <w:pPr>
        <w:pStyle w:val="1135"/>
        <w:jc w:val="both"/>
        <w:spacing w:before="40" w:line="276" w:lineRule="auto"/>
        <w:tabs>
          <w:tab w:val="left" w:pos="-1276" w:leader="none"/>
          <w:tab w:val="left" w:pos="284" w:leader="none"/>
          <w:tab w:val="left" w:pos="1134" w:leader="none"/>
        </w:tabs>
        <w:rPr>
          <w:sz w:val="20"/>
          <w:szCs w:val="20"/>
        </w:rPr>
      </w:pPr>
      <w:r>
        <w:rPr>
          <w:sz w:val="20"/>
          <w:szCs w:val="20"/>
        </w:rPr>
        <w:t xml:space="preserve">6</w:t>
      </w:r>
      <w:r>
        <w:rPr>
          <w:sz w:val="20"/>
          <w:szCs w:val="20"/>
        </w:rPr>
        <w:t xml:space="preserve">. Возмещение комиссий и расходов иных банков по документарным операциям, если таковые возникают и если иное не предусмотрено отдельным соглашением, осуществляется Клиентом дополнительно к комиссиям, указанным в Тарифах.</w:t>
      </w:r>
      <w:r>
        <w:rPr>
          <w:sz w:val="20"/>
          <w:szCs w:val="20"/>
        </w:rPr>
      </w:r>
      <w:r>
        <w:rPr>
          <w:sz w:val="20"/>
          <w:szCs w:val="20"/>
        </w:rPr>
      </w:r>
    </w:p>
    <w:p>
      <w:pPr>
        <w:pStyle w:val="1135"/>
        <w:jc w:val="both"/>
        <w:spacing w:before="40" w:line="276" w:lineRule="auto"/>
        <w:tabs>
          <w:tab w:val="left" w:pos="284" w:leader="none"/>
          <w:tab w:val="left" w:pos="1134" w:leader="none"/>
        </w:tabs>
        <w:rPr>
          <w:sz w:val="20"/>
          <w:szCs w:val="20"/>
        </w:rPr>
      </w:pPr>
      <w:r>
        <w:rPr>
          <w:sz w:val="20"/>
          <w:szCs w:val="20"/>
        </w:rPr>
        <w:t xml:space="preserve">7</w:t>
      </w:r>
      <w:r>
        <w:rPr>
          <w:sz w:val="20"/>
          <w:szCs w:val="20"/>
        </w:rPr>
        <w:t xml:space="preserve">. Комиссии, уплаченные Банку за оказание услуг (кроме ошибочно удержанных), возврату не подлежат</w:t>
      </w:r>
      <w:r>
        <w:rPr>
          <w:sz w:val="20"/>
          <w:szCs w:val="20"/>
        </w:rPr>
        <w:t xml:space="preserve">.</w:t>
      </w:r>
      <w:r>
        <w:rPr>
          <w:sz w:val="20"/>
          <w:szCs w:val="20"/>
        </w:rPr>
        <w:t xml:space="preserve">».</w:t>
      </w:r>
      <w:r>
        <w:rPr>
          <w:sz w:val="20"/>
          <w:szCs w:val="20"/>
        </w:rPr>
      </w:r>
      <w:r>
        <w:rPr>
          <w:sz w:val="20"/>
          <w:szCs w:val="20"/>
        </w:rPr>
      </w:r>
    </w:p>
    <w:p>
      <w:pPr>
        <w:pStyle w:val="1135"/>
        <w:jc w:val="both"/>
        <w:spacing w:before="40"/>
        <w:tabs>
          <w:tab w:val="left" w:pos="284" w:leader="none"/>
          <w:tab w:val="left" w:pos="1134" w:leader="none"/>
        </w:tabs>
        <w:rPr>
          <w:sz w:val="20"/>
          <w:szCs w:val="20"/>
        </w:rPr>
      </w:pPr>
      <w:r>
        <w:rPr>
          <w:sz w:val="20"/>
          <w:szCs w:val="20"/>
        </w:rPr>
      </w:r>
      <w:r>
        <w:rPr>
          <w:sz w:val="20"/>
          <w:szCs w:val="20"/>
        </w:rPr>
      </w:r>
      <w:r>
        <w:rPr>
          <w:sz w:val="20"/>
          <w:szCs w:val="20"/>
        </w:rPr>
      </w:r>
    </w:p>
    <w:p>
      <w:pPr>
        <w:pStyle w:val="1135"/>
        <w:jc w:val="both"/>
        <w:spacing w:before="40"/>
        <w:tabs>
          <w:tab w:val="left" w:pos="284" w:leader="none"/>
          <w:tab w:val="left" w:pos="1134" w:leader="none"/>
        </w:tabs>
        <w:rPr>
          <w:sz w:val="20"/>
          <w:szCs w:val="20"/>
        </w:rPr>
      </w:pPr>
      <w:r>
        <w:rPr>
          <w:sz w:val="20"/>
          <w:szCs w:val="20"/>
        </w:rPr>
      </w:r>
      <w:r>
        <w:rPr>
          <w:sz w:val="20"/>
          <w:szCs w:val="20"/>
        </w:rPr>
      </w:r>
      <w:r>
        <w:rPr>
          <w:sz w:val="20"/>
          <w:szCs w:val="20"/>
        </w:rPr>
      </w:r>
    </w:p>
    <w:p>
      <w:pPr>
        <w:pStyle w:val="1135"/>
        <w:jc w:val="both"/>
        <w:spacing w:before="40"/>
        <w:tabs>
          <w:tab w:val="left" w:pos="284" w:leader="none"/>
          <w:tab w:val="left" w:pos="1134" w:leader="none"/>
        </w:tabs>
        <w:rPr>
          <w:sz w:val="20"/>
          <w:szCs w:val="20"/>
        </w:rPr>
      </w:pPr>
      <w:r>
        <w:rPr>
          <w:sz w:val="20"/>
          <w:szCs w:val="20"/>
        </w:rPr>
      </w:r>
      <w:r>
        <w:rPr>
          <w:sz w:val="20"/>
          <w:szCs w:val="20"/>
        </w:rPr>
      </w:r>
      <w:r>
        <w:rPr>
          <w:sz w:val="20"/>
          <w:szCs w:val="20"/>
        </w:rPr>
      </w:r>
    </w:p>
    <w:p>
      <w:pPr>
        <w:pStyle w:val="1135"/>
        <w:jc w:val="both"/>
        <w:spacing w:before="40"/>
        <w:tabs>
          <w:tab w:val="left" w:pos="284" w:leader="none"/>
          <w:tab w:val="left" w:pos="1134" w:leader="none"/>
        </w:tabs>
        <w:rPr>
          <w:sz w:val="20"/>
          <w:szCs w:val="20"/>
        </w:rPr>
      </w:pPr>
      <w:r>
        <w:rPr>
          <w:sz w:val="20"/>
          <w:szCs w:val="20"/>
        </w:rPr>
      </w:r>
      <w:r>
        <w:rPr>
          <w:sz w:val="20"/>
          <w:szCs w:val="20"/>
        </w:rPr>
      </w:r>
      <w:r>
        <w:rPr>
          <w:sz w:val="20"/>
          <w:szCs w:val="20"/>
        </w:rPr>
      </w:r>
    </w:p>
    <w:p>
      <w:pPr>
        <w:pStyle w:val="1135"/>
        <w:jc w:val="both"/>
        <w:spacing w:before="40"/>
        <w:tabs>
          <w:tab w:val="left" w:pos="284" w:leader="none"/>
          <w:tab w:val="left" w:pos="1134" w:leader="none"/>
        </w:tabs>
        <w:rPr>
          <w:sz w:val="20"/>
          <w:szCs w:val="20"/>
        </w:rPr>
      </w:pPr>
      <w:r>
        <w:rPr>
          <w:sz w:val="20"/>
          <w:szCs w:val="20"/>
        </w:rPr>
      </w:r>
      <w:r>
        <w:rPr>
          <w:sz w:val="20"/>
          <w:szCs w:val="20"/>
        </w:rPr>
      </w:r>
      <w:r>
        <w:rPr>
          <w:sz w:val="20"/>
          <w:szCs w:val="20"/>
        </w:rPr>
      </w:r>
    </w:p>
    <w:p>
      <w:pPr>
        <w:pStyle w:val="1139"/>
      </w:pPr>
      <w:r>
        <w:t xml:space="preserve">6.</w:t>
      </w:r>
      <w:r>
        <w:t xml:space="preserve"> </w:t>
      </w:r>
      <w:r>
        <w:t xml:space="preserve">Гарантийные</w:t>
      </w:r>
      <w:r>
        <w:t xml:space="preserve"> </w:t>
      </w:r>
      <w:r>
        <w:t xml:space="preserve">операции</w:t>
      </w: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0"/>
        <w:gridCol w:w="3969"/>
        <w:gridCol w:w="1985"/>
        <w:gridCol w:w="35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35"/>
              <w:jc w:val="center"/>
              <w:rPr>
                <w:b/>
                <w:sz w:val="20"/>
                <w:szCs w:val="20"/>
              </w:rPr>
            </w:pPr>
            <w:r>
              <w:rPr>
                <w:b/>
                <w:sz w:val="20"/>
                <w:szCs w:val="20"/>
              </w:rPr>
              <w:t xml:space="preserve">№ п/п</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35"/>
              <w:jc w:val="center"/>
              <w:rPr>
                <w:b/>
                <w:sz w:val="20"/>
                <w:szCs w:val="20"/>
              </w:rPr>
            </w:pPr>
            <w:r>
              <w:rPr>
                <w:b/>
                <w:sz w:val="20"/>
                <w:szCs w:val="20"/>
              </w:rPr>
              <w:t xml:space="preserve">Наименование услуги</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35"/>
              <w:jc w:val="center"/>
              <w:rPr>
                <w:b/>
                <w:sz w:val="20"/>
                <w:szCs w:val="20"/>
              </w:rPr>
            </w:pPr>
            <w:r>
              <w:rPr>
                <w:b/>
                <w:sz w:val="20"/>
                <w:szCs w:val="20"/>
              </w:rPr>
              <w:t xml:space="preserve">Тариф</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35"/>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35"/>
              <w:jc w:val="center"/>
              <w:spacing w:before="40" w:after="40"/>
              <w:rPr>
                <w:bCs/>
                <w:sz w:val="20"/>
                <w:szCs w:val="20"/>
              </w:rPr>
            </w:pPr>
            <w:r>
              <w:rPr>
                <w:bCs/>
                <w:sz w:val="20"/>
                <w:szCs w:val="20"/>
              </w:rPr>
              <w:t xml:space="preserve">6</w:t>
            </w:r>
            <w:r>
              <w:rPr>
                <w:bCs/>
                <w:sz w:val="20"/>
                <w:szCs w:val="20"/>
              </w:rPr>
              <w:t xml:space="preserve">.1.</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35"/>
              <w:jc w:val="both"/>
              <w:spacing w:before="40" w:after="40"/>
              <w:rPr>
                <w:bCs/>
                <w:sz w:val="20"/>
                <w:szCs w:val="20"/>
              </w:rPr>
            </w:pPr>
            <w:r>
              <w:rPr>
                <w:bCs/>
                <w:sz w:val="20"/>
                <w:szCs w:val="20"/>
              </w:rPr>
              <w:t xml:space="preserve">Выдача банковской гарантии </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35"/>
              <w:jc w:val="center"/>
              <w:spacing w:before="40"/>
              <w:rPr>
                <w:bCs/>
                <w:sz w:val="20"/>
                <w:szCs w:val="20"/>
              </w:rPr>
            </w:pPr>
            <w:r>
              <w:rPr>
                <w:bCs/>
                <w:sz w:val="20"/>
                <w:szCs w:val="20"/>
              </w:rPr>
              <w:t xml:space="preserve">По соглашению сторон,</w:t>
            </w:r>
            <w:r>
              <w:rPr>
                <w:bCs/>
                <w:sz w:val="20"/>
                <w:szCs w:val="20"/>
              </w:rPr>
            </w:r>
            <w:r>
              <w:rPr>
                <w:bCs/>
                <w:sz w:val="20"/>
                <w:szCs w:val="20"/>
              </w:rPr>
            </w:r>
          </w:p>
          <w:p>
            <w:pPr>
              <w:pStyle w:val="1135"/>
              <w:jc w:val="center"/>
              <w:spacing w:before="40"/>
              <w:rPr>
                <w:bCs/>
                <w:sz w:val="20"/>
                <w:szCs w:val="20"/>
              </w:rPr>
            </w:pPr>
            <w:r>
              <w:rPr>
                <w:bCs/>
                <w:sz w:val="20"/>
                <w:szCs w:val="20"/>
              </w:rPr>
              <w:t xml:space="preserve">не менее 5 000 руб.</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35"/>
              <w:jc w:val="both"/>
              <w:rPr>
                <w:sz w:val="20"/>
                <w:szCs w:val="20"/>
              </w:rPr>
            </w:pPr>
            <w:r>
              <w:rPr>
                <w:sz w:val="20"/>
                <w:szCs w:val="20"/>
              </w:rPr>
              <w:t xml:space="preserve">Комиссия уплачивается в порядке, установленном Соглашением о порядке и условиях выдачи банковской гарантии/ Генеральным соглашением о выдаче банковских гарантий</w:t>
            </w:r>
            <w:r>
              <w:rPr>
                <w:sz w:val="20"/>
                <w:szCs w:val="20"/>
              </w:rPr>
            </w:r>
            <w:r>
              <w:rPr>
                <w:sz w:val="20"/>
                <w:szCs w:val="20"/>
              </w:rPr>
            </w:r>
          </w:p>
          <w:p>
            <w:pPr>
              <w:pStyle w:val="1135"/>
              <w:jc w:val="both"/>
              <w:rPr>
                <w:sz w:val="20"/>
                <w:szCs w:val="20"/>
              </w:rPr>
            </w:pPr>
            <w:r>
              <w:rPr>
                <w:sz w:val="20"/>
                <w:szCs w:val="20"/>
              </w:rPr>
            </w:r>
            <w:r>
              <w:rPr>
                <w:sz w:val="20"/>
                <w:szCs w:val="20"/>
              </w:rPr>
            </w:r>
            <w:r>
              <w:rPr>
                <w:sz w:val="20"/>
                <w:szCs w:val="20"/>
              </w:rPr>
            </w:r>
          </w:p>
          <w:p>
            <w:pPr>
              <w:pStyle w:val="1135"/>
              <w:jc w:val="both"/>
              <w:widowControl w:val="off"/>
              <w:rPr>
                <w:sz w:val="20"/>
                <w:szCs w:val="20"/>
              </w:rPr>
            </w:pPr>
            <w:r>
              <w:rPr>
                <w:rFonts w:cs="Arial"/>
                <w:sz w:val="20"/>
                <w:szCs w:val="20"/>
              </w:rPr>
              <w:t xml:space="preserve">[</w:t>
            </w:r>
            <w:r>
              <w:rPr>
                <w:sz w:val="20"/>
                <w:szCs w:val="20"/>
              </w:rPr>
              <w:t xml:space="preserve">Данная информация не включается в информационные материалы для клиентов Банка, не размещается на сайте Банка в сети Интернет:</w:t>
            </w:r>
            <w:r>
              <w:rPr>
                <w:sz w:val="20"/>
                <w:szCs w:val="20"/>
              </w:rPr>
            </w:r>
            <w:r>
              <w:rPr>
                <w:sz w:val="20"/>
                <w:szCs w:val="20"/>
              </w:rPr>
            </w:r>
          </w:p>
          <w:p>
            <w:pPr>
              <w:pStyle w:val="1135"/>
              <w:jc w:val="both"/>
              <w:rPr>
                <w:sz w:val="20"/>
                <w:szCs w:val="20"/>
              </w:rPr>
            </w:pPr>
            <w:r>
              <w:rPr>
                <w:sz w:val="20"/>
                <w:szCs w:val="20"/>
              </w:rPr>
              <w:t xml:space="preserve">Размер комиссии за выдачу гарантии определяется с учетом минимальных тарифов комиссионного вознаграждения по гарантийным сделкам (Приложение </w:t>
            </w:r>
            <w:r>
              <w:rPr>
                <w:sz w:val="20"/>
                <w:szCs w:val="20"/>
              </w:rPr>
              <w:t xml:space="preserve">2</w:t>
            </w:r>
            <w:r>
              <w:rPr>
                <w:sz w:val="20"/>
                <w:szCs w:val="20"/>
              </w:rPr>
              <w:t xml:space="preserve"> к приказу Банка от 01.08.2013 № 386-ОД), а также полномочий по изменению размера комиссионного вознаграждения по гарантийным сделкам, предоставленных региональным филиалам в соответствии с п.2.5 приказа Банка от 01.08.2013 № 386-ОД.</w:t>
            </w:r>
            <w:r>
              <w:rPr>
                <w:sz w:val="20"/>
                <w:szCs w:val="20"/>
              </w:rPr>
            </w:r>
            <w:r>
              <w:rPr>
                <w:sz w:val="20"/>
                <w:szCs w:val="20"/>
              </w:rPr>
            </w:r>
          </w:p>
          <w:p>
            <w:pPr>
              <w:pStyle w:val="1135"/>
              <w:jc w:val="both"/>
              <w:rPr>
                <w:sz w:val="20"/>
                <w:szCs w:val="20"/>
              </w:rPr>
            </w:pPr>
            <w:r>
              <w:rPr>
                <w:sz w:val="20"/>
                <w:szCs w:val="20"/>
              </w:rPr>
              <w:t xml:space="preserve">Комиссия рассчитывается от предельной суммы обязательств по гарантии (предела обязательств Банка) за период действия банковской гарантии. </w:t>
            </w:r>
            <w:r>
              <w:rPr>
                <w:sz w:val="20"/>
                <w:szCs w:val="20"/>
              </w:rPr>
            </w:r>
            <w:r>
              <w:rPr>
                <w:sz w:val="20"/>
                <w:szCs w:val="20"/>
              </w:rPr>
            </w:r>
          </w:p>
          <w:p>
            <w:pPr>
              <w:pStyle w:val="1135"/>
              <w:jc w:val="both"/>
              <w:rPr>
                <w:sz w:val="20"/>
                <w:szCs w:val="20"/>
              </w:rPr>
            </w:pPr>
            <w:r>
              <w:rPr>
                <w:sz w:val="20"/>
                <w:szCs w:val="20"/>
              </w:rPr>
              <w:t xml:space="preserve">Комиссия может быть установлена как в абсолютном (твердая денежная сумма), так и в относительном (процент годовых от суммы банковской гарантии) выражении.</w:t>
            </w:r>
            <w:r>
              <w:rPr>
                <w:sz w:val="20"/>
                <w:szCs w:val="20"/>
              </w:rPr>
            </w:r>
            <w:r>
              <w:rPr>
                <w:sz w:val="20"/>
                <w:szCs w:val="20"/>
              </w:rPr>
            </w:r>
          </w:p>
          <w:p>
            <w:pPr>
              <w:pStyle w:val="1135"/>
              <w:jc w:val="both"/>
              <w:rPr>
                <w:sz w:val="20"/>
                <w:szCs w:val="20"/>
              </w:rPr>
            </w:pPr>
            <w:r>
              <w:rPr>
                <w:sz w:val="20"/>
                <w:szCs w:val="20"/>
              </w:rPr>
              <w:t xml:space="preserve">Точный размер комиссии устанавливается уполномоченным органом Банка, к компетенции которого относится принятие решения о выдаче банковской гарантии.</w:t>
            </w:r>
            <w:r>
              <w:rPr>
                <w:sz w:val="20"/>
                <w:szCs w:val="20"/>
              </w:rPr>
            </w:r>
            <w:r>
              <w:rPr>
                <w:sz w:val="20"/>
                <w:szCs w:val="20"/>
              </w:rPr>
            </w:r>
          </w:p>
          <w:p>
            <w:pPr>
              <w:pStyle w:val="1135"/>
              <w:jc w:val="both"/>
              <w:rPr>
                <w:sz w:val="20"/>
                <w:szCs w:val="20"/>
              </w:rPr>
            </w:pPr>
            <w:r>
              <w:rPr>
                <w:sz w:val="20"/>
                <w:szCs w:val="20"/>
              </w:rPr>
              <w:t xml:space="preserve">Размер и порядок уплаты комиссии фиксируется в Соглашении о порядке и условиях выдачи банковской гарантии/ Генеральном соглашении о выдаче банковских гарантий.]</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35"/>
              <w:jc w:val="center"/>
              <w:spacing w:before="40" w:after="40"/>
              <w:rPr>
                <w:bCs/>
                <w:sz w:val="20"/>
                <w:szCs w:val="20"/>
              </w:rPr>
            </w:pPr>
            <w:r>
              <w:rPr>
                <w:bCs/>
                <w:sz w:val="20"/>
                <w:szCs w:val="20"/>
              </w:rPr>
              <w:t xml:space="preserve">6.</w:t>
            </w:r>
            <w:r>
              <w:rPr>
                <w:bCs/>
                <w:sz w:val="20"/>
                <w:szCs w:val="20"/>
              </w:rPr>
              <w:t xml:space="preserve">2</w:t>
            </w:r>
            <w:r>
              <w:rPr>
                <w:bCs/>
                <w:sz w:val="20"/>
                <w:szCs w:val="20"/>
              </w:rPr>
              <w:t xml:space="preserve">.</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35"/>
              <w:spacing w:before="40" w:after="40"/>
              <w:rPr>
                <w:bCs/>
                <w:sz w:val="20"/>
                <w:szCs w:val="20"/>
              </w:rPr>
            </w:pPr>
            <w:r>
              <w:rPr>
                <w:bCs/>
                <w:sz w:val="20"/>
                <w:szCs w:val="20"/>
              </w:rPr>
              <w:t xml:space="preserve">Изменение условий выдачи банковской гарантии</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35"/>
              <w:jc w:val="center"/>
              <w:rPr>
                <w:b/>
                <w:sz w:val="20"/>
                <w:szCs w:val="20"/>
              </w:rPr>
            </w:pPr>
            <w:r>
              <w:rPr>
                <w:b/>
                <w:sz w:val="20"/>
                <w:szCs w:val="20"/>
              </w:rPr>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35"/>
              <w:jc w:val="center"/>
              <w:rPr>
                <w:b/>
                <w:sz w:val="20"/>
                <w:szCs w:val="20"/>
              </w:rPr>
            </w:pPr>
            <w:r>
              <w:rPr>
                <w:b/>
                <w:sz w:val="20"/>
                <w:szCs w:val="20"/>
              </w:rPr>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35"/>
              <w:jc w:val="center"/>
              <w:spacing w:before="40" w:after="40"/>
              <w:rPr>
                <w:bCs/>
                <w:sz w:val="20"/>
                <w:szCs w:val="20"/>
              </w:rPr>
            </w:pPr>
            <w:r>
              <w:rPr>
                <w:bCs/>
                <w:sz w:val="20"/>
                <w:szCs w:val="20"/>
              </w:rPr>
              <w:t xml:space="preserve">6.2.1.</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35"/>
              <w:jc w:val="both"/>
              <w:spacing w:before="40" w:after="40"/>
              <w:rPr>
                <w:bCs/>
                <w:sz w:val="20"/>
                <w:szCs w:val="20"/>
              </w:rPr>
            </w:pPr>
            <w:r>
              <w:rPr>
                <w:bCs/>
                <w:sz w:val="20"/>
                <w:szCs w:val="20"/>
              </w:rPr>
              <w:t xml:space="preserve">Увеличение </w:t>
            </w:r>
            <w:r>
              <w:rPr>
                <w:sz w:val="20"/>
                <w:szCs w:val="20"/>
              </w:rPr>
              <w:t xml:space="preserve">суммы и/или срока</w:t>
            </w:r>
            <w:r>
              <w:rPr>
                <w:bCs/>
                <w:sz w:val="20"/>
                <w:szCs w:val="20"/>
              </w:rPr>
              <w:t xml:space="preserve"> гарантии</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35"/>
              <w:jc w:val="center"/>
              <w:spacing w:before="40"/>
              <w:rPr>
                <w:bCs/>
                <w:sz w:val="20"/>
                <w:szCs w:val="20"/>
              </w:rPr>
            </w:pPr>
            <w:r>
              <w:rPr>
                <w:bCs/>
                <w:sz w:val="20"/>
                <w:szCs w:val="20"/>
              </w:rPr>
              <w:t xml:space="preserve">По соглашению сторон,</w:t>
            </w:r>
            <w:r>
              <w:rPr>
                <w:bCs/>
                <w:sz w:val="20"/>
                <w:szCs w:val="20"/>
              </w:rPr>
            </w:r>
            <w:r>
              <w:rPr>
                <w:bCs/>
                <w:sz w:val="20"/>
                <w:szCs w:val="20"/>
              </w:rPr>
            </w:r>
          </w:p>
          <w:p>
            <w:pPr>
              <w:pStyle w:val="1135"/>
              <w:jc w:val="center"/>
              <w:spacing w:before="40"/>
              <w:rPr>
                <w:bCs/>
                <w:sz w:val="20"/>
                <w:szCs w:val="20"/>
              </w:rPr>
            </w:pPr>
            <w:r>
              <w:rPr>
                <w:bCs/>
                <w:sz w:val="20"/>
                <w:szCs w:val="20"/>
              </w:rPr>
              <w:t xml:space="preserve">не менее 5 000 руб.</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35"/>
              <w:jc w:val="both"/>
              <w:rPr>
                <w:sz w:val="20"/>
                <w:szCs w:val="20"/>
              </w:rPr>
            </w:pPr>
            <w:r>
              <w:rPr>
                <w:sz w:val="20"/>
                <w:szCs w:val="20"/>
              </w:rPr>
              <w:t xml:space="preserve">Комиссия уплачивается в порядке, установленном Соглашением о порядке и условиях выдачи банковской гарантии/Генеральным соглашением о выдаче банковских гарантий</w:t>
            </w:r>
            <w:r>
              <w:rPr>
                <w:sz w:val="20"/>
                <w:szCs w:val="20"/>
              </w:rPr>
            </w:r>
            <w:r>
              <w:rPr>
                <w:sz w:val="20"/>
                <w:szCs w:val="20"/>
              </w:rPr>
            </w:r>
          </w:p>
          <w:p>
            <w:pPr>
              <w:pStyle w:val="1135"/>
              <w:jc w:val="both"/>
              <w:rPr>
                <w:sz w:val="20"/>
                <w:szCs w:val="20"/>
              </w:rPr>
            </w:pPr>
            <w:r>
              <w:rPr>
                <w:sz w:val="20"/>
                <w:szCs w:val="20"/>
              </w:rPr>
            </w:r>
            <w:r>
              <w:rPr>
                <w:sz w:val="20"/>
                <w:szCs w:val="20"/>
              </w:rPr>
            </w:r>
            <w:r>
              <w:rPr>
                <w:sz w:val="20"/>
                <w:szCs w:val="20"/>
              </w:rPr>
            </w:r>
          </w:p>
          <w:p>
            <w:pPr>
              <w:pStyle w:val="1135"/>
              <w:jc w:val="both"/>
              <w:widowControl w:val="off"/>
              <w:rPr>
                <w:sz w:val="20"/>
                <w:szCs w:val="20"/>
              </w:rPr>
            </w:pPr>
            <w:r>
              <w:rPr>
                <w:rFonts w:cs="Arial"/>
                <w:sz w:val="20"/>
                <w:szCs w:val="20"/>
              </w:rPr>
              <w:t xml:space="preserve">[</w:t>
            </w:r>
            <w:r>
              <w:rPr>
                <w:sz w:val="20"/>
                <w:szCs w:val="20"/>
              </w:rPr>
              <w:t xml:space="preserve">Данная информация не включается в информационные материалы для клиентов Банка, не размещается на сайте Банка в сети Интернет:</w:t>
            </w:r>
            <w:r>
              <w:rPr>
                <w:sz w:val="20"/>
                <w:szCs w:val="20"/>
              </w:rPr>
            </w:r>
            <w:r>
              <w:rPr>
                <w:sz w:val="20"/>
                <w:szCs w:val="20"/>
              </w:rPr>
            </w:r>
          </w:p>
          <w:p>
            <w:pPr>
              <w:pStyle w:val="1135"/>
              <w:jc w:val="both"/>
              <w:rPr>
                <w:sz w:val="20"/>
                <w:szCs w:val="20"/>
              </w:rPr>
            </w:pPr>
            <w:r>
              <w:rPr>
                <w:sz w:val="20"/>
                <w:szCs w:val="20"/>
              </w:rPr>
              <w:t xml:space="preserve">Размер комиссии за увеличение суммы и/или срока гарантии определяется с учетом минимальных тарифов комиссионного вознаграждения по гарантийны</w:t>
            </w:r>
            <w:r>
              <w:rPr>
                <w:sz w:val="20"/>
                <w:szCs w:val="20"/>
              </w:rPr>
              <w:t xml:space="preserve">м сделкам (Приложение 1 к приказу Банка от 01.08.2013 № 386-ОД), а также полномочий по изменению размера комиссионного вознаграждения по гарантийным сделкам, предоставленных региональным филиалам в соответствии с п.2.5 приказа Банка от 01.08.2013 № 386-ОД.</w:t>
            </w:r>
            <w:r>
              <w:rPr>
                <w:sz w:val="20"/>
                <w:szCs w:val="20"/>
              </w:rPr>
            </w:r>
            <w:r>
              <w:rPr>
                <w:sz w:val="20"/>
                <w:szCs w:val="20"/>
              </w:rPr>
            </w:r>
          </w:p>
          <w:p>
            <w:pPr>
              <w:pStyle w:val="1135"/>
              <w:jc w:val="both"/>
              <w:rPr>
                <w:sz w:val="20"/>
                <w:szCs w:val="20"/>
              </w:rPr>
            </w:pPr>
            <w:r>
              <w:rPr>
                <w:sz w:val="20"/>
                <w:szCs w:val="20"/>
              </w:rPr>
              <w:t xml:space="preserve">Комиссия за увеличение суммы гарантии рассчитывается от суммы увеличения обязательства по гарантии за период с даты увеличения суммы обязательства по дату окончания срока действия банковской гарантии.</w:t>
            </w:r>
            <w:r>
              <w:rPr>
                <w:sz w:val="20"/>
                <w:szCs w:val="20"/>
              </w:rPr>
            </w:r>
            <w:r>
              <w:rPr>
                <w:sz w:val="20"/>
                <w:szCs w:val="20"/>
              </w:rPr>
            </w:r>
          </w:p>
          <w:p>
            <w:pPr>
              <w:pStyle w:val="1135"/>
              <w:jc w:val="both"/>
              <w:rPr>
                <w:sz w:val="20"/>
                <w:szCs w:val="20"/>
              </w:rPr>
            </w:pPr>
            <w:r>
              <w:rPr>
                <w:sz w:val="20"/>
                <w:szCs w:val="20"/>
              </w:rPr>
              <w:t xml:space="preserve">Комиссия за увеличение срока гарантии рассчитывается от предельной суммы обязательств по гарантии (предела обязательств Банка) за период с даты увеличения срока гарантии по дату окончания срока действия банковской гарантии.</w:t>
            </w:r>
            <w:r>
              <w:rPr>
                <w:sz w:val="20"/>
                <w:szCs w:val="20"/>
              </w:rPr>
            </w:r>
            <w:r>
              <w:rPr>
                <w:sz w:val="20"/>
                <w:szCs w:val="20"/>
              </w:rPr>
            </w:r>
          </w:p>
          <w:p>
            <w:pPr>
              <w:pStyle w:val="1135"/>
              <w:jc w:val="both"/>
              <w:rPr>
                <w:sz w:val="20"/>
                <w:szCs w:val="20"/>
              </w:rPr>
            </w:pPr>
            <w:r>
              <w:rPr>
                <w:sz w:val="20"/>
                <w:szCs w:val="20"/>
              </w:rPr>
              <w:t xml:space="preserve">При одновременном увеличении суммы и срока гарантии комиссия рассчитывается от суммы увеличения обязательства по гарантии за период с даты у</w:t>
            </w:r>
            <w:r>
              <w:rPr>
                <w:sz w:val="20"/>
                <w:szCs w:val="20"/>
              </w:rPr>
              <w:t xml:space="preserve">величения суммы обязательства по дату окончания текущего срока действия банковской гарантии, и при продлении срока действия увеличенного обязательства по гарантии - от суммы увеличенного обязательства за период продления срока действия банковской гарантии.</w:t>
            </w:r>
            <w:r>
              <w:rPr>
                <w:sz w:val="20"/>
                <w:szCs w:val="20"/>
              </w:rPr>
            </w:r>
            <w:r>
              <w:rPr>
                <w:sz w:val="20"/>
                <w:szCs w:val="20"/>
              </w:rPr>
            </w:r>
          </w:p>
          <w:p>
            <w:pPr>
              <w:pStyle w:val="1135"/>
              <w:jc w:val="both"/>
              <w:rPr>
                <w:sz w:val="20"/>
                <w:szCs w:val="20"/>
              </w:rPr>
            </w:pPr>
            <w:r>
              <w:rPr>
                <w:sz w:val="20"/>
                <w:szCs w:val="20"/>
              </w:rPr>
              <w:t xml:space="preserve">Комиссия может быть установлена как в абсолютном (твердая денежная сумма), так и в относительном (процент годовых от суммы банковской гарантии) выражении.</w:t>
            </w:r>
            <w:r>
              <w:rPr>
                <w:sz w:val="20"/>
                <w:szCs w:val="20"/>
              </w:rPr>
            </w:r>
            <w:r>
              <w:rPr>
                <w:sz w:val="20"/>
                <w:szCs w:val="20"/>
              </w:rPr>
            </w:r>
          </w:p>
          <w:p>
            <w:pPr>
              <w:pStyle w:val="1135"/>
              <w:jc w:val="both"/>
              <w:rPr>
                <w:sz w:val="20"/>
                <w:szCs w:val="20"/>
              </w:rPr>
            </w:pPr>
            <w:r>
              <w:rPr>
                <w:sz w:val="20"/>
                <w:szCs w:val="20"/>
              </w:rPr>
              <w:t xml:space="preserve">Точный размер комиссии устанавливается уполномоченным органом Банка, к компетенции которого относится принятие решения о выдаче банковской гарантии.</w:t>
            </w:r>
            <w:r>
              <w:rPr>
                <w:sz w:val="20"/>
                <w:szCs w:val="20"/>
              </w:rPr>
            </w:r>
            <w:r>
              <w:rPr>
                <w:sz w:val="20"/>
                <w:szCs w:val="20"/>
              </w:rPr>
            </w:r>
          </w:p>
          <w:p>
            <w:pPr>
              <w:pStyle w:val="1135"/>
              <w:jc w:val="both"/>
              <w:rPr>
                <w:sz w:val="20"/>
                <w:szCs w:val="20"/>
              </w:rPr>
            </w:pPr>
            <w:r>
              <w:rPr>
                <w:sz w:val="20"/>
                <w:szCs w:val="20"/>
              </w:rPr>
              <w:t xml:space="preserve">Размер и порядок уплаты комиссии фиксируется в Соглашении о порядке и условиях выдачи банковской гарантии/ Генеральном соглашении о выдаче банковских гарантий.]</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35"/>
              <w:jc w:val="center"/>
              <w:spacing w:before="40"/>
              <w:rPr>
                <w:sz w:val="20"/>
                <w:szCs w:val="20"/>
              </w:rPr>
            </w:pPr>
            <w:r>
              <w:rPr>
                <w:sz w:val="20"/>
                <w:szCs w:val="20"/>
              </w:rPr>
              <w:t xml:space="preserve">6.2.2.</w:t>
            </w:r>
            <w:r>
              <w:rPr>
                <w:sz w:val="20"/>
                <w:szCs w:val="20"/>
              </w:rPr>
            </w:r>
            <w:r>
              <w:rPr>
                <w:sz w:val="20"/>
                <w:szCs w:val="20"/>
              </w:rPr>
            </w:r>
          </w:p>
          <w:p>
            <w:pPr>
              <w:pStyle w:val="1135"/>
              <w:jc w:val="center"/>
              <w:spacing w:before="40" w:after="40"/>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35"/>
              <w:jc w:val="both"/>
              <w:spacing w:before="40" w:after="40"/>
              <w:tabs>
                <w:tab w:val="center" w:pos="1260" w:leader="none"/>
                <w:tab w:val="right" w:pos="9355" w:leader="none"/>
              </w:tabs>
              <w:rPr>
                <w:bCs/>
                <w:sz w:val="20"/>
                <w:szCs w:val="20"/>
              </w:rPr>
            </w:pPr>
            <w:r>
              <w:rPr>
                <w:bCs/>
                <w:sz w:val="20"/>
                <w:szCs w:val="20"/>
              </w:rPr>
              <w:t xml:space="preserve">Изменение условий </w:t>
            </w:r>
            <w:r>
              <w:rPr>
                <w:sz w:val="20"/>
                <w:szCs w:val="20"/>
              </w:rPr>
              <w:t xml:space="preserve">Генерального соглашения о выдаче банковских гарантий/Соглашения о порядке и условиях выдачи банковской гарантии, а также </w:t>
            </w:r>
            <w:r>
              <w:rPr>
                <w:bCs/>
                <w:sz w:val="20"/>
                <w:szCs w:val="20"/>
              </w:rPr>
              <w:t xml:space="preserve">условий гарантии, не указанных в п. 6.2.1</w:t>
            </w:r>
            <w:r>
              <w:rPr>
                <w:bCs/>
                <w:sz w:val="20"/>
                <w:szCs w:val="20"/>
              </w:rPr>
            </w:r>
            <w:r>
              <w:rPr>
                <w:bCs/>
                <w:sz w:val="20"/>
                <w:szCs w:val="20"/>
              </w:rPr>
            </w:r>
          </w:p>
          <w:p>
            <w:pPr>
              <w:pStyle w:val="1135"/>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35"/>
              <w:jc w:val="center"/>
              <w:spacing w:before="40"/>
              <w:rPr>
                <w:bCs/>
                <w:sz w:val="20"/>
                <w:szCs w:val="20"/>
              </w:rPr>
            </w:pPr>
            <w:r>
              <w:rPr>
                <w:bCs/>
                <w:sz w:val="20"/>
                <w:szCs w:val="20"/>
              </w:rPr>
              <w:t xml:space="preserve">5 000 руб.</w:t>
            </w:r>
            <w:r>
              <w:rPr>
                <w:bCs/>
                <w:sz w:val="20"/>
                <w:szCs w:val="20"/>
              </w:rPr>
            </w:r>
            <w:r>
              <w:rPr>
                <w:bCs/>
                <w:sz w:val="20"/>
                <w:szCs w:val="20"/>
              </w:rPr>
            </w:r>
          </w:p>
          <w:p>
            <w:pPr>
              <w:pStyle w:val="1135"/>
              <w:jc w:val="center"/>
              <w:spacing w:before="40"/>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35"/>
              <w:jc w:val="both"/>
              <w:rPr>
                <w:sz w:val="20"/>
                <w:szCs w:val="20"/>
              </w:rPr>
            </w:pPr>
            <w:r>
              <w:rPr>
                <w:sz w:val="20"/>
                <w:szCs w:val="20"/>
              </w:rPr>
              <w:t xml:space="preserve">Комиссия уплачивается в порядке, установленном Соглашением о порядке и условиях выдачи банковской гарантии/Генеральным соглашением о выдаче банковских гарантий</w:t>
            </w:r>
            <w:r>
              <w:rPr>
                <w:sz w:val="20"/>
                <w:szCs w:val="20"/>
              </w:rPr>
            </w:r>
            <w:r>
              <w:rPr>
                <w:sz w:val="20"/>
                <w:szCs w:val="20"/>
              </w:rPr>
            </w:r>
          </w:p>
          <w:p>
            <w:pPr>
              <w:pStyle w:val="1135"/>
              <w:jc w:val="both"/>
              <w:rPr>
                <w:sz w:val="20"/>
                <w:szCs w:val="20"/>
              </w:rPr>
            </w:pPr>
            <w:r>
              <w:rPr>
                <w:sz w:val="20"/>
                <w:szCs w:val="20"/>
              </w:rPr>
            </w:r>
            <w:r>
              <w:rPr>
                <w:sz w:val="20"/>
                <w:szCs w:val="20"/>
              </w:rPr>
            </w:r>
            <w:r>
              <w:rPr>
                <w:sz w:val="20"/>
                <w:szCs w:val="20"/>
              </w:rPr>
            </w:r>
          </w:p>
          <w:p>
            <w:pPr>
              <w:pStyle w:val="1135"/>
              <w:jc w:val="both"/>
              <w:widowControl w:val="off"/>
              <w:rPr>
                <w:sz w:val="20"/>
                <w:szCs w:val="20"/>
              </w:rPr>
            </w:pPr>
            <w:r>
              <w:rPr>
                <w:rFonts w:cs="Arial"/>
                <w:sz w:val="20"/>
                <w:szCs w:val="20"/>
              </w:rPr>
              <w:t xml:space="preserve">[</w:t>
            </w:r>
            <w:r>
              <w:rPr>
                <w:sz w:val="20"/>
                <w:szCs w:val="20"/>
              </w:rPr>
              <w:t xml:space="preserve">Данная информация не включается в информационные материалы для клиентов Банка, не размещается на сайте Банка в сети Интернет:</w:t>
            </w:r>
            <w:r>
              <w:rPr>
                <w:sz w:val="20"/>
                <w:szCs w:val="20"/>
              </w:rPr>
            </w:r>
            <w:r>
              <w:rPr>
                <w:sz w:val="20"/>
                <w:szCs w:val="20"/>
              </w:rPr>
            </w:r>
          </w:p>
          <w:p>
            <w:pPr>
              <w:pStyle w:val="1135"/>
              <w:jc w:val="both"/>
              <w:rPr>
                <w:sz w:val="20"/>
                <w:szCs w:val="20"/>
              </w:rPr>
            </w:pPr>
            <w:r>
              <w:rPr>
                <w:sz w:val="20"/>
                <w:szCs w:val="20"/>
              </w:rPr>
              <w:t xml:space="preserve">Комиссия устанавливается в абсолютном выражении (твердая денежная сумма).</w:t>
            </w:r>
            <w:r>
              <w:rPr>
                <w:sz w:val="20"/>
                <w:szCs w:val="20"/>
              </w:rPr>
            </w:r>
            <w:r>
              <w:rPr>
                <w:sz w:val="20"/>
                <w:szCs w:val="20"/>
              </w:rPr>
            </w:r>
          </w:p>
          <w:p>
            <w:pPr>
              <w:pStyle w:val="1135"/>
              <w:jc w:val="both"/>
              <w:rPr>
                <w:sz w:val="20"/>
                <w:szCs w:val="20"/>
              </w:rPr>
            </w:pPr>
            <w:r>
              <w:rPr>
                <w:sz w:val="20"/>
                <w:szCs w:val="20"/>
              </w:rPr>
              <w:t xml:space="preserve">Комиссия не взимается в следующих случаях:</w:t>
            </w:r>
            <w:r>
              <w:rPr>
                <w:sz w:val="20"/>
                <w:szCs w:val="20"/>
              </w:rPr>
            </w:r>
            <w:r>
              <w:rPr>
                <w:sz w:val="20"/>
                <w:szCs w:val="20"/>
              </w:rPr>
            </w:r>
          </w:p>
          <w:p>
            <w:pPr>
              <w:pStyle w:val="1135"/>
              <w:jc w:val="both"/>
              <w:rPr>
                <w:sz w:val="20"/>
                <w:szCs w:val="20"/>
              </w:rPr>
            </w:pPr>
            <w:r>
              <w:rPr>
                <w:sz w:val="20"/>
                <w:szCs w:val="20"/>
              </w:rPr>
              <w:t xml:space="preserve">- уменьшение суммы и/или срока гарантии вследствие отказа/ частичного отказа бенефициара от своих прав по гарантии (при этом возврат ранее уплаченной комиссии за выдачу гарантии не производится);</w:t>
            </w:r>
            <w:r>
              <w:rPr>
                <w:sz w:val="20"/>
                <w:szCs w:val="20"/>
              </w:rPr>
            </w:r>
            <w:r>
              <w:rPr>
                <w:sz w:val="20"/>
                <w:szCs w:val="20"/>
              </w:rPr>
            </w:r>
          </w:p>
          <w:p>
            <w:pPr>
              <w:pStyle w:val="1135"/>
              <w:jc w:val="both"/>
              <w:rPr>
                <w:sz w:val="20"/>
                <w:szCs w:val="20"/>
              </w:rPr>
            </w:pPr>
            <w:r>
              <w:rPr>
                <w:sz w:val="20"/>
                <w:szCs w:val="20"/>
              </w:rPr>
              <w:t xml:space="preserve">- изменение условий гарантийной сделки в связи с предоставлением дополнительного обеспечения исполнения принципалом обязательств по гарантийной сделке по требованию Банка;</w:t>
            </w:r>
            <w:r>
              <w:rPr>
                <w:sz w:val="20"/>
                <w:szCs w:val="20"/>
              </w:rPr>
            </w:r>
            <w:r>
              <w:rPr>
                <w:sz w:val="20"/>
                <w:szCs w:val="20"/>
              </w:rPr>
            </w:r>
          </w:p>
          <w:p>
            <w:pPr>
              <w:pStyle w:val="1135"/>
              <w:jc w:val="both"/>
              <w:rPr>
                <w:sz w:val="20"/>
                <w:szCs w:val="20"/>
              </w:rPr>
            </w:pPr>
            <w:r>
              <w:rPr>
                <w:sz w:val="20"/>
                <w:szCs w:val="20"/>
              </w:rPr>
              <w:t xml:space="preserve">- в иных случаях, связанных с применением Банком санкций вследствие ненадлежащего исполнения принципалом своих обязательств по Соглашению о порядке и условиях выдачи банковской гарантии/ Генеральному соглашению о выдаче банковских гарантий.</w:t>
            </w:r>
            <w:r>
              <w:rPr>
                <w:sz w:val="20"/>
                <w:szCs w:val="20"/>
              </w:rPr>
            </w:r>
            <w:r>
              <w:rPr>
                <w:sz w:val="20"/>
                <w:szCs w:val="20"/>
              </w:rPr>
            </w:r>
          </w:p>
          <w:p>
            <w:pPr>
              <w:pStyle w:val="1135"/>
              <w:jc w:val="both"/>
              <w:rPr>
                <w:sz w:val="20"/>
                <w:szCs w:val="20"/>
              </w:rPr>
            </w:pPr>
            <w:r>
              <w:rPr>
                <w:sz w:val="20"/>
                <w:szCs w:val="20"/>
              </w:rPr>
              <w:t xml:space="preserve">Размер и порядок уплаты комиссии фиксируется в Соглашении о порядке и условиях выдачи банковской гарантии/ Генеральном соглашении о выдаче банковских гарантий.]</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35"/>
              <w:jc w:val="center"/>
              <w:rPr>
                <w:sz w:val="20"/>
                <w:szCs w:val="20"/>
              </w:rPr>
            </w:pPr>
            <w:r>
              <w:rPr>
                <w:sz w:val="20"/>
                <w:szCs w:val="20"/>
              </w:rPr>
              <w:t xml:space="preserve">6.3.</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35"/>
              <w:tabs>
                <w:tab w:val="left" w:pos="709" w:leader="none"/>
              </w:tabs>
              <w:rPr>
                <w:bCs/>
                <w:sz w:val="20"/>
                <w:szCs w:val="20"/>
              </w:rPr>
            </w:pPr>
            <w:r>
              <w:rPr>
                <w:bCs/>
                <w:sz w:val="20"/>
                <w:szCs w:val="20"/>
              </w:rPr>
              <w:t xml:space="preserve">Авизование гарантии, авизование изменения гарантии,</w:t>
            </w:r>
            <w:r>
              <w:rPr>
                <w:bCs/>
                <w:sz w:val="20"/>
                <w:szCs w:val="20"/>
              </w:rPr>
            </w:r>
            <w:r>
              <w:rPr>
                <w:bCs/>
                <w:sz w:val="20"/>
                <w:szCs w:val="20"/>
              </w:rPr>
            </w:r>
          </w:p>
          <w:p>
            <w:pPr>
              <w:pStyle w:val="1135"/>
              <w:tabs>
                <w:tab w:val="left" w:pos="709" w:leader="none"/>
              </w:tabs>
              <w:rPr>
                <w:bCs/>
                <w:sz w:val="20"/>
                <w:szCs w:val="20"/>
              </w:rPr>
            </w:pPr>
            <w:r>
              <w:rPr>
                <w:bCs/>
                <w:sz w:val="20"/>
                <w:szCs w:val="20"/>
              </w:rPr>
              <w:t xml:space="preserve">связанного с увеличением</w:t>
            </w:r>
            <w:r>
              <w:rPr>
                <w:bCs/>
                <w:sz w:val="20"/>
                <w:szCs w:val="20"/>
              </w:rPr>
            </w:r>
            <w:r>
              <w:rPr>
                <w:bCs/>
                <w:sz w:val="20"/>
                <w:szCs w:val="20"/>
              </w:rPr>
            </w:r>
          </w:p>
          <w:p>
            <w:pPr>
              <w:pStyle w:val="1135"/>
              <w:tabs>
                <w:tab w:val="left" w:pos="709" w:leader="none"/>
              </w:tabs>
              <w:rPr>
                <w:bCs/>
                <w:sz w:val="20"/>
                <w:szCs w:val="20"/>
              </w:rPr>
            </w:pPr>
            <w:r>
              <w:rPr>
                <w:bCs/>
                <w:sz w:val="20"/>
                <w:szCs w:val="20"/>
              </w:rPr>
              <w:t xml:space="preserve">ее суммы, без обязательств со стороны АО «Россельхозбанк»</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35"/>
              <w:jc w:val="center"/>
              <w:tabs>
                <w:tab w:val="left" w:pos="709" w:leader="none"/>
              </w:tabs>
              <w:rPr>
                <w:bCs/>
                <w:sz w:val="20"/>
                <w:szCs w:val="20"/>
              </w:rPr>
            </w:pPr>
            <w:r>
              <w:rPr>
                <w:bCs/>
                <w:sz w:val="20"/>
                <w:szCs w:val="20"/>
              </w:rPr>
              <w:t xml:space="preserve">0,1% от суммы гарантии или ее увеличения,</w:t>
            </w:r>
            <w:r>
              <w:rPr>
                <w:bCs/>
                <w:sz w:val="20"/>
                <w:szCs w:val="20"/>
              </w:rPr>
            </w:r>
            <w:r>
              <w:rPr>
                <w:bCs/>
                <w:sz w:val="20"/>
                <w:szCs w:val="20"/>
              </w:rPr>
            </w:r>
          </w:p>
          <w:p>
            <w:pPr>
              <w:pStyle w:val="1135"/>
              <w:jc w:val="center"/>
              <w:tabs>
                <w:tab w:val="left" w:pos="709" w:leader="none"/>
              </w:tabs>
              <w:rPr>
                <w:bCs/>
                <w:sz w:val="20"/>
                <w:szCs w:val="20"/>
              </w:rPr>
            </w:pPr>
            <w:r>
              <w:rPr>
                <w:bCs/>
                <w:sz w:val="20"/>
                <w:szCs w:val="20"/>
              </w:rPr>
              <w:t xml:space="preserve">мин. 55 евро, </w:t>
            </w:r>
            <w:r>
              <w:rPr>
                <w:bCs/>
                <w:sz w:val="20"/>
                <w:szCs w:val="20"/>
              </w:rPr>
            </w:r>
            <w:r>
              <w:rPr>
                <w:bCs/>
                <w:sz w:val="20"/>
                <w:szCs w:val="20"/>
              </w:rPr>
            </w:r>
          </w:p>
          <w:p>
            <w:pPr>
              <w:pStyle w:val="1135"/>
              <w:jc w:val="center"/>
              <w:tabs>
                <w:tab w:val="left" w:pos="709" w:leader="none"/>
              </w:tabs>
              <w:rPr>
                <w:bCs/>
                <w:sz w:val="20"/>
                <w:szCs w:val="20"/>
              </w:rPr>
            </w:pPr>
            <w:r>
              <w:rPr>
                <w:bCs/>
                <w:sz w:val="20"/>
                <w:szCs w:val="20"/>
              </w:rPr>
              <w:t xml:space="preserve">макс. 305 евро</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35"/>
              <w:rPr>
                <w:sz w:val="20"/>
                <w:szCs w:val="20"/>
              </w:rPr>
            </w:pPr>
            <w:r>
              <w:rPr>
                <w:sz w:val="20"/>
                <w:szCs w:val="20"/>
              </w:rPr>
              <w:t xml:space="preserve">Комиссия включает НДС</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35"/>
              <w:jc w:val="center"/>
              <w:rPr>
                <w:sz w:val="20"/>
                <w:szCs w:val="20"/>
              </w:rPr>
            </w:pPr>
            <w:r>
              <w:rPr>
                <w:sz w:val="20"/>
                <w:szCs w:val="20"/>
              </w:rPr>
              <w:t xml:space="preserve">6.4.</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35"/>
              <w:tabs>
                <w:tab w:val="left" w:pos="709" w:leader="none"/>
              </w:tabs>
              <w:rPr>
                <w:sz w:val="20"/>
                <w:szCs w:val="20"/>
              </w:rPr>
            </w:pPr>
            <w:r>
              <w:rPr>
                <w:sz w:val="20"/>
                <w:szCs w:val="20"/>
              </w:rPr>
              <w:t xml:space="preserve">Авизование изменения гарантии, не связанного с</w:t>
            </w:r>
            <w:r>
              <w:rPr>
                <w:sz w:val="20"/>
                <w:szCs w:val="20"/>
              </w:rPr>
            </w:r>
            <w:r>
              <w:rPr>
                <w:sz w:val="20"/>
                <w:szCs w:val="20"/>
              </w:rPr>
            </w:r>
          </w:p>
          <w:p>
            <w:pPr>
              <w:pStyle w:val="1135"/>
              <w:tabs>
                <w:tab w:val="left" w:pos="709" w:leader="none"/>
              </w:tabs>
              <w:rPr>
                <w:sz w:val="20"/>
                <w:szCs w:val="20"/>
              </w:rPr>
            </w:pPr>
            <w:r>
              <w:rPr>
                <w:sz w:val="20"/>
                <w:szCs w:val="20"/>
              </w:rPr>
              <w:t xml:space="preserve">увеличением ее суммы/</w:t>
            </w:r>
            <w:r>
              <w:rPr>
                <w:sz w:val="20"/>
                <w:szCs w:val="20"/>
              </w:rPr>
            </w:r>
            <w:r>
              <w:rPr>
                <w:sz w:val="20"/>
                <w:szCs w:val="20"/>
              </w:rPr>
            </w:r>
          </w:p>
          <w:p>
            <w:pPr>
              <w:pStyle w:val="1135"/>
              <w:tabs>
                <w:tab w:val="left" w:pos="709" w:leader="none"/>
              </w:tabs>
              <w:rPr>
                <w:sz w:val="20"/>
                <w:szCs w:val="20"/>
              </w:rPr>
            </w:pPr>
            <w:r>
              <w:rPr>
                <w:sz w:val="20"/>
                <w:szCs w:val="20"/>
              </w:rPr>
              <w:t xml:space="preserve">авизование запроса на</w:t>
            </w:r>
            <w:r>
              <w:rPr>
                <w:sz w:val="20"/>
                <w:szCs w:val="20"/>
              </w:rPr>
            </w:r>
            <w:r>
              <w:rPr>
                <w:sz w:val="20"/>
                <w:szCs w:val="20"/>
              </w:rPr>
            </w:r>
          </w:p>
          <w:p>
            <w:pPr>
              <w:pStyle w:val="1135"/>
              <w:tabs>
                <w:tab w:val="left" w:pos="709" w:leader="none"/>
              </w:tabs>
              <w:rPr>
                <w:sz w:val="20"/>
                <w:szCs w:val="20"/>
              </w:rPr>
            </w:pPr>
            <w:r>
              <w:rPr>
                <w:sz w:val="20"/>
                <w:szCs w:val="20"/>
              </w:rPr>
              <w:t xml:space="preserve">аннуляцию гарантии/ авизование сообщения по гарантии без обязательств со стороны АО «Россельхозбанк»</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35"/>
              <w:jc w:val="center"/>
              <w:tabs>
                <w:tab w:val="left" w:pos="709" w:leader="none"/>
              </w:tabs>
              <w:rPr>
                <w:sz w:val="20"/>
                <w:szCs w:val="20"/>
              </w:rPr>
            </w:pPr>
            <w:r>
              <w:rPr>
                <w:sz w:val="20"/>
                <w:szCs w:val="20"/>
              </w:rPr>
            </w:r>
            <w:r>
              <w:rPr>
                <w:sz w:val="20"/>
                <w:szCs w:val="20"/>
              </w:rPr>
            </w:r>
            <w:r>
              <w:rPr>
                <w:sz w:val="20"/>
                <w:szCs w:val="20"/>
              </w:rPr>
            </w:r>
          </w:p>
          <w:p>
            <w:pPr>
              <w:pStyle w:val="1135"/>
              <w:jc w:val="center"/>
              <w:tabs>
                <w:tab w:val="left" w:pos="709" w:leader="none"/>
              </w:tabs>
              <w:rPr>
                <w:sz w:val="20"/>
                <w:szCs w:val="20"/>
              </w:rPr>
            </w:pPr>
            <w:r>
              <w:rPr>
                <w:sz w:val="20"/>
                <w:szCs w:val="20"/>
              </w:rPr>
              <w:t xml:space="preserve">55 евро</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35"/>
              <w:rPr>
                <w:sz w:val="20"/>
                <w:szCs w:val="20"/>
              </w:rPr>
            </w:pPr>
            <w:r>
              <w:rPr>
                <w:sz w:val="20"/>
                <w:szCs w:val="20"/>
              </w:rPr>
              <w:t xml:space="preserve">Комиссия включает НДС</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35"/>
              <w:jc w:val="center"/>
              <w:rPr>
                <w:sz w:val="20"/>
                <w:szCs w:val="20"/>
              </w:rPr>
            </w:pPr>
            <w:r>
              <w:rPr>
                <w:sz w:val="20"/>
                <w:szCs w:val="20"/>
              </w:rPr>
              <w:t xml:space="preserve">6.5.</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35"/>
              <w:tabs>
                <w:tab w:val="left" w:pos="709" w:leader="none"/>
              </w:tabs>
              <w:rPr>
                <w:bCs/>
                <w:sz w:val="20"/>
                <w:szCs w:val="20"/>
              </w:rPr>
            </w:pPr>
            <w:r>
              <w:rPr>
                <w:bCs/>
                <w:sz w:val="20"/>
                <w:szCs w:val="20"/>
              </w:rPr>
              <w:t xml:space="preserve">Требование платежа по гарантии, авизованной без обязательств со стороны АО «Россельхозбанк»</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35"/>
              <w:jc w:val="center"/>
              <w:tabs>
                <w:tab w:val="left" w:pos="709" w:leader="none"/>
              </w:tabs>
              <w:rPr>
                <w:bCs/>
                <w:sz w:val="20"/>
                <w:szCs w:val="20"/>
              </w:rPr>
            </w:pPr>
            <w:r>
              <w:rPr>
                <w:bCs/>
                <w:sz w:val="20"/>
                <w:szCs w:val="20"/>
              </w:rPr>
            </w:r>
            <w:r>
              <w:rPr>
                <w:bCs/>
                <w:sz w:val="20"/>
                <w:szCs w:val="20"/>
              </w:rPr>
            </w:r>
            <w:r>
              <w:rPr>
                <w:bCs/>
                <w:sz w:val="20"/>
                <w:szCs w:val="20"/>
              </w:rPr>
            </w:r>
          </w:p>
          <w:p>
            <w:pPr>
              <w:pStyle w:val="1135"/>
              <w:jc w:val="center"/>
              <w:tabs>
                <w:tab w:val="left" w:pos="709" w:leader="none"/>
              </w:tabs>
              <w:rPr>
                <w:bCs/>
                <w:sz w:val="20"/>
                <w:szCs w:val="20"/>
              </w:rPr>
            </w:pPr>
            <w:r>
              <w:rPr>
                <w:bCs/>
                <w:sz w:val="20"/>
                <w:szCs w:val="20"/>
              </w:rPr>
              <w:t xml:space="preserve">105 евро</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35"/>
              <w:rPr>
                <w:sz w:val="20"/>
                <w:szCs w:val="20"/>
              </w:rPr>
            </w:pPr>
            <w:r>
              <w:rPr>
                <w:sz w:val="20"/>
                <w:szCs w:val="20"/>
              </w:rPr>
              <w:t xml:space="preserve">Комиссия включает НДС</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35"/>
              <w:jc w:val="center"/>
              <w:rPr>
                <w:sz w:val="20"/>
                <w:szCs w:val="20"/>
              </w:rPr>
            </w:pPr>
            <w:r>
              <w:rPr>
                <w:sz w:val="20"/>
                <w:szCs w:val="20"/>
              </w:rPr>
              <w:t xml:space="preserve">6.6.</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35"/>
              <w:tabs>
                <w:tab w:val="left" w:pos="709" w:leader="none"/>
              </w:tabs>
              <w:rPr>
                <w:bCs/>
                <w:sz w:val="20"/>
                <w:szCs w:val="20"/>
              </w:rPr>
            </w:pPr>
            <w:r>
              <w:rPr>
                <w:bCs/>
                <w:sz w:val="20"/>
                <w:szCs w:val="20"/>
              </w:rPr>
              <w:t xml:space="preserve">Проверка подлинности подписей на гарантии и/или правильности телексных ключей</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35"/>
              <w:jc w:val="center"/>
              <w:tabs>
                <w:tab w:val="left" w:pos="709" w:leader="none"/>
              </w:tabs>
              <w:rPr>
                <w:bCs/>
                <w:sz w:val="20"/>
                <w:szCs w:val="20"/>
              </w:rPr>
            </w:pPr>
            <w:r>
              <w:rPr>
                <w:bCs/>
                <w:sz w:val="20"/>
                <w:szCs w:val="20"/>
              </w:rPr>
            </w:r>
            <w:r>
              <w:rPr>
                <w:bCs/>
                <w:sz w:val="20"/>
                <w:szCs w:val="20"/>
              </w:rPr>
            </w:r>
            <w:r>
              <w:rPr>
                <w:bCs/>
                <w:sz w:val="20"/>
                <w:szCs w:val="20"/>
              </w:rPr>
            </w:r>
          </w:p>
          <w:p>
            <w:pPr>
              <w:pStyle w:val="1135"/>
              <w:jc w:val="center"/>
              <w:tabs>
                <w:tab w:val="left" w:pos="709" w:leader="none"/>
              </w:tabs>
              <w:rPr>
                <w:bCs/>
                <w:sz w:val="20"/>
                <w:szCs w:val="20"/>
              </w:rPr>
            </w:pPr>
            <w:r>
              <w:rPr>
                <w:bCs/>
                <w:sz w:val="20"/>
                <w:szCs w:val="20"/>
              </w:rPr>
              <w:t xml:space="preserve">55 евро</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35"/>
              <w:rPr>
                <w:sz w:val="20"/>
                <w:szCs w:val="20"/>
              </w:rPr>
            </w:pPr>
            <w:r>
              <w:rPr>
                <w:sz w:val="20"/>
                <w:szCs w:val="20"/>
              </w:rPr>
              <w:t xml:space="preserve">Комиссия включает НДС</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35"/>
              <w:jc w:val="center"/>
              <w:rPr>
                <w:sz w:val="20"/>
                <w:szCs w:val="20"/>
              </w:rPr>
            </w:pPr>
            <w:r>
              <w:rPr>
                <w:sz w:val="20"/>
                <w:szCs w:val="20"/>
              </w:rPr>
              <w:t xml:space="preserve">6.7.</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35"/>
              <w:tabs>
                <w:tab w:val="left" w:pos="709" w:leader="none"/>
              </w:tabs>
              <w:rPr>
                <w:bCs/>
                <w:sz w:val="20"/>
                <w:szCs w:val="20"/>
              </w:rPr>
            </w:pPr>
            <w:r>
              <w:rPr>
                <w:bCs/>
                <w:sz w:val="20"/>
                <w:szCs w:val="20"/>
              </w:rPr>
              <w:t xml:space="preserve">Отправка сообщения по гарантии, инициированного клиентом/банком-гарантом</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35"/>
              <w:jc w:val="center"/>
              <w:tabs>
                <w:tab w:val="left" w:pos="709" w:leader="none"/>
              </w:tabs>
              <w:rPr>
                <w:bCs/>
                <w:sz w:val="20"/>
                <w:szCs w:val="20"/>
              </w:rPr>
            </w:pPr>
            <w:r>
              <w:rPr>
                <w:bCs/>
                <w:sz w:val="20"/>
                <w:szCs w:val="20"/>
              </w:rPr>
            </w:r>
            <w:r>
              <w:rPr>
                <w:bCs/>
                <w:sz w:val="20"/>
                <w:szCs w:val="20"/>
              </w:rPr>
            </w:r>
            <w:r>
              <w:rPr>
                <w:bCs/>
                <w:sz w:val="20"/>
                <w:szCs w:val="20"/>
              </w:rPr>
            </w:r>
          </w:p>
          <w:p>
            <w:pPr>
              <w:pStyle w:val="1135"/>
              <w:jc w:val="center"/>
              <w:tabs>
                <w:tab w:val="left" w:pos="709" w:leader="none"/>
              </w:tabs>
              <w:rPr>
                <w:bCs/>
                <w:sz w:val="20"/>
                <w:szCs w:val="20"/>
              </w:rPr>
            </w:pPr>
            <w:r>
              <w:rPr>
                <w:bCs/>
                <w:sz w:val="20"/>
                <w:szCs w:val="20"/>
              </w:rPr>
              <w:t xml:space="preserve">105 евро</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35"/>
              <w:rPr>
                <w:sz w:val="20"/>
                <w:szCs w:val="20"/>
              </w:rPr>
            </w:pPr>
            <w:r>
              <w:rPr>
                <w:sz w:val="20"/>
                <w:szCs w:val="20"/>
              </w:rPr>
              <w:t xml:space="preserve">Комиссия включает НДС</w:t>
            </w:r>
            <w:r>
              <w:rPr>
                <w:sz w:val="20"/>
                <w:szCs w:val="20"/>
              </w:rPr>
            </w:r>
            <w:r>
              <w:rPr>
                <w:sz w:val="20"/>
                <w:szCs w:val="20"/>
              </w:rPr>
            </w:r>
          </w:p>
        </w:tc>
      </w:tr>
    </w:tbl>
    <w:p>
      <w:pPr>
        <w:pStyle w:val="1135"/>
        <w:jc w:val="center"/>
        <w:keepNext/>
        <w:spacing w:before="120" w:after="120"/>
        <w:rPr>
          <w:b/>
          <w:bCs/>
          <w:sz w:val="20"/>
          <w:szCs w:val="20"/>
        </w:rPr>
        <w:outlineLvl w:val="3"/>
      </w:pPr>
      <w:r>
        <w:rPr>
          <w:b/>
          <w:bCs/>
          <w:sz w:val="20"/>
          <w:szCs w:val="20"/>
        </w:rPr>
      </w:r>
      <w:r>
        <w:rPr>
          <w:b/>
          <w:bCs/>
          <w:sz w:val="20"/>
          <w:szCs w:val="20"/>
        </w:rPr>
      </w:r>
      <w:r>
        <w:rPr>
          <w:b/>
          <w:bCs/>
          <w:sz w:val="20"/>
          <w:szCs w:val="20"/>
        </w:rPr>
      </w:r>
    </w:p>
    <w:p>
      <w:pPr>
        <w:pStyle w:val="1135"/>
        <w:jc w:val="both"/>
        <w:spacing w:before="120"/>
        <w:tabs>
          <w:tab w:val="left" w:pos="284" w:leader="none"/>
        </w:tabs>
        <w:rPr>
          <w:sz w:val="20"/>
          <w:szCs w:val="20"/>
          <w:u w:val="single"/>
        </w:rPr>
      </w:pPr>
      <w:r>
        <w:rPr>
          <w:sz w:val="20"/>
          <w:szCs w:val="20"/>
          <w:u w:val="single"/>
        </w:rPr>
        <w:t xml:space="preserve">Примечание к пунктам 6.3-6.7 Тарифов:</w:t>
      </w:r>
      <w:r>
        <w:rPr>
          <w:sz w:val="20"/>
          <w:szCs w:val="20"/>
          <w:u w:val="single"/>
        </w:rPr>
      </w:r>
      <w:r>
        <w:rPr>
          <w:sz w:val="20"/>
          <w:szCs w:val="20"/>
          <w:u w:val="single"/>
        </w:rPr>
      </w:r>
    </w:p>
    <w:p>
      <w:pPr>
        <w:pStyle w:val="1135"/>
        <w:numPr>
          <w:ilvl w:val="0"/>
          <w:numId w:val="36"/>
        </w:numPr>
        <w:ind w:left="0" w:firstLine="0"/>
        <w:jc w:val="both"/>
        <w:tabs>
          <w:tab w:val="left" w:pos="567" w:leader="none"/>
        </w:tabs>
        <w:rPr>
          <w:bCs/>
          <w:iCs/>
          <w:sz w:val="20"/>
          <w:szCs w:val="20"/>
        </w:rPr>
      </w:pPr>
      <w:r>
        <w:rPr>
          <w:bCs/>
          <w:iCs/>
          <w:sz w:val="20"/>
          <w:szCs w:val="20"/>
        </w:rPr>
        <w:t xml:space="preserve">Комиссионное вознаграждение по п. 6.3 Тарифа «Авизование гарантии, авизование изменения гарантии, связанного с увеличением ее суммы, без обязательств со стороны АО «Россельхозбанк» начисляется следующим образом:</w:t>
      </w:r>
      <w:r>
        <w:rPr>
          <w:bCs/>
          <w:iCs/>
          <w:sz w:val="20"/>
          <w:szCs w:val="20"/>
        </w:rPr>
      </w:r>
      <w:r>
        <w:rPr>
          <w:bCs/>
          <w:iCs/>
          <w:sz w:val="20"/>
          <w:szCs w:val="20"/>
        </w:rPr>
      </w:r>
    </w:p>
    <w:p>
      <w:pPr>
        <w:pStyle w:val="1135"/>
        <w:numPr>
          <w:ilvl w:val="1"/>
          <w:numId w:val="37"/>
        </w:numPr>
        <w:ind w:left="0" w:firstLine="0"/>
        <w:jc w:val="both"/>
        <w:tabs>
          <w:tab w:val="left" w:pos="567" w:leader="none"/>
        </w:tabs>
        <w:rPr>
          <w:bCs/>
          <w:iCs/>
          <w:sz w:val="20"/>
          <w:szCs w:val="20"/>
        </w:rPr>
      </w:pPr>
      <w:r>
        <w:rPr>
          <w:bCs/>
          <w:iCs/>
          <w:sz w:val="20"/>
          <w:szCs w:val="20"/>
        </w:rPr>
        <w:t xml:space="preserve">комиссионное вознаграждение, рассчитанное в процентном отношении от суммы авизованной гарантии/суммы увеличения гарантии, начисляется в валюте гарантии;</w:t>
      </w:r>
      <w:r>
        <w:rPr>
          <w:bCs/>
          <w:iCs/>
          <w:sz w:val="20"/>
          <w:szCs w:val="20"/>
        </w:rPr>
      </w:r>
      <w:r>
        <w:rPr>
          <w:bCs/>
          <w:iCs/>
          <w:sz w:val="20"/>
          <w:szCs w:val="20"/>
        </w:rPr>
      </w:r>
    </w:p>
    <w:p>
      <w:pPr>
        <w:pStyle w:val="1135"/>
        <w:numPr>
          <w:ilvl w:val="1"/>
          <w:numId w:val="37"/>
        </w:numPr>
        <w:ind w:left="0" w:firstLine="0"/>
        <w:jc w:val="both"/>
        <w:tabs>
          <w:tab w:val="left" w:pos="567" w:leader="none"/>
        </w:tabs>
        <w:rPr>
          <w:bCs/>
          <w:iCs/>
          <w:sz w:val="20"/>
          <w:szCs w:val="20"/>
        </w:rPr>
      </w:pPr>
      <w:r>
        <w:rPr>
          <w:bCs/>
          <w:iCs/>
          <w:sz w:val="20"/>
          <w:szCs w:val="20"/>
        </w:rPr>
        <w:t xml:space="preserve">комиссионное вознаграждение, рассчитанное исходя из минимального или максимального значения Тарифов, начисляется в валюте Тарифов (в евро).</w:t>
      </w:r>
      <w:r>
        <w:rPr>
          <w:bCs/>
          <w:iCs/>
          <w:sz w:val="20"/>
          <w:szCs w:val="20"/>
        </w:rPr>
      </w:r>
      <w:r>
        <w:rPr>
          <w:bCs/>
          <w:iCs/>
          <w:sz w:val="20"/>
          <w:szCs w:val="20"/>
        </w:rPr>
      </w:r>
    </w:p>
    <w:p>
      <w:pPr>
        <w:pStyle w:val="1135"/>
        <w:numPr>
          <w:ilvl w:val="0"/>
          <w:numId w:val="36"/>
        </w:numPr>
        <w:ind w:left="0" w:firstLine="0"/>
        <w:jc w:val="both"/>
        <w:tabs>
          <w:tab w:val="left" w:pos="567" w:leader="none"/>
        </w:tabs>
        <w:rPr>
          <w:bCs/>
          <w:iCs/>
          <w:sz w:val="20"/>
          <w:szCs w:val="20"/>
        </w:rPr>
      </w:pPr>
      <w:r>
        <w:rPr>
          <w:bCs/>
          <w:iCs/>
          <w:sz w:val="20"/>
          <w:szCs w:val="20"/>
        </w:rPr>
        <w:t xml:space="preserve">Если уплата комиссионного вознаграждения Банка, начисленного в валюте гарантии, производится </w:t>
        <w:br w:type="textWrapping" w:clear="all"/>
        <w:t xml:space="preserve">в российских рублях (если валюта гарантии – не российские рубли</w:t>
      </w:r>
      <w:r>
        <w:rPr>
          <w:bCs/>
          <w:iCs/>
          <w:sz w:val="20"/>
          <w:szCs w:val="20"/>
        </w:rPr>
        <w:t xml:space="preserve">) или в иностранной валюте </w:t>
        <w:br/>
        <w:t xml:space="preserve">(если валюта гарантии – российские рубли)/другой иностранной валюте (если валюта гарантии – иностранная валюта), то расчет суммы эквивалента осуществляется по курсу/кросс-курсу Банка России, действующему на дату уплаты комиссии.</w:t>
      </w:r>
      <w:r>
        <w:rPr>
          <w:bCs/>
          <w:iCs/>
          <w:sz w:val="20"/>
          <w:szCs w:val="20"/>
        </w:rPr>
      </w:r>
      <w:r>
        <w:rPr>
          <w:bCs/>
          <w:iCs/>
          <w:sz w:val="20"/>
          <w:szCs w:val="20"/>
        </w:rPr>
      </w:r>
    </w:p>
    <w:p>
      <w:pPr>
        <w:pStyle w:val="1135"/>
        <w:jc w:val="both"/>
        <w:tabs>
          <w:tab w:val="left" w:pos="567" w:leader="none"/>
        </w:tabs>
        <w:rPr>
          <w:bCs/>
          <w:iCs/>
          <w:sz w:val="20"/>
          <w:szCs w:val="20"/>
        </w:rPr>
      </w:pPr>
      <w:r>
        <w:rPr>
          <w:bCs/>
          <w:iCs/>
          <w:sz w:val="20"/>
          <w:szCs w:val="20"/>
        </w:rPr>
        <w:t xml:space="preserve">Если уплата комиссионного вознаграждения Банка, начисленного в валюте Тарифов (в е</w:t>
      </w:r>
      <w:r>
        <w:rPr>
          <w:bCs/>
          <w:iCs/>
          <w:sz w:val="20"/>
          <w:szCs w:val="20"/>
        </w:rPr>
        <w:t xml:space="preserve">вро), производится в российских рублях или в другой иностранной валюте (отличной от евро), то расчет суммы эквивалента осуществляется по курсу/кросс-курсу Банка России, действующему на дату уплаты комиссии, если иное не предусмотрено отдельным соглашением.</w:t>
      </w:r>
      <w:r>
        <w:rPr>
          <w:bCs/>
          <w:iCs/>
          <w:sz w:val="20"/>
          <w:szCs w:val="20"/>
        </w:rPr>
      </w:r>
      <w:r>
        <w:rPr>
          <w:bCs/>
          <w:iCs/>
          <w:sz w:val="20"/>
          <w:szCs w:val="20"/>
        </w:rPr>
      </w:r>
    </w:p>
    <w:p>
      <w:pPr>
        <w:pStyle w:val="1135"/>
        <w:jc w:val="both"/>
        <w:tabs>
          <w:tab w:val="left" w:pos="567" w:leader="none"/>
        </w:tabs>
        <w:rPr>
          <w:bCs/>
          <w:iCs/>
          <w:sz w:val="20"/>
          <w:szCs w:val="20"/>
        </w:rPr>
      </w:pPr>
      <w:r>
        <w:rPr>
          <w:bCs/>
          <w:iCs/>
          <w:sz w:val="20"/>
          <w:szCs w:val="20"/>
        </w:rPr>
        <w:t xml:space="preserve">Под кросс-курсом Банка России понимается отношение курса одной иностранной валюты к курсу другой иностранной валюты, рассчитанное по официальным курсам этих валют по отношению к российскому рублю, установленным Банком России.</w:t>
      </w:r>
      <w:r>
        <w:rPr>
          <w:bCs/>
          <w:iCs/>
          <w:sz w:val="20"/>
          <w:szCs w:val="20"/>
        </w:rPr>
      </w:r>
      <w:r>
        <w:rPr>
          <w:bCs/>
          <w:iCs/>
          <w:sz w:val="20"/>
          <w:szCs w:val="20"/>
        </w:rPr>
      </w:r>
    </w:p>
    <w:p>
      <w:pPr>
        <w:pStyle w:val="1135"/>
        <w:numPr>
          <w:ilvl w:val="0"/>
          <w:numId w:val="36"/>
        </w:numPr>
        <w:ind w:left="0" w:firstLine="0"/>
        <w:jc w:val="both"/>
        <w:tabs>
          <w:tab w:val="left" w:pos="567" w:leader="none"/>
        </w:tabs>
        <w:rPr>
          <w:bCs/>
          <w:iCs/>
          <w:sz w:val="20"/>
          <w:szCs w:val="20"/>
        </w:rPr>
      </w:pPr>
      <w:r>
        <w:rPr>
          <w:bCs/>
          <w:iCs/>
          <w:sz w:val="20"/>
          <w:szCs w:val="20"/>
        </w:rPr>
        <w:t xml:space="preserve">Возмещение комиссий и расходов иных банков по гарантийным операциям, если таковые возникают и если иное не предусмотрено отдельным соглашением, осуществляется клиентом дополнительно к комиссионному вознаграждению, указанному в Тарифах.</w:t>
      </w:r>
      <w:r>
        <w:rPr>
          <w:bCs/>
          <w:iCs/>
          <w:sz w:val="20"/>
          <w:szCs w:val="20"/>
        </w:rPr>
      </w:r>
      <w:r>
        <w:rPr>
          <w:bCs/>
          <w:iCs/>
          <w:sz w:val="20"/>
          <w:szCs w:val="20"/>
        </w:rPr>
      </w:r>
    </w:p>
    <w:p>
      <w:pPr>
        <w:pStyle w:val="1135"/>
        <w:numPr>
          <w:ilvl w:val="0"/>
          <w:numId w:val="36"/>
        </w:numPr>
        <w:ind w:left="0" w:firstLine="0"/>
        <w:jc w:val="both"/>
        <w:tabs>
          <w:tab w:val="left" w:pos="567" w:leader="none"/>
        </w:tabs>
        <w:rPr>
          <w:bCs/>
          <w:iCs/>
          <w:sz w:val="20"/>
          <w:szCs w:val="20"/>
        </w:rPr>
      </w:pPr>
      <w:r>
        <w:rPr>
          <w:bCs/>
          <w:iCs/>
          <w:sz w:val="20"/>
          <w:szCs w:val="20"/>
        </w:rPr>
        <w:t xml:space="preserve">Размер комиссионного вознаграждения, отличный от установленного в Тарифах, определяется на основании отдельного соглашения.</w:t>
      </w:r>
      <w:r>
        <w:rPr>
          <w:bCs/>
          <w:iCs/>
          <w:sz w:val="20"/>
          <w:szCs w:val="20"/>
        </w:rPr>
      </w:r>
      <w:r>
        <w:rPr>
          <w:bCs/>
          <w:iCs/>
          <w:sz w:val="20"/>
          <w:szCs w:val="20"/>
        </w:rPr>
      </w:r>
    </w:p>
    <w:p>
      <w:pPr>
        <w:pStyle w:val="1135"/>
        <w:numPr>
          <w:ilvl w:val="0"/>
          <w:numId w:val="36"/>
        </w:numPr>
        <w:ind w:left="0" w:firstLine="0"/>
        <w:jc w:val="both"/>
        <w:tabs>
          <w:tab w:val="left" w:pos="567" w:leader="none"/>
        </w:tabs>
        <w:rPr>
          <w:bCs/>
          <w:iCs/>
          <w:sz w:val="20"/>
          <w:szCs w:val="20"/>
        </w:rPr>
      </w:pPr>
      <w:r>
        <w:rPr>
          <w:bCs/>
          <w:iCs/>
          <w:sz w:val="20"/>
          <w:szCs w:val="20"/>
        </w:rPr>
        <w:t xml:space="preserve">Комиссионное вознаграждение, уплаченное Банку за оказание услуг (кроме ошибочно удержанных), возврату не подлежит</w:t>
      </w:r>
      <w:r>
        <w:rPr>
          <w:sz w:val="20"/>
          <w:szCs w:val="20"/>
        </w:rPr>
        <w:t xml:space="preserve">.</w:t>
      </w:r>
      <w:r>
        <w:rPr>
          <w:bCs/>
          <w:iCs/>
          <w:sz w:val="20"/>
          <w:szCs w:val="20"/>
        </w:rPr>
      </w:r>
      <w:r>
        <w:rPr>
          <w:bCs/>
          <w:iCs/>
          <w:sz w:val="20"/>
          <w:szCs w:val="20"/>
        </w:rPr>
      </w:r>
    </w:p>
    <w:p>
      <w:pPr>
        <w:pStyle w:val="1135"/>
        <w:jc w:val="center"/>
        <w:keepNext/>
        <w:spacing w:before="120" w:after="120"/>
        <w:rPr>
          <w:b/>
          <w:bCs/>
          <w:sz w:val="20"/>
          <w:szCs w:val="20"/>
        </w:rPr>
        <w:outlineLvl w:val="3"/>
      </w:pPr>
      <w:r>
        <w:rPr>
          <w:b/>
          <w:bCs/>
          <w:sz w:val="20"/>
          <w:szCs w:val="20"/>
        </w:rPr>
      </w:r>
      <w:r>
        <w:rPr>
          <w:b/>
          <w:bCs/>
          <w:sz w:val="20"/>
          <w:szCs w:val="20"/>
        </w:rPr>
      </w:r>
      <w:r>
        <w:rPr>
          <w:b/>
          <w:bCs/>
          <w:sz w:val="20"/>
          <w:szCs w:val="20"/>
        </w:rPr>
      </w:r>
    </w:p>
    <w:p>
      <w:pPr>
        <w:pStyle w:val="1135"/>
        <w:jc w:val="center"/>
        <w:keepNext/>
        <w:spacing w:before="120" w:after="120"/>
        <w:rPr>
          <w:b/>
          <w:bCs/>
          <w:color w:val="808080"/>
          <w:sz w:val="20"/>
          <w:szCs w:val="20"/>
        </w:rPr>
        <w:outlineLvl w:val="3"/>
      </w:pPr>
      <w:r>
        <w:rPr>
          <w:b/>
          <w:bCs/>
          <w:sz w:val="20"/>
          <w:szCs w:val="20"/>
        </w:rPr>
        <w:t xml:space="preserve">7. Дистанционное банковское обслуживание (ДБО)</w:t>
      </w:r>
      <w:r>
        <w:rPr>
          <w:b/>
          <w:bCs/>
          <w:color w:val="808080"/>
          <w:sz w:val="20"/>
          <w:szCs w:val="20"/>
        </w:rPr>
      </w:r>
      <w:r>
        <w:rPr>
          <w:b/>
          <w:bCs/>
          <w:color w:val="808080"/>
          <w:sz w:val="20"/>
          <w:szCs w:val="20"/>
        </w:rPr>
      </w:r>
    </w:p>
    <w:tbl>
      <w:tblPr>
        <w:tblW w:w="10065"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876"/>
        <w:gridCol w:w="2854"/>
        <w:gridCol w:w="56"/>
        <w:gridCol w:w="2351"/>
        <w:gridCol w:w="392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center"/>
            <w:textDirection w:val="lrTb"/>
            <w:noWrap w:val="false"/>
          </w:tcPr>
          <w:p>
            <w:pPr>
              <w:pStyle w:val="1135"/>
              <w:jc w:val="center"/>
              <w:spacing w:before="40" w:after="40"/>
              <w:rPr>
                <w:b/>
                <w:bCs/>
                <w:sz w:val="20"/>
                <w:szCs w:val="20"/>
              </w:rPr>
            </w:pPr>
            <w:r>
              <w:rPr>
                <w:b/>
                <w:bCs/>
                <w:sz w:val="20"/>
                <w:szCs w:val="20"/>
              </w:rPr>
              <w:t xml:space="preserve">№ </w:t>
              <w:br w:type="textWrapping" w:clear="all"/>
              <w:t xml:space="preserve">п/п</w:t>
            </w:r>
            <w:r>
              <w:rPr>
                <w:b/>
                <w:bCs/>
                <w:sz w:val="20"/>
                <w:szCs w:val="20"/>
              </w:rPr>
            </w:r>
            <w:r>
              <w:rPr>
                <w:b/>
                <w:bCs/>
                <w:sz w:val="20"/>
                <w:szCs w:val="20"/>
              </w:rPr>
            </w:r>
          </w:p>
        </w:tc>
        <w:tc>
          <w:tcPr>
            <w:tcW w:w="2854" w:type="dxa"/>
            <w:vAlign w:val="center"/>
            <w:textDirection w:val="lrTb"/>
            <w:noWrap w:val="false"/>
          </w:tcPr>
          <w:p>
            <w:pPr>
              <w:pStyle w:val="1135"/>
              <w:jc w:val="center"/>
              <w:spacing w:before="40" w:after="40"/>
              <w:rPr>
                <w:b/>
                <w:bCs/>
                <w:sz w:val="20"/>
                <w:szCs w:val="20"/>
              </w:rPr>
            </w:pPr>
            <w:r>
              <w:rPr>
                <w:b/>
                <w:bCs/>
                <w:sz w:val="20"/>
                <w:szCs w:val="20"/>
              </w:rPr>
              <w:t xml:space="preserve">Наименование услуги</w:t>
            </w:r>
            <w:r>
              <w:rPr>
                <w:b/>
                <w:bCs/>
                <w:sz w:val="20"/>
                <w:szCs w:val="20"/>
              </w:rPr>
            </w:r>
            <w:r>
              <w:rPr>
                <w:b/>
                <w:bCs/>
                <w:sz w:val="20"/>
                <w:szCs w:val="20"/>
              </w:rPr>
            </w:r>
          </w:p>
        </w:tc>
        <w:tc>
          <w:tcPr>
            <w:gridSpan w:val="2"/>
            <w:tcW w:w="2407" w:type="dxa"/>
            <w:vAlign w:val="center"/>
            <w:textDirection w:val="lrTb"/>
            <w:noWrap w:val="false"/>
          </w:tcPr>
          <w:p>
            <w:pPr>
              <w:pStyle w:val="1135"/>
              <w:jc w:val="center"/>
              <w:spacing w:before="40" w:after="40"/>
              <w:rPr>
                <w:b/>
                <w:bCs/>
                <w:sz w:val="20"/>
                <w:szCs w:val="20"/>
              </w:rPr>
            </w:pPr>
            <w:r>
              <w:rPr>
                <w:b/>
                <w:bCs/>
                <w:sz w:val="20"/>
                <w:szCs w:val="20"/>
              </w:rPr>
              <w:t xml:space="preserve">Тариф</w:t>
            </w:r>
            <w:r>
              <w:rPr>
                <w:b/>
                <w:bCs/>
                <w:sz w:val="20"/>
                <w:szCs w:val="20"/>
              </w:rPr>
            </w:r>
            <w:r>
              <w:rPr>
                <w:b/>
                <w:bCs/>
                <w:sz w:val="20"/>
                <w:szCs w:val="20"/>
              </w:rPr>
            </w:r>
          </w:p>
        </w:tc>
        <w:tc>
          <w:tcPr>
            <w:tcW w:w="3928" w:type="dxa"/>
            <w:vAlign w:val="center"/>
            <w:textDirection w:val="lrTb"/>
            <w:noWrap w:val="false"/>
          </w:tcPr>
          <w:p>
            <w:pPr>
              <w:pStyle w:val="1135"/>
              <w:jc w:val="center"/>
              <w:spacing w:before="40" w:after="40"/>
              <w:rPr>
                <w:b/>
                <w:bCs/>
                <w:sz w:val="20"/>
                <w:szCs w:val="20"/>
              </w:rPr>
            </w:pPr>
            <w:r>
              <w:rPr>
                <w:b/>
                <w:bCs/>
                <w:sz w:val="20"/>
                <w:szCs w:val="20"/>
              </w:rPr>
              <w:t xml:space="preserve">Примечание</w:t>
            </w:r>
            <w:r>
              <w:rPr>
                <w:b/>
                <w:bCs/>
                <w:sz w:val="20"/>
                <w:szCs w:val="20"/>
              </w:rPr>
            </w:r>
            <w:r>
              <w:rPr>
                <w:b/>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135"/>
              <w:jc w:val="center"/>
              <w:spacing w:before="40" w:after="40"/>
              <w:rPr>
                <w:bCs/>
                <w:sz w:val="20"/>
                <w:szCs w:val="20"/>
              </w:rPr>
            </w:pPr>
            <w:r>
              <w:rPr>
                <w:bCs/>
                <w:sz w:val="20"/>
                <w:szCs w:val="20"/>
              </w:rPr>
              <w:t xml:space="preserve">7.1.</w:t>
            </w:r>
            <w:r>
              <w:rPr>
                <w:bCs/>
                <w:sz w:val="20"/>
                <w:szCs w:val="20"/>
              </w:rPr>
            </w:r>
            <w:r>
              <w:rPr>
                <w:bCs/>
                <w:sz w:val="20"/>
                <w:szCs w:val="20"/>
              </w:rPr>
            </w:r>
          </w:p>
        </w:tc>
        <w:tc>
          <w:tcPr>
            <w:gridSpan w:val="4"/>
            <w:tcW w:w="9189" w:type="dxa"/>
            <w:vAlign w:val="center"/>
            <w:textDirection w:val="lrTb"/>
            <w:noWrap w:val="false"/>
          </w:tcPr>
          <w:p>
            <w:pPr>
              <w:pStyle w:val="1135"/>
              <w:jc w:val="both"/>
              <w:spacing w:before="40" w:after="40"/>
              <w:rPr>
                <w:bCs/>
                <w:sz w:val="20"/>
                <w:szCs w:val="20"/>
              </w:rPr>
            </w:pPr>
            <w:r>
              <w:rPr>
                <w:bCs/>
                <w:sz w:val="20"/>
                <w:szCs w:val="20"/>
              </w:rPr>
              <w:t xml:space="preserve">Установка и настройка программного обеспечения, восстановление текущей работоспособности системы ДБО с выездом к клиенту</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vMerge w:val="restart"/>
            <w:textDirection w:val="lrTb"/>
            <w:noWrap w:val="false"/>
          </w:tcPr>
          <w:p>
            <w:pPr>
              <w:pStyle w:val="1135"/>
              <w:jc w:val="center"/>
              <w:spacing w:before="40" w:after="40"/>
              <w:rPr>
                <w:bCs/>
                <w:sz w:val="20"/>
                <w:szCs w:val="20"/>
              </w:rPr>
            </w:pPr>
            <w:r>
              <w:rPr>
                <w:bCs/>
                <w:sz w:val="20"/>
                <w:szCs w:val="20"/>
              </w:rPr>
              <w:t xml:space="preserve">7.1.1.</w:t>
            </w:r>
            <w:r>
              <w:rPr>
                <w:bCs/>
                <w:sz w:val="20"/>
                <w:szCs w:val="20"/>
              </w:rPr>
            </w:r>
            <w:r>
              <w:rPr>
                <w:bCs/>
                <w:sz w:val="20"/>
                <w:szCs w:val="20"/>
              </w:rPr>
            </w:r>
          </w:p>
        </w:tc>
        <w:tc>
          <w:tcPr>
            <w:gridSpan w:val="2"/>
            <w:tcBorders>
              <w:bottom w:val="none" w:color="000000" w:sz="4" w:space="0"/>
            </w:tcBorders>
            <w:tcW w:w="2910" w:type="dxa"/>
            <w:vAlign w:val="top"/>
            <w:textDirection w:val="lrTb"/>
            <w:noWrap w:val="false"/>
          </w:tcPr>
          <w:p>
            <w:pPr>
              <w:pStyle w:val="1135"/>
              <w:spacing w:before="40" w:after="40"/>
              <w:rPr>
                <w:bCs/>
                <w:sz w:val="20"/>
                <w:szCs w:val="20"/>
                <w:lang w:val="en-US"/>
              </w:rPr>
            </w:pPr>
            <w:r>
              <w:rPr>
                <w:bCs/>
                <w:sz w:val="20"/>
                <w:szCs w:val="20"/>
              </w:rPr>
              <w:t xml:space="preserve">- по г. </w:t>
            </w:r>
            <w:r>
              <w:rPr>
                <w:bCs/>
                <w:sz w:val="20"/>
                <w:szCs w:val="20"/>
              </w:rPr>
              <w:t xml:space="preserve">Калининграду</w:t>
            </w:r>
            <w:r>
              <w:rPr>
                <w:bCs/>
                <w:sz w:val="20"/>
                <w:szCs w:val="20"/>
                <w:lang w:val="en-US"/>
              </w:rPr>
            </w:r>
            <w:r>
              <w:rPr>
                <w:bCs/>
                <w:sz w:val="20"/>
                <w:szCs w:val="20"/>
                <w:lang w:val="en-US"/>
              </w:rPr>
            </w:r>
          </w:p>
        </w:tc>
        <w:tc>
          <w:tcPr>
            <w:tcBorders>
              <w:bottom w:val="none" w:color="000000" w:sz="4" w:space="0"/>
            </w:tcBorders>
            <w:tcW w:w="2351" w:type="dxa"/>
            <w:vAlign w:val="top"/>
            <w:textDirection w:val="lrTb"/>
            <w:noWrap w:val="false"/>
          </w:tcPr>
          <w:p>
            <w:pPr>
              <w:pStyle w:val="1135"/>
              <w:jc w:val="center"/>
              <w:spacing w:before="40" w:after="40"/>
              <w:rPr>
                <w:bCs/>
                <w:sz w:val="20"/>
                <w:szCs w:val="20"/>
                <w:lang w:val="en-US"/>
              </w:rPr>
            </w:pPr>
            <w:r>
              <w:rPr>
                <w:bCs/>
                <w:sz w:val="20"/>
                <w:szCs w:val="20"/>
              </w:rPr>
              <w:t xml:space="preserve">3000 руб.</w:t>
            </w:r>
            <w:r>
              <w:rPr>
                <w:bCs/>
                <w:sz w:val="20"/>
                <w:szCs w:val="20"/>
                <w:lang w:val="en-US"/>
              </w:rPr>
            </w:r>
            <w:r>
              <w:rPr>
                <w:bCs/>
                <w:sz w:val="20"/>
                <w:szCs w:val="20"/>
                <w:lang w:val="en-US"/>
              </w:rPr>
            </w:r>
          </w:p>
        </w:tc>
        <w:tc>
          <w:tcPr>
            <w:tcW w:w="3928" w:type="dxa"/>
            <w:vAlign w:val="top"/>
            <w:vMerge w:val="restart"/>
            <w:textDirection w:val="lrTb"/>
            <w:noWrap w:val="false"/>
          </w:tcPr>
          <w:p>
            <w:pPr>
              <w:pStyle w:val="1135"/>
              <w:jc w:val="both"/>
              <w:spacing w:before="40" w:after="40"/>
              <w:rPr>
                <w:bCs/>
                <w:sz w:val="20"/>
                <w:szCs w:val="20"/>
              </w:rPr>
            </w:pPr>
            <w:r>
              <w:rPr>
                <w:bCs/>
                <w:sz w:val="20"/>
                <w:szCs w:val="20"/>
              </w:rPr>
              <w:t xml:space="preserve">Комиссия взимается в день предоставления в Банк подписанного клиентом Заявления на выполнение работ, связанных с установкой и настройкой программного обеспечения и средства криптографической защиты информации клиентского модуля системы ДБО </w:t>
            </w:r>
            <w:r>
              <w:rPr>
                <w:bCs/>
                <w:sz w:val="20"/>
                <w:szCs w:val="20"/>
              </w:rPr>
            </w:r>
            <w:r>
              <w:rPr>
                <w:bCs/>
                <w:sz w:val="20"/>
                <w:szCs w:val="20"/>
              </w:rPr>
            </w:r>
          </w:p>
          <w:p>
            <w:pPr>
              <w:pStyle w:val="1135"/>
              <w:jc w:val="both"/>
              <w:spacing w:before="40" w:after="40"/>
              <w:rPr>
                <w:bCs/>
                <w:sz w:val="20"/>
                <w:szCs w:val="20"/>
              </w:rPr>
            </w:pPr>
            <w:r>
              <w:rPr>
                <w:bCs/>
                <w:sz w:val="20"/>
                <w:szCs w:val="20"/>
              </w:rPr>
              <w:t xml:space="preserve">«Банк-Клиент»/«Интернет-Клиент»</w:t>
            </w:r>
            <w:r>
              <w:rPr>
                <w:bCs/>
                <w:sz w:val="20"/>
                <w:szCs w:val="20"/>
              </w:rPr>
              <w:t xml:space="preserve">/«Свой Бизнес»</w:t>
            </w:r>
            <w:r>
              <w:rPr>
                <w:bCs/>
                <w:sz w:val="20"/>
                <w:szCs w:val="20"/>
              </w:rPr>
            </w:r>
            <w:r>
              <w:rPr>
                <w:bCs/>
                <w:sz w:val="20"/>
                <w:szCs w:val="20"/>
              </w:rPr>
            </w:r>
          </w:p>
          <w:p>
            <w:pPr>
              <w:pStyle w:val="1135"/>
              <w:ind w:firstLine="709"/>
              <w:jc w:val="both"/>
              <w:tabs>
                <w:tab w:val="left" w:pos="1134" w:leader="none"/>
              </w:tabs>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p>
            <w:pPr>
              <w:pStyle w:val="1135"/>
              <w:jc w:val="both"/>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vMerge w:val="continue"/>
            <w:textDirection w:val="lrTb"/>
            <w:noWrap w:val="false"/>
          </w:tcPr>
          <w:p>
            <w:pPr>
              <w:pStyle w:val="1135"/>
              <w:jc w:val="center"/>
              <w:spacing w:before="40" w:after="40"/>
              <w:rPr>
                <w:bCs/>
                <w:sz w:val="20"/>
                <w:szCs w:val="20"/>
              </w:rPr>
            </w:pPr>
            <w:r>
              <w:rPr>
                <w:bCs/>
                <w:sz w:val="20"/>
                <w:szCs w:val="20"/>
              </w:rPr>
            </w:r>
            <w:r>
              <w:rPr>
                <w:bCs/>
                <w:sz w:val="20"/>
                <w:szCs w:val="20"/>
              </w:rPr>
            </w:r>
            <w:r>
              <w:rPr>
                <w:bCs/>
                <w:sz w:val="20"/>
                <w:szCs w:val="20"/>
              </w:rPr>
            </w:r>
          </w:p>
        </w:tc>
        <w:tc>
          <w:tcPr>
            <w:gridSpan w:val="2"/>
            <w:tcBorders>
              <w:top w:val="none" w:color="000000" w:sz="4" w:space="0"/>
            </w:tcBorders>
            <w:tcW w:w="2910" w:type="dxa"/>
            <w:vAlign w:val="top"/>
            <w:textDirection w:val="lrTb"/>
            <w:noWrap w:val="false"/>
          </w:tcPr>
          <w:p>
            <w:pPr>
              <w:pStyle w:val="1135"/>
              <w:spacing w:before="40" w:after="40"/>
              <w:rPr>
                <w:bCs/>
                <w:sz w:val="20"/>
                <w:szCs w:val="20"/>
              </w:rPr>
            </w:pPr>
            <w:r>
              <w:rPr>
                <w:bCs/>
                <w:sz w:val="20"/>
                <w:szCs w:val="20"/>
              </w:rPr>
              <w:t xml:space="preserve">- по </w:t>
            </w:r>
            <w:r>
              <w:rPr>
                <w:bCs/>
                <w:sz w:val="20"/>
                <w:szCs w:val="20"/>
              </w:rPr>
              <w:t xml:space="preserve">Калининградской</w:t>
            </w:r>
            <w:r>
              <w:rPr>
                <w:bCs/>
                <w:sz w:val="20"/>
                <w:szCs w:val="20"/>
              </w:rPr>
              <w:t xml:space="preserve"> области</w:t>
            </w:r>
            <w:r>
              <w:rPr>
                <w:bCs/>
                <w:sz w:val="20"/>
                <w:szCs w:val="20"/>
              </w:rPr>
            </w:r>
            <w:r>
              <w:rPr>
                <w:bCs/>
                <w:sz w:val="20"/>
                <w:szCs w:val="20"/>
              </w:rPr>
            </w:r>
          </w:p>
        </w:tc>
        <w:tc>
          <w:tcPr>
            <w:tcBorders>
              <w:top w:val="none" w:color="000000" w:sz="4" w:space="0"/>
            </w:tcBorders>
            <w:tcW w:w="2351" w:type="dxa"/>
            <w:vAlign w:val="top"/>
            <w:textDirection w:val="lrTb"/>
            <w:noWrap w:val="false"/>
          </w:tcPr>
          <w:p>
            <w:pPr>
              <w:pStyle w:val="1135"/>
              <w:jc w:val="center"/>
              <w:spacing w:before="40" w:after="40"/>
              <w:rPr>
                <w:bCs/>
                <w:sz w:val="20"/>
                <w:szCs w:val="20"/>
              </w:rPr>
            </w:pPr>
            <w:r>
              <w:rPr>
                <w:bCs/>
                <w:sz w:val="20"/>
                <w:szCs w:val="20"/>
              </w:rPr>
              <w:t xml:space="preserve">4000 руб.</w:t>
            </w:r>
            <w:r>
              <w:rPr>
                <w:bCs/>
                <w:sz w:val="20"/>
                <w:szCs w:val="20"/>
              </w:rPr>
            </w:r>
            <w:r>
              <w:rPr>
                <w:bCs/>
                <w:sz w:val="20"/>
                <w:szCs w:val="20"/>
              </w:rPr>
            </w:r>
          </w:p>
        </w:tc>
        <w:tc>
          <w:tcPr>
            <w:tcW w:w="3928" w:type="dxa"/>
            <w:vAlign w:val="top"/>
            <w:vMerge w:val="continue"/>
            <w:textDirection w:val="lrTb"/>
            <w:noWrap w:val="false"/>
          </w:tcPr>
          <w:p>
            <w:pPr>
              <w:pStyle w:val="1135"/>
              <w:jc w:val="both"/>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135"/>
              <w:jc w:val="center"/>
              <w:spacing w:before="40" w:after="40"/>
              <w:rPr>
                <w:bCs/>
                <w:sz w:val="20"/>
                <w:szCs w:val="20"/>
              </w:rPr>
            </w:pPr>
            <w:r>
              <w:rPr>
                <w:bCs/>
                <w:sz w:val="20"/>
                <w:szCs w:val="20"/>
              </w:rPr>
              <w:t xml:space="preserve">7.2.</w:t>
            </w:r>
            <w:r>
              <w:rPr>
                <w:bCs/>
                <w:sz w:val="20"/>
                <w:szCs w:val="20"/>
              </w:rPr>
            </w:r>
            <w:r>
              <w:rPr>
                <w:bCs/>
                <w:sz w:val="20"/>
                <w:szCs w:val="20"/>
              </w:rPr>
            </w:r>
          </w:p>
        </w:tc>
        <w:tc>
          <w:tcPr>
            <w:gridSpan w:val="4"/>
            <w:tcW w:w="9189" w:type="dxa"/>
            <w:vAlign w:val="top"/>
            <w:textDirection w:val="lrTb"/>
            <w:noWrap w:val="false"/>
          </w:tcPr>
          <w:p>
            <w:pPr>
              <w:pStyle w:val="1135"/>
              <w:spacing w:before="40" w:after="40"/>
              <w:rPr>
                <w:bCs/>
                <w:sz w:val="20"/>
                <w:szCs w:val="20"/>
              </w:rPr>
            </w:pPr>
            <w:r>
              <w:rPr>
                <w:bCs/>
                <w:sz w:val="20"/>
                <w:szCs w:val="20"/>
              </w:rPr>
              <w:t xml:space="preserve">Перевод клиента на новую систему ДБО</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135"/>
              <w:jc w:val="center"/>
              <w:spacing w:before="40" w:after="40"/>
              <w:rPr>
                <w:bCs/>
                <w:sz w:val="20"/>
                <w:szCs w:val="20"/>
              </w:rPr>
            </w:pPr>
            <w:r>
              <w:rPr>
                <w:bCs/>
                <w:sz w:val="20"/>
                <w:szCs w:val="20"/>
              </w:rPr>
              <w:t xml:space="preserve">7.2.1.</w:t>
            </w:r>
            <w:r>
              <w:rPr>
                <w:bCs/>
                <w:sz w:val="20"/>
                <w:szCs w:val="20"/>
              </w:rPr>
            </w:r>
            <w:r>
              <w:rPr>
                <w:bCs/>
                <w:sz w:val="20"/>
                <w:szCs w:val="20"/>
              </w:rPr>
            </w:r>
          </w:p>
        </w:tc>
        <w:tc>
          <w:tcPr>
            <w:tcW w:w="2854" w:type="dxa"/>
            <w:vAlign w:val="top"/>
            <w:textDirection w:val="lrTb"/>
            <w:noWrap w:val="false"/>
          </w:tcPr>
          <w:p>
            <w:pPr>
              <w:pStyle w:val="1135"/>
              <w:jc w:val="both"/>
              <w:spacing w:before="40" w:after="40"/>
              <w:rPr>
                <w:bCs/>
                <w:sz w:val="20"/>
                <w:szCs w:val="20"/>
              </w:rPr>
            </w:pPr>
            <w:r>
              <w:rPr>
                <w:bCs/>
                <w:sz w:val="20"/>
                <w:szCs w:val="20"/>
              </w:rPr>
              <w:t xml:space="preserve">Перевод клиента </w:t>
            </w:r>
            <w:r>
              <w:rPr>
                <w:bCs/>
                <w:sz w:val="20"/>
                <w:szCs w:val="20"/>
              </w:rPr>
              <w:t xml:space="preserve">с</w:t>
            </w:r>
            <w:r>
              <w:rPr>
                <w:bCs/>
                <w:sz w:val="20"/>
                <w:szCs w:val="20"/>
              </w:rPr>
              <w:t xml:space="preserve"> «Интернет-Клиент» на </w:t>
            </w:r>
            <w:r>
              <w:rPr>
                <w:bCs/>
                <w:sz w:val="20"/>
                <w:szCs w:val="20"/>
              </w:rPr>
              <w:t xml:space="preserve">«Свой бизнес»</w:t>
            </w:r>
            <w:r>
              <w:rPr>
                <w:bCs/>
                <w:sz w:val="20"/>
                <w:szCs w:val="20"/>
              </w:rPr>
            </w:r>
            <w:r>
              <w:rPr>
                <w:bCs/>
                <w:sz w:val="20"/>
                <w:szCs w:val="20"/>
              </w:rPr>
            </w:r>
          </w:p>
        </w:tc>
        <w:tc>
          <w:tcPr>
            <w:gridSpan w:val="2"/>
            <w:tcW w:w="2407" w:type="dxa"/>
            <w:vAlign w:val="top"/>
            <w:textDirection w:val="lrTb"/>
            <w:noWrap w:val="false"/>
          </w:tcPr>
          <w:p>
            <w:pPr>
              <w:pStyle w:val="1135"/>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W w:w="3928" w:type="dxa"/>
            <w:vAlign w:val="top"/>
            <w:textDirection w:val="lrTb"/>
            <w:noWrap w:val="false"/>
          </w:tcPr>
          <w:p>
            <w:pPr>
              <w:pStyle w:val="1135"/>
              <w:ind w:firstLine="709"/>
              <w:jc w:val="both"/>
              <w:tabs>
                <w:tab w:val="left" w:pos="1134" w:leader="none"/>
              </w:tabs>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76" w:type="dxa"/>
            <w:vAlign w:val="top"/>
            <w:textDirection w:val="lrTb"/>
            <w:noWrap w:val="false"/>
          </w:tcPr>
          <w:p>
            <w:pPr>
              <w:pStyle w:val="1135"/>
              <w:jc w:val="center"/>
              <w:spacing w:before="40" w:after="40"/>
              <w:rPr>
                <w:bCs/>
                <w:sz w:val="20"/>
                <w:szCs w:val="20"/>
              </w:rPr>
            </w:pPr>
            <w:r>
              <w:rPr>
                <w:bCs/>
                <w:sz w:val="20"/>
                <w:szCs w:val="20"/>
              </w:rPr>
              <w:t xml:space="preserve">7.3.</w:t>
            </w:r>
            <w:r>
              <w:rPr>
                <w:bCs/>
                <w:sz w:val="20"/>
                <w:szCs w:val="20"/>
              </w:rPr>
            </w:r>
            <w:r>
              <w:rPr>
                <w:bCs/>
                <w:sz w:val="20"/>
                <w:szCs w:val="20"/>
              </w:rPr>
            </w:r>
          </w:p>
        </w:tc>
        <w:tc>
          <w:tcPr>
            <w:gridSpan w:val="4"/>
            <w:tcW w:w="9189" w:type="dxa"/>
            <w:vAlign w:val="top"/>
            <w:textDirection w:val="lrTb"/>
            <w:noWrap w:val="false"/>
          </w:tcPr>
          <w:p>
            <w:pPr>
              <w:pStyle w:val="1135"/>
              <w:jc w:val="both"/>
              <w:spacing w:before="40" w:after="40"/>
              <w:rPr>
                <w:bCs/>
                <w:sz w:val="20"/>
                <w:szCs w:val="20"/>
              </w:rPr>
            </w:pPr>
            <w:r>
              <w:rPr>
                <w:bCs/>
                <w:sz w:val="20"/>
                <w:szCs w:val="20"/>
              </w:rPr>
              <w:t xml:space="preserve">Обслуживание системы ДБО</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none" w:color="000000" w:sz="4" w:space="0"/>
            </w:tcBorders>
            <w:tcW w:w="876" w:type="dxa"/>
            <w:vAlign w:val="top"/>
            <w:textDirection w:val="lrTb"/>
            <w:noWrap w:val="false"/>
          </w:tcPr>
          <w:p>
            <w:pPr>
              <w:pStyle w:val="1135"/>
              <w:jc w:val="center"/>
              <w:spacing w:before="40" w:after="40"/>
              <w:rPr>
                <w:rFonts w:eastAsia="Calibri"/>
                <w:sz w:val="20"/>
                <w:szCs w:val="20"/>
                <w:lang w:eastAsia="en-US"/>
              </w:rPr>
            </w:pPr>
            <w:r>
              <w:rPr>
                <w:rFonts w:eastAsia="Calibri"/>
                <w:sz w:val="20"/>
                <w:szCs w:val="20"/>
                <w:lang w:eastAsia="en-US"/>
              </w:rPr>
              <w:t xml:space="preserve">7.3.1.</w:t>
            </w:r>
            <w:r>
              <w:rPr>
                <w:rFonts w:eastAsia="Calibri"/>
                <w:sz w:val="20"/>
                <w:szCs w:val="20"/>
                <w:lang w:eastAsia="en-US"/>
              </w:rPr>
            </w:r>
            <w:r>
              <w:rPr>
                <w:rFonts w:eastAsia="Calibri"/>
                <w:sz w:val="20"/>
                <w:szCs w:val="20"/>
                <w:lang w:eastAsia="en-US"/>
              </w:rPr>
            </w:r>
          </w:p>
        </w:tc>
        <w:tc>
          <w:tcPr>
            <w:tcBorders>
              <w:bottom w:val="none" w:color="000000" w:sz="4" w:space="0"/>
            </w:tcBorders>
            <w:tcW w:w="2854" w:type="dxa"/>
            <w:vAlign w:val="top"/>
            <w:textDirection w:val="lrTb"/>
            <w:noWrap w:val="false"/>
          </w:tcPr>
          <w:p>
            <w:pPr>
              <w:pStyle w:val="1135"/>
              <w:numPr>
                <w:ilvl w:val="0"/>
                <w:numId w:val="17"/>
              </w:numPr>
              <w:ind w:left="9" w:firstLine="0"/>
              <w:jc w:val="both"/>
              <w:spacing w:before="40"/>
              <w:tabs>
                <w:tab w:val="num" w:pos="0" w:leader="none"/>
                <w:tab w:val="num" w:pos="292" w:leader="none"/>
                <w:tab w:val="clear" w:pos="964" w:leader="none"/>
                <w:tab w:val="num" w:pos="2097" w:leader="none"/>
              </w:tabs>
              <w:rPr>
                <w:bCs/>
                <w:sz w:val="20"/>
                <w:szCs w:val="20"/>
              </w:rPr>
            </w:pPr>
            <w:r>
              <w:rPr>
                <w:bCs/>
                <w:sz w:val="20"/>
                <w:szCs w:val="20"/>
              </w:rPr>
              <w:t xml:space="preserve">«Банк-Клиент»</w:t>
            </w:r>
            <w:r>
              <w:rPr>
                <w:bCs/>
                <w:sz w:val="20"/>
                <w:szCs w:val="20"/>
              </w:rPr>
            </w:r>
            <w:r>
              <w:rPr>
                <w:bCs/>
                <w:sz w:val="20"/>
                <w:szCs w:val="20"/>
              </w:rPr>
            </w:r>
          </w:p>
        </w:tc>
        <w:tc>
          <w:tcPr>
            <w:gridSpan w:val="2"/>
            <w:tcBorders>
              <w:bottom w:val="none" w:color="000000" w:sz="4" w:space="0"/>
            </w:tcBorders>
            <w:tcW w:w="2407" w:type="dxa"/>
            <w:vAlign w:val="top"/>
            <w:textDirection w:val="lrTb"/>
            <w:noWrap w:val="false"/>
          </w:tcPr>
          <w:p>
            <w:pPr>
              <w:pStyle w:val="1135"/>
              <w:jc w:val="center"/>
              <w:spacing w:before="40"/>
              <w:rPr>
                <w:bCs/>
                <w:sz w:val="20"/>
                <w:szCs w:val="20"/>
              </w:rPr>
            </w:pPr>
            <w:r>
              <w:rPr>
                <w:bCs/>
                <w:sz w:val="20"/>
                <w:szCs w:val="20"/>
              </w:rPr>
              <w:t xml:space="preserve">5 000 руб. в месяц</w:t>
            </w:r>
            <w:r>
              <w:rPr>
                <w:bCs/>
                <w:sz w:val="20"/>
                <w:szCs w:val="20"/>
              </w:rPr>
            </w:r>
            <w:r>
              <w:rPr>
                <w:bCs/>
                <w:sz w:val="20"/>
                <w:szCs w:val="20"/>
              </w:rPr>
            </w:r>
          </w:p>
        </w:tc>
        <w:tc>
          <w:tcPr>
            <w:tcW w:w="3928" w:type="dxa"/>
            <w:vAlign w:val="top"/>
            <w:vMerge w:val="restart"/>
            <w:textDirection w:val="lrTb"/>
            <w:noWrap w:val="false"/>
          </w:tcPr>
          <w:p>
            <w:pPr>
              <w:pStyle w:val="1135"/>
              <w:jc w:val="both"/>
              <w:spacing w:before="40"/>
              <w:rPr>
                <w:bCs/>
                <w:sz w:val="20"/>
                <w:szCs w:val="20"/>
              </w:rPr>
            </w:pPr>
            <w:r>
              <w:rPr>
                <w:bCs/>
                <w:sz w:val="20"/>
                <w:szCs w:val="20"/>
              </w:rPr>
              <w:t xml:space="preserve">Комиссия взимается ежемесячно не ранее 25-го числа и не позднее последнего рабочего дня текущего календарного месяца, начиная с месяца, следующего </w:t>
              <w:br w:type="textWrapping" w:clear="all"/>
              <w:t xml:space="preserve">за месяцем подключения клиента к системе ДБО.</w:t>
            </w:r>
            <w:r>
              <w:rPr>
                <w:bCs/>
                <w:sz w:val="20"/>
                <w:szCs w:val="20"/>
              </w:rPr>
            </w:r>
            <w:r>
              <w:rPr>
                <w:bCs/>
                <w:sz w:val="20"/>
                <w:szCs w:val="20"/>
              </w:rPr>
            </w:r>
          </w:p>
          <w:p>
            <w:pPr>
              <w:pStyle w:val="1135"/>
              <w:jc w:val="both"/>
              <w:spacing w:before="40"/>
              <w:rPr>
                <w:bCs/>
                <w:sz w:val="20"/>
                <w:szCs w:val="20"/>
              </w:rPr>
            </w:pPr>
            <w:r>
              <w:rPr>
                <w:sz w:val="20"/>
                <w:szCs w:val="20"/>
              </w:rPr>
              <w:t xml:space="preserve">Комиссия взимается по ставке тарифа, действующей на дату начисления комиссии</w:t>
            </w:r>
            <w:r>
              <w:rPr>
                <w:sz w:val="20"/>
                <w:szCs w:val="20"/>
              </w:rPr>
              <w:t xml:space="preserve">.</w:t>
            </w:r>
            <w:r>
              <w:rPr>
                <w:bCs/>
                <w:sz w:val="20"/>
                <w:szCs w:val="20"/>
              </w:rPr>
            </w:r>
            <w:r>
              <w:rPr>
                <w:bCs/>
                <w:sz w:val="20"/>
                <w:szCs w:val="20"/>
              </w:rPr>
            </w:r>
          </w:p>
          <w:p>
            <w:pPr>
              <w:pStyle w:val="1135"/>
              <w:jc w:val="both"/>
              <w:rPr>
                <w:bCs/>
                <w:iCs/>
                <w:sz w:val="20"/>
                <w:szCs w:val="20"/>
              </w:rPr>
            </w:pPr>
            <w:r>
              <w:rPr>
                <w:bCs/>
                <w:sz w:val="20"/>
                <w:szCs w:val="20"/>
              </w:rPr>
              <w:t xml:space="preserve">Комиссия взимается с клиента вне зависимости от количества подключенных к системе ДБО </w:t>
              <w:br w:type="textWrapping" w:clear="all"/>
              <w:t xml:space="preserve">счетов данного клиента</w:t>
            </w:r>
            <w:r>
              <w:rPr>
                <w:bCs/>
                <w:iCs/>
                <w:sz w:val="20"/>
                <w:szCs w:val="20"/>
              </w:rPr>
              <w:t xml:space="preserve">.</w:t>
            </w:r>
            <w:r>
              <w:rPr>
                <w:bCs/>
                <w:iCs/>
                <w:sz w:val="20"/>
                <w:szCs w:val="20"/>
              </w:rPr>
            </w:r>
            <w:r>
              <w:rPr>
                <w:bCs/>
                <w:iCs/>
                <w:sz w:val="20"/>
                <w:szCs w:val="20"/>
              </w:rPr>
            </w:r>
          </w:p>
          <w:p>
            <w:pPr>
              <w:pStyle w:val="1135"/>
              <w:jc w:val="both"/>
              <w:rPr>
                <w:sz w:val="20"/>
                <w:szCs w:val="20"/>
              </w:rPr>
            </w:pPr>
            <w:r>
              <w:rPr>
                <w:sz w:val="20"/>
                <w:szCs w:val="20"/>
              </w:rPr>
              <w:t xml:space="preserve">В случае расторжения договора о предоставлении услуги ДБО в течение расчетного месяца комиссия взимается пропорционально количеству рабочих дней использования услуги в этом месяце.</w:t>
            </w:r>
            <w:r>
              <w:rPr>
                <w:sz w:val="20"/>
                <w:szCs w:val="20"/>
              </w:rPr>
            </w:r>
            <w:r>
              <w:rPr>
                <w:sz w:val="20"/>
                <w:szCs w:val="20"/>
              </w:rPr>
            </w:r>
          </w:p>
          <w:p>
            <w:pPr>
              <w:pStyle w:val="1135"/>
              <w:jc w:val="both"/>
              <w:rPr>
                <w:sz w:val="20"/>
                <w:szCs w:val="20"/>
              </w:rPr>
            </w:pPr>
            <w:r>
              <w:rPr>
                <w:sz w:val="20"/>
                <w:szCs w:val="20"/>
              </w:rPr>
              <w:t xml:space="preserve">При пользовании клиентом услуг Банка по п.п. 7.3.2-7.3.3 комиссия по п.</w:t>
            </w:r>
            <w:r>
              <w:rPr>
                <w:sz w:val="20"/>
                <w:szCs w:val="20"/>
                <w:lang w:val="en-US"/>
              </w:rPr>
              <w:t xml:space="preserve"> </w:t>
            </w:r>
            <w:r>
              <w:rPr>
                <w:sz w:val="20"/>
                <w:szCs w:val="20"/>
              </w:rPr>
              <w:t xml:space="preserve">7.3.1 Банком </w:t>
              <w:br w:type="textWrapping" w:clear="all"/>
              <w:t xml:space="preserve">не взимается.</w:t>
            </w:r>
            <w:r>
              <w:rPr>
                <w:sz w:val="20"/>
                <w:szCs w:val="20"/>
              </w:rPr>
            </w:r>
            <w:r>
              <w:rPr>
                <w:sz w:val="20"/>
                <w:szCs w:val="20"/>
              </w:rPr>
            </w:r>
          </w:p>
          <w:p>
            <w:pPr>
              <w:pStyle w:val="1135"/>
              <w:jc w:val="both"/>
              <w:spacing w:after="40"/>
              <w:rPr>
                <w:bCs/>
                <w:sz w:val="20"/>
                <w:szCs w:val="20"/>
              </w:rPr>
            </w:pPr>
            <w:r>
              <w:rPr>
                <w:sz w:val="20"/>
                <w:szCs w:val="20"/>
              </w:rPr>
              <w:t xml:space="preserve">Использование Мобильного приложения «Свой Бизнес Мобайл» возможно только при условии подключения «Свой Бизнес».</w:t>
            </w:r>
            <w:r>
              <w:rPr>
                <w:bCs/>
                <w:sz w:val="20"/>
                <w:szCs w:val="20"/>
              </w:rPr>
            </w:r>
            <w:r>
              <w:rPr>
                <w:bCs/>
                <w:sz w:val="20"/>
                <w:szCs w:val="20"/>
              </w:rPr>
            </w:r>
          </w:p>
          <w:p>
            <w:pPr>
              <w:pStyle w:val="1135"/>
              <w:jc w:val="both"/>
              <w:spacing w:after="120"/>
              <w:rPr>
                <w:bCs/>
                <w:sz w:val="20"/>
                <w:szCs w:val="20"/>
              </w:rPr>
            </w:pPr>
            <w:r>
              <w:rPr>
                <w:bCs/>
                <w:sz w:val="20"/>
                <w:szCs w:val="20"/>
              </w:rPr>
              <w:t xml:space="preserve">Комиссионное вознаграждение по п. 7.3.1 за обслуживание системы дистанционного банковского обслуживания «Свой бизнес» не взимается з</w:t>
            </w:r>
            <w:r>
              <w:rPr>
                <w:bCs/>
                <w:sz w:val="20"/>
                <w:szCs w:val="20"/>
              </w:rPr>
              <w:t xml:space="preserve">а расчетный месяц, в котором на дату взимания комиссионного вознаграждения Банком приостановлено использование Клиентом указанной системы в качестве электронного средства платежа, за исключением первого месяца, в котором Банком произведено приостановление.</w:t>
            </w:r>
            <w:r>
              <w:rPr>
                <w:bCs/>
                <w:sz w:val="20"/>
                <w:szCs w:val="20"/>
              </w:rPr>
            </w:r>
            <w:r>
              <w:rPr>
                <w:bCs/>
                <w:sz w:val="20"/>
                <w:szCs w:val="20"/>
              </w:rPr>
            </w:r>
          </w:p>
          <w:p>
            <w:pPr>
              <w:pStyle w:val="1135"/>
              <w:rPr>
                <w:sz w:val="20"/>
                <w:szCs w:val="20"/>
              </w:rPr>
            </w:pPr>
            <w:r>
              <w:rPr>
                <w:bCs/>
                <w:sz w:val="20"/>
                <w:szCs w:val="20"/>
              </w:rPr>
              <w:t xml:space="preserve">За расчетный месяц, в котором Банком возобновлено использование Клиентом системы дистанционного банковского обслуживания «Свой бизнес», комиссионное вознаграждение по п. 7.3.1 взимается в полном объеме вне зависимости от даты возобновления.</w:t>
            </w:r>
            <w:r>
              <w:rPr>
                <w:sz w:val="20"/>
                <w:szCs w:val="20"/>
              </w:rPr>
            </w:r>
            <w:r>
              <w:rPr>
                <w:sz w:val="20"/>
                <w:szCs w:val="20"/>
              </w:rPr>
            </w:r>
          </w:p>
          <w:p>
            <w:pPr>
              <w:pStyle w:val="1135"/>
              <w:rPr>
                <w:sz w:val="20"/>
                <w:szCs w:val="20"/>
              </w:rPr>
            </w:pPr>
            <w:r>
              <w:rPr>
                <w:bCs/>
                <w:sz w:val="20"/>
                <w:szCs w:val="20"/>
              </w:rPr>
              <w:t xml:space="preserve">После выполнения обязательств перед АО «Россельхозбанк» </w:t>
              <w:br w:type="textWrapping" w:clear="all"/>
              <w:t xml:space="preserve">по кредитным сделкам в полном объеме, комиссия взимается </w:t>
              <w:br w:type="textWrapping" w:clear="all"/>
              <w:t xml:space="preserve">в стандартном размере.</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76" w:type="dxa"/>
            <w:vAlign w:val="top"/>
            <w:textDirection w:val="lrTb"/>
            <w:noWrap w:val="false"/>
          </w:tcPr>
          <w:p>
            <w:pPr>
              <w:pStyle w:val="1135"/>
              <w:jc w:val="center"/>
              <w:spacing w:before="40" w:after="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2854" w:type="dxa"/>
            <w:vAlign w:val="top"/>
            <w:textDirection w:val="lrTb"/>
            <w:noWrap w:val="false"/>
          </w:tcPr>
          <w:p>
            <w:pPr>
              <w:pStyle w:val="1135"/>
              <w:numPr>
                <w:ilvl w:val="0"/>
                <w:numId w:val="17"/>
              </w:numPr>
              <w:ind w:left="9" w:firstLine="0"/>
              <w:jc w:val="both"/>
              <w:spacing w:before="40"/>
              <w:tabs>
                <w:tab w:val="num" w:pos="0" w:leader="none"/>
                <w:tab w:val="num" w:pos="292" w:leader="none"/>
                <w:tab w:val="clear" w:pos="964" w:leader="none"/>
                <w:tab w:val="num" w:pos="2097" w:leader="none"/>
              </w:tabs>
              <w:rPr>
                <w:bCs/>
                <w:sz w:val="20"/>
                <w:szCs w:val="20"/>
              </w:rPr>
            </w:pPr>
            <w:r>
              <w:rPr>
                <w:bCs/>
                <w:sz w:val="20"/>
                <w:szCs w:val="20"/>
              </w:rPr>
              <w:t xml:space="preserve">«Интернет-Клиент»</w:t>
            </w:r>
            <w:r>
              <w:rPr>
                <w:bCs/>
                <w:sz w:val="20"/>
                <w:szCs w:val="20"/>
              </w:rPr>
            </w:r>
            <w:r>
              <w:rPr>
                <w:bCs/>
                <w:sz w:val="20"/>
                <w:szCs w:val="20"/>
              </w:rPr>
            </w:r>
          </w:p>
        </w:tc>
        <w:tc>
          <w:tcPr>
            <w:gridSpan w:val="2"/>
            <w:tcBorders>
              <w:top w:val="none" w:color="000000" w:sz="4" w:space="0"/>
              <w:left w:val="single" w:color="000000" w:sz="4" w:space="0"/>
              <w:bottom w:val="none" w:color="000000" w:sz="4" w:space="0"/>
              <w:right w:val="single" w:color="000000" w:sz="4" w:space="0"/>
            </w:tcBorders>
            <w:tcW w:w="2407" w:type="dxa"/>
            <w:vAlign w:val="top"/>
            <w:textDirection w:val="lrTb"/>
            <w:noWrap w:val="false"/>
          </w:tcPr>
          <w:p>
            <w:pPr>
              <w:pStyle w:val="1135"/>
              <w:jc w:val="center"/>
              <w:spacing w:before="40"/>
              <w:rPr>
                <w:bCs/>
                <w:sz w:val="20"/>
                <w:szCs w:val="20"/>
              </w:rPr>
            </w:pPr>
            <w:r>
              <w:rPr>
                <w:bCs/>
                <w:sz w:val="20"/>
                <w:szCs w:val="20"/>
              </w:rPr>
              <w:t xml:space="preserve">900 руб. в месяц</w:t>
            </w:r>
            <w:r>
              <w:rPr>
                <w:bCs/>
                <w:sz w:val="20"/>
                <w:szCs w:val="20"/>
              </w:rPr>
            </w:r>
            <w:r>
              <w:rPr>
                <w:bCs/>
                <w:sz w:val="20"/>
                <w:szCs w:val="20"/>
              </w:rPr>
            </w:r>
          </w:p>
        </w:tc>
        <w:tc>
          <w:tcPr>
            <w:tcBorders>
              <w:left w:val="single" w:color="000000" w:sz="4" w:space="0"/>
            </w:tcBorders>
            <w:tcW w:w="3928" w:type="dxa"/>
            <w:vAlign w:val="top"/>
            <w:vMerge w:val="continue"/>
            <w:textDirection w:val="lrTb"/>
            <w:noWrap w:val="false"/>
          </w:tcPr>
          <w:p>
            <w:pPr>
              <w:pStyle w:val="1135"/>
              <w:numPr>
                <w:ilvl w:val="0"/>
                <w:numId w:val="17"/>
              </w:numPr>
              <w:ind w:hanging="766"/>
              <w:spacing w:before="40" w:after="40" w:line="276" w:lineRule="auto"/>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76" w:type="dxa"/>
            <w:vAlign w:val="top"/>
            <w:textDirection w:val="lrTb"/>
            <w:noWrap w:val="false"/>
          </w:tcPr>
          <w:p>
            <w:pPr>
              <w:pStyle w:val="1135"/>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854" w:type="dxa"/>
            <w:vAlign w:val="top"/>
            <w:textDirection w:val="lrTb"/>
            <w:noWrap w:val="false"/>
          </w:tcPr>
          <w:p>
            <w:pPr>
              <w:pStyle w:val="1135"/>
              <w:numPr>
                <w:ilvl w:val="0"/>
                <w:numId w:val="17"/>
              </w:numPr>
              <w:ind w:left="9" w:firstLine="0"/>
              <w:jc w:val="both"/>
              <w:spacing w:before="40"/>
              <w:tabs>
                <w:tab w:val="num" w:pos="0" w:leader="none"/>
                <w:tab w:val="num" w:pos="292" w:leader="none"/>
                <w:tab w:val="clear" w:pos="964" w:leader="none"/>
                <w:tab w:val="num" w:pos="2097" w:leader="none"/>
              </w:tabs>
              <w:rPr>
                <w:bCs/>
                <w:sz w:val="20"/>
                <w:szCs w:val="20"/>
              </w:rPr>
            </w:pPr>
            <w:r>
              <w:rPr>
                <w:bCs/>
                <w:sz w:val="20"/>
                <w:szCs w:val="20"/>
              </w:rPr>
              <w:t xml:space="preserve">«Мобильный банк»</w:t>
            </w:r>
            <w:r>
              <w:rPr>
                <w:bCs/>
                <w:sz w:val="20"/>
                <w:szCs w:val="20"/>
              </w:rPr>
            </w:r>
            <w:r>
              <w:rPr>
                <w:bCs/>
                <w:sz w:val="20"/>
                <w:szCs w:val="20"/>
              </w:rPr>
            </w:r>
          </w:p>
        </w:tc>
        <w:tc>
          <w:tcPr>
            <w:gridSpan w:val="2"/>
            <w:tcBorders>
              <w:top w:val="none" w:color="000000" w:sz="4" w:space="0"/>
              <w:left w:val="single" w:color="000000" w:sz="4" w:space="0"/>
              <w:bottom w:val="none" w:color="000000" w:sz="4" w:space="0"/>
              <w:right w:val="single" w:color="000000" w:sz="4" w:space="0"/>
            </w:tcBorders>
            <w:tcW w:w="2407" w:type="dxa"/>
            <w:vAlign w:val="top"/>
            <w:textDirection w:val="lrTb"/>
            <w:noWrap w:val="false"/>
          </w:tcPr>
          <w:p>
            <w:pPr>
              <w:pStyle w:val="1135"/>
              <w:jc w:val="center"/>
              <w:spacing w:before="40"/>
              <w:rPr>
                <w:bCs/>
                <w:sz w:val="20"/>
                <w:szCs w:val="20"/>
              </w:rPr>
            </w:pPr>
            <w:r>
              <w:rPr>
                <w:bCs/>
                <w:sz w:val="20"/>
                <w:szCs w:val="20"/>
              </w:rPr>
              <w:t xml:space="preserve">Не взимается</w:t>
            </w:r>
            <w:r>
              <w:rPr>
                <w:bCs/>
                <w:sz w:val="20"/>
                <w:szCs w:val="20"/>
              </w:rPr>
            </w:r>
            <w:r>
              <w:rPr>
                <w:bCs/>
                <w:sz w:val="20"/>
                <w:szCs w:val="20"/>
              </w:rPr>
            </w:r>
          </w:p>
        </w:tc>
        <w:tc>
          <w:tcPr>
            <w:tcBorders>
              <w:left w:val="single" w:color="000000" w:sz="4" w:space="0"/>
            </w:tcBorders>
            <w:tcW w:w="3928" w:type="dxa"/>
            <w:vAlign w:val="top"/>
            <w:vMerge w:val="continue"/>
            <w:textDirection w:val="lrTb"/>
            <w:noWrap w:val="false"/>
          </w:tcPr>
          <w:p>
            <w:pPr>
              <w:pStyle w:val="1135"/>
              <w:numPr>
                <w:ilvl w:val="0"/>
                <w:numId w:val="17"/>
              </w:numPr>
              <w:ind w:hanging="766"/>
              <w:spacing w:before="40" w:after="40" w:line="276" w:lineRule="auto"/>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76" w:type="dxa"/>
            <w:vAlign w:val="top"/>
            <w:textDirection w:val="lrTb"/>
            <w:noWrap w:val="false"/>
          </w:tcPr>
          <w:p>
            <w:pPr>
              <w:pStyle w:val="1135"/>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854" w:type="dxa"/>
            <w:vAlign w:val="top"/>
            <w:textDirection w:val="lrTb"/>
            <w:noWrap w:val="false"/>
          </w:tcPr>
          <w:p>
            <w:pPr>
              <w:pStyle w:val="1135"/>
              <w:numPr>
                <w:ilvl w:val="0"/>
                <w:numId w:val="17"/>
              </w:numPr>
              <w:ind w:left="9" w:firstLine="0"/>
              <w:jc w:val="both"/>
              <w:spacing w:before="40"/>
              <w:tabs>
                <w:tab w:val="num" w:pos="0" w:leader="none"/>
                <w:tab w:val="num" w:pos="292" w:leader="none"/>
                <w:tab w:val="clear" w:pos="964" w:leader="none"/>
                <w:tab w:val="num" w:pos="2097" w:leader="none"/>
              </w:tabs>
              <w:rPr>
                <w:bCs/>
                <w:sz w:val="20"/>
                <w:szCs w:val="20"/>
              </w:rPr>
            </w:pPr>
            <w:r>
              <w:rPr>
                <w:bCs/>
                <w:sz w:val="20"/>
                <w:szCs w:val="20"/>
              </w:rPr>
              <w:t xml:space="preserve">«Свой Бизнес»</w:t>
            </w:r>
            <w:r>
              <w:rPr>
                <w:bCs/>
                <w:sz w:val="20"/>
                <w:szCs w:val="20"/>
              </w:rPr>
            </w:r>
            <w:r>
              <w:rPr>
                <w:bCs/>
                <w:sz w:val="20"/>
                <w:szCs w:val="20"/>
              </w:rPr>
            </w:r>
          </w:p>
        </w:tc>
        <w:tc>
          <w:tcPr>
            <w:gridSpan w:val="2"/>
            <w:tcBorders>
              <w:top w:val="none" w:color="000000" w:sz="4" w:space="0"/>
              <w:left w:val="single" w:color="000000" w:sz="4" w:space="0"/>
              <w:bottom w:val="none" w:color="000000" w:sz="4" w:space="0"/>
              <w:right w:val="single" w:color="000000" w:sz="4" w:space="0"/>
            </w:tcBorders>
            <w:tcW w:w="2407" w:type="dxa"/>
            <w:vAlign w:val="top"/>
            <w:textDirection w:val="lrTb"/>
            <w:noWrap w:val="false"/>
          </w:tcPr>
          <w:p>
            <w:pPr>
              <w:pStyle w:val="1135"/>
              <w:jc w:val="center"/>
              <w:spacing w:before="40"/>
              <w:rPr>
                <w:bCs/>
                <w:sz w:val="20"/>
                <w:szCs w:val="20"/>
              </w:rPr>
            </w:pPr>
            <w:r>
              <w:rPr>
                <w:bCs/>
                <w:sz w:val="20"/>
                <w:szCs w:val="20"/>
              </w:rPr>
              <w:t xml:space="preserve">900 руб. в месяц</w:t>
            </w:r>
            <w:r>
              <w:rPr>
                <w:bCs/>
                <w:sz w:val="20"/>
                <w:szCs w:val="20"/>
              </w:rPr>
            </w:r>
            <w:r>
              <w:rPr>
                <w:bCs/>
                <w:sz w:val="20"/>
                <w:szCs w:val="20"/>
              </w:rPr>
            </w:r>
          </w:p>
        </w:tc>
        <w:tc>
          <w:tcPr>
            <w:tcBorders>
              <w:left w:val="single" w:color="000000" w:sz="4" w:space="0"/>
            </w:tcBorders>
            <w:tcW w:w="3928" w:type="dxa"/>
            <w:vAlign w:val="top"/>
            <w:vMerge w:val="continue"/>
            <w:textDirection w:val="lrTb"/>
            <w:noWrap w:val="false"/>
          </w:tcPr>
          <w:p>
            <w:pPr>
              <w:pStyle w:val="1135"/>
              <w:numPr>
                <w:ilvl w:val="0"/>
                <w:numId w:val="17"/>
              </w:numPr>
              <w:ind w:hanging="766"/>
              <w:spacing w:before="40" w:after="40" w:line="276" w:lineRule="auto"/>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76" w:type="dxa"/>
            <w:vAlign w:val="top"/>
            <w:textDirection w:val="lrTb"/>
            <w:noWrap w:val="false"/>
          </w:tcPr>
          <w:p>
            <w:pPr>
              <w:pStyle w:val="1135"/>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854" w:type="dxa"/>
            <w:vAlign w:val="top"/>
            <w:textDirection w:val="lrTb"/>
            <w:noWrap w:val="false"/>
          </w:tcPr>
          <w:p>
            <w:pPr>
              <w:pStyle w:val="1135"/>
              <w:numPr>
                <w:ilvl w:val="0"/>
                <w:numId w:val="40"/>
              </w:numPr>
              <w:ind w:left="9" w:firstLine="0"/>
              <w:jc w:val="both"/>
              <w:spacing w:before="40"/>
              <w:tabs>
                <w:tab w:val="num" w:pos="0" w:leader="none"/>
                <w:tab w:val="num" w:pos="292" w:leader="none"/>
                <w:tab w:val="num" w:pos="434" w:leader="none"/>
              </w:tabs>
              <w:rPr>
                <w:bCs/>
                <w:sz w:val="20"/>
                <w:szCs w:val="20"/>
              </w:rPr>
            </w:pPr>
            <w:r>
              <w:rPr>
                <w:bCs/>
                <w:sz w:val="20"/>
                <w:szCs w:val="20"/>
              </w:rPr>
              <w:t xml:space="preserve">для клиентов «Банк-Клиент»/ «Интернет-Клиент»/«Мобильный банк»/«Свой Бизнес», заключивших договор номинального банковского счета, открываемого организациям, </w:t>
              <w:br w:type="textWrapping" w:clear="all"/>
              <w:t xml:space="preserve">на которые возлагается исполнение обязанностей опекунов или попечителей</w:t>
            </w:r>
            <w:r>
              <w:rPr>
                <w:bCs/>
                <w:sz w:val="20"/>
                <w:szCs w:val="20"/>
              </w:rPr>
            </w:r>
            <w:r>
              <w:rPr>
                <w:bCs/>
                <w:sz w:val="20"/>
                <w:szCs w:val="20"/>
              </w:rPr>
            </w:r>
          </w:p>
        </w:tc>
        <w:tc>
          <w:tcPr>
            <w:gridSpan w:val="2"/>
            <w:tcBorders>
              <w:top w:val="none" w:color="000000" w:sz="4" w:space="0"/>
              <w:left w:val="single" w:color="000000" w:sz="4" w:space="0"/>
              <w:bottom w:val="none" w:color="000000" w:sz="4" w:space="0"/>
              <w:right w:val="single" w:color="000000" w:sz="4" w:space="0"/>
            </w:tcBorders>
            <w:tcW w:w="2407" w:type="dxa"/>
            <w:vAlign w:val="top"/>
            <w:textDirection w:val="lrTb"/>
            <w:noWrap w:val="false"/>
          </w:tcPr>
          <w:p>
            <w:pPr>
              <w:pStyle w:val="1135"/>
              <w:jc w:val="center"/>
              <w:spacing w:before="40"/>
              <w:rPr>
                <w:bCs/>
                <w:sz w:val="20"/>
                <w:szCs w:val="20"/>
              </w:rPr>
            </w:pPr>
            <w:r>
              <w:rPr>
                <w:bCs/>
                <w:sz w:val="20"/>
                <w:szCs w:val="20"/>
              </w:rPr>
              <w:t xml:space="preserve">Не взимается</w:t>
            </w:r>
            <w:r>
              <w:rPr>
                <w:bCs/>
                <w:sz w:val="20"/>
                <w:szCs w:val="20"/>
              </w:rPr>
            </w:r>
            <w:r>
              <w:rPr>
                <w:bCs/>
                <w:sz w:val="20"/>
                <w:szCs w:val="20"/>
              </w:rPr>
            </w:r>
          </w:p>
        </w:tc>
        <w:tc>
          <w:tcPr>
            <w:tcBorders>
              <w:left w:val="single" w:color="000000" w:sz="4" w:space="0"/>
            </w:tcBorders>
            <w:tcW w:w="3928" w:type="dxa"/>
            <w:vAlign w:val="top"/>
            <w:vMerge w:val="continue"/>
            <w:textDirection w:val="lrTb"/>
            <w:noWrap w:val="false"/>
          </w:tcPr>
          <w:p>
            <w:pPr>
              <w:pStyle w:val="1135"/>
              <w:numPr>
                <w:ilvl w:val="0"/>
                <w:numId w:val="17"/>
              </w:numPr>
              <w:ind w:hanging="766"/>
              <w:spacing w:before="40" w:line="276" w:lineRule="auto"/>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876" w:type="dxa"/>
            <w:vAlign w:val="top"/>
            <w:textDirection w:val="lrTb"/>
            <w:noWrap w:val="false"/>
          </w:tcPr>
          <w:p>
            <w:pPr>
              <w:pStyle w:val="1135"/>
              <w:jc w:val="center"/>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2854" w:type="dxa"/>
            <w:vAlign w:val="top"/>
            <w:textDirection w:val="lrTb"/>
            <w:noWrap w:val="false"/>
          </w:tcPr>
          <w:p>
            <w:pPr>
              <w:pStyle w:val="1135"/>
              <w:numPr>
                <w:ilvl w:val="0"/>
                <w:numId w:val="41"/>
              </w:numPr>
              <w:ind w:left="0" w:firstLine="0"/>
              <w:jc w:val="both"/>
              <w:rPr>
                <w:bCs/>
                <w:sz w:val="20"/>
                <w:szCs w:val="20"/>
              </w:rPr>
            </w:pPr>
            <w:r>
              <w:rPr>
                <w:bCs/>
                <w:sz w:val="20"/>
                <w:szCs w:val="20"/>
              </w:rPr>
              <w:t xml:space="preserve">для клиентов «Интернет-Клиент»/«Свой бизнес», являющихся садоводческими или огородническими некоммерческими товариществами </w:t>
              <w:br w:type="textWrapping" w:clear="all"/>
              <w:t xml:space="preserve">в соответствии с Федеральным законом от 29.07.2017 №</w:t>
            </w:r>
            <w:r>
              <w:rPr>
                <w:bCs/>
                <w:sz w:val="20"/>
                <w:szCs w:val="20"/>
                <w:lang w:val="en-US"/>
              </w:rPr>
              <w:t xml:space="preserve"> </w:t>
            </w:r>
            <w:r>
              <w:rPr>
                <w:bCs/>
                <w:sz w:val="20"/>
                <w:szCs w:val="20"/>
              </w:rPr>
              <w:t xml:space="preserve">217-ФЗ </w:t>
              <w:br w:type="textWrapping" w:clear="all"/>
              <w:t xml:space="preserve">«О ведении гражданами садоводства и огородниче</w:t>
            </w:r>
            <w:r>
              <w:rPr>
                <w:bCs/>
                <w:sz w:val="20"/>
                <w:szCs w:val="20"/>
              </w:rPr>
              <w:t xml:space="preserve">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w:t>
              <w:br/>
              <w:t xml:space="preserve">с Федеральным законом от 15.04.1998 №</w:t>
            </w:r>
            <w:r>
              <w:rPr>
                <w:bCs/>
                <w:sz w:val="20"/>
                <w:szCs w:val="20"/>
                <w:lang w:val="en-US"/>
              </w:rPr>
              <w:t xml:space="preserve"> </w:t>
            </w:r>
            <w:r>
              <w:rPr>
                <w:bCs/>
                <w:sz w:val="20"/>
                <w:szCs w:val="20"/>
              </w:rPr>
              <w:t xml:space="preserve">66-ФЗ «О садоводческих, огороднических и дачных некоммерческих объединениях граждан»</w:t>
            </w:r>
            <w:r>
              <w:rPr>
                <w:bCs/>
                <w:sz w:val="20"/>
                <w:szCs w:val="20"/>
              </w:rPr>
            </w:r>
            <w:r>
              <w:rPr>
                <w:bCs/>
                <w:sz w:val="20"/>
                <w:szCs w:val="20"/>
              </w:rPr>
            </w:r>
          </w:p>
          <w:p>
            <w:pPr>
              <w:pStyle w:val="1135"/>
              <w:jc w:val="both"/>
              <w:rPr>
                <w:bCs/>
                <w:sz w:val="20"/>
                <w:szCs w:val="20"/>
              </w:rPr>
            </w:pPr>
            <w:r>
              <w:rPr>
                <w:bCs/>
                <w:sz w:val="20"/>
                <w:szCs w:val="20"/>
              </w:rPr>
              <w:t xml:space="preserve">- </w:t>
            </w:r>
            <w:r>
              <w:rPr>
                <w:sz w:val="20"/>
                <w:szCs w:val="20"/>
              </w:rPr>
              <w:t xml:space="preserve">для клиентов, имеющих обязательства перед АО «Р</w:t>
            </w:r>
            <w:r>
              <w:rPr>
                <w:sz w:val="20"/>
                <w:szCs w:val="20"/>
              </w:rPr>
              <w:t xml:space="preserve">оссельхозбанк» </w:t>
              <w:br/>
              <w:t xml:space="preserve">по кредитным сделкам*, </w:t>
              <w:br/>
              <w:t xml:space="preserve">в отношении которых введена любая из процедур, применяемых в деле </w:t>
              <w:br/>
              <w:t xml:space="preserve">о банкротстве в соответствии с Федеральным законом </w:t>
              <w:br/>
              <w:t xml:space="preserve">от 26.10.2002 № 127-ФЗ </w:t>
              <w:br/>
              <w:t xml:space="preserve">«О несостоятельности (банкротстве)» или находящихся в процессе ликвидации</w:t>
            </w:r>
            <w:r>
              <w:rPr>
                <w:bCs/>
                <w:sz w:val="20"/>
                <w:szCs w:val="20"/>
              </w:rPr>
            </w:r>
            <w:r>
              <w:rPr>
                <w:bCs/>
                <w:sz w:val="20"/>
                <w:szCs w:val="20"/>
              </w:rPr>
            </w:r>
          </w:p>
        </w:tc>
        <w:tc>
          <w:tcPr>
            <w:gridSpan w:val="2"/>
            <w:tcBorders>
              <w:top w:val="none" w:color="000000" w:sz="4" w:space="0"/>
              <w:left w:val="single" w:color="000000" w:sz="4" w:space="0"/>
              <w:bottom w:val="single" w:color="000000" w:sz="4" w:space="0"/>
              <w:right w:val="single" w:color="000000" w:sz="4" w:space="0"/>
            </w:tcBorders>
            <w:tcW w:w="2407" w:type="dxa"/>
            <w:vAlign w:val="top"/>
            <w:textDirection w:val="lrTb"/>
            <w:noWrap w:val="false"/>
          </w:tcPr>
          <w:p>
            <w:pPr>
              <w:pStyle w:val="1135"/>
              <w:rPr>
                <w:bCs/>
                <w:sz w:val="20"/>
                <w:szCs w:val="20"/>
              </w:rPr>
            </w:pPr>
            <w:r>
              <w:rPr>
                <w:bCs/>
                <w:sz w:val="20"/>
                <w:szCs w:val="20"/>
              </w:rPr>
              <w:t xml:space="preserve"> </w:t>
            </w:r>
            <w:r>
              <w:rPr>
                <w:bCs/>
                <w:sz w:val="20"/>
                <w:szCs w:val="20"/>
              </w:rPr>
              <w:t xml:space="preserve">Не взимается</w:t>
            </w:r>
            <w:r>
              <w:rPr>
                <w:bCs/>
                <w:sz w:val="20"/>
                <w:szCs w:val="20"/>
              </w:rPr>
            </w:r>
            <w:r>
              <w:rPr>
                <w:bCs/>
                <w:sz w:val="20"/>
                <w:szCs w:val="20"/>
              </w:rPr>
            </w:r>
          </w:p>
          <w:p>
            <w:pPr>
              <w:pStyle w:val="1135"/>
              <w:jc w:val="center"/>
              <w:rPr>
                <w:bCs/>
                <w:sz w:val="20"/>
                <w:szCs w:val="20"/>
              </w:rPr>
            </w:pPr>
            <w:r>
              <w:rPr>
                <w:bCs/>
                <w:sz w:val="20"/>
                <w:szCs w:val="20"/>
              </w:rPr>
            </w:r>
            <w:r>
              <w:rPr>
                <w:bCs/>
                <w:sz w:val="20"/>
                <w:szCs w:val="20"/>
              </w:rPr>
            </w:r>
            <w:r>
              <w:rPr>
                <w:bCs/>
                <w:sz w:val="20"/>
                <w:szCs w:val="20"/>
              </w:rPr>
            </w:r>
          </w:p>
          <w:p>
            <w:pPr>
              <w:pStyle w:val="1135"/>
              <w:jc w:val="center"/>
              <w:rPr>
                <w:bCs/>
                <w:sz w:val="20"/>
                <w:szCs w:val="20"/>
              </w:rPr>
            </w:pPr>
            <w:r>
              <w:rPr>
                <w:bCs/>
                <w:sz w:val="20"/>
                <w:szCs w:val="20"/>
              </w:rPr>
            </w:r>
            <w:r>
              <w:rPr>
                <w:bCs/>
                <w:sz w:val="20"/>
                <w:szCs w:val="20"/>
              </w:rPr>
            </w:r>
            <w:r>
              <w:rPr>
                <w:bCs/>
                <w:sz w:val="20"/>
                <w:szCs w:val="20"/>
              </w:rPr>
            </w:r>
          </w:p>
          <w:p>
            <w:pPr>
              <w:pStyle w:val="1135"/>
              <w:jc w:val="center"/>
              <w:rPr>
                <w:bCs/>
                <w:sz w:val="20"/>
                <w:szCs w:val="20"/>
              </w:rPr>
            </w:pPr>
            <w:r>
              <w:rPr>
                <w:bCs/>
                <w:sz w:val="20"/>
                <w:szCs w:val="20"/>
              </w:rPr>
            </w:r>
            <w:r>
              <w:rPr>
                <w:bCs/>
                <w:sz w:val="20"/>
                <w:szCs w:val="20"/>
              </w:rPr>
            </w:r>
            <w:r>
              <w:rPr>
                <w:bCs/>
                <w:sz w:val="20"/>
                <w:szCs w:val="20"/>
              </w:rPr>
            </w:r>
          </w:p>
          <w:p>
            <w:pPr>
              <w:pStyle w:val="1135"/>
              <w:jc w:val="center"/>
              <w:rPr>
                <w:bCs/>
                <w:sz w:val="20"/>
                <w:szCs w:val="20"/>
              </w:rPr>
            </w:pPr>
            <w:r>
              <w:rPr>
                <w:bCs/>
                <w:sz w:val="20"/>
                <w:szCs w:val="20"/>
              </w:rPr>
            </w:r>
            <w:r>
              <w:rPr>
                <w:bCs/>
                <w:sz w:val="20"/>
                <w:szCs w:val="20"/>
              </w:rPr>
            </w:r>
            <w:r>
              <w:rPr>
                <w:bCs/>
                <w:sz w:val="20"/>
                <w:szCs w:val="20"/>
              </w:rPr>
            </w:r>
          </w:p>
          <w:p>
            <w:pPr>
              <w:pStyle w:val="1135"/>
              <w:jc w:val="center"/>
              <w:rPr>
                <w:bCs/>
                <w:sz w:val="20"/>
                <w:szCs w:val="20"/>
              </w:rPr>
            </w:pPr>
            <w:r>
              <w:rPr>
                <w:bCs/>
                <w:sz w:val="20"/>
                <w:szCs w:val="20"/>
              </w:rPr>
            </w:r>
            <w:r>
              <w:rPr>
                <w:bCs/>
                <w:sz w:val="20"/>
                <w:szCs w:val="20"/>
              </w:rPr>
            </w:r>
            <w:r>
              <w:rPr>
                <w:bCs/>
                <w:sz w:val="20"/>
                <w:szCs w:val="20"/>
              </w:rPr>
            </w:r>
          </w:p>
          <w:p>
            <w:pPr>
              <w:pStyle w:val="1135"/>
              <w:jc w:val="center"/>
              <w:rPr>
                <w:bCs/>
                <w:sz w:val="20"/>
                <w:szCs w:val="20"/>
              </w:rPr>
            </w:pPr>
            <w:r>
              <w:rPr>
                <w:bCs/>
                <w:sz w:val="20"/>
                <w:szCs w:val="20"/>
              </w:rPr>
            </w:r>
            <w:r>
              <w:rPr>
                <w:bCs/>
                <w:sz w:val="20"/>
                <w:szCs w:val="20"/>
              </w:rPr>
            </w:r>
            <w:r>
              <w:rPr>
                <w:bCs/>
                <w:sz w:val="20"/>
                <w:szCs w:val="20"/>
              </w:rPr>
            </w:r>
          </w:p>
          <w:p>
            <w:pPr>
              <w:pStyle w:val="1135"/>
              <w:jc w:val="center"/>
              <w:rPr>
                <w:bCs/>
                <w:sz w:val="20"/>
                <w:szCs w:val="20"/>
              </w:rPr>
            </w:pPr>
            <w:r>
              <w:rPr>
                <w:bCs/>
                <w:sz w:val="20"/>
                <w:szCs w:val="20"/>
              </w:rPr>
            </w:r>
            <w:r>
              <w:rPr>
                <w:bCs/>
                <w:sz w:val="20"/>
                <w:szCs w:val="20"/>
              </w:rPr>
            </w:r>
            <w:r>
              <w:rPr>
                <w:bCs/>
                <w:sz w:val="20"/>
                <w:szCs w:val="20"/>
              </w:rPr>
            </w:r>
          </w:p>
          <w:p>
            <w:pPr>
              <w:pStyle w:val="1135"/>
              <w:jc w:val="center"/>
              <w:rPr>
                <w:bCs/>
                <w:sz w:val="20"/>
                <w:szCs w:val="20"/>
              </w:rPr>
            </w:pPr>
            <w:r>
              <w:rPr>
                <w:bCs/>
                <w:sz w:val="20"/>
                <w:szCs w:val="20"/>
              </w:rPr>
            </w:r>
            <w:r>
              <w:rPr>
                <w:bCs/>
                <w:sz w:val="20"/>
                <w:szCs w:val="20"/>
              </w:rPr>
            </w:r>
            <w:r>
              <w:rPr>
                <w:bCs/>
                <w:sz w:val="20"/>
                <w:szCs w:val="20"/>
              </w:rPr>
            </w:r>
          </w:p>
          <w:p>
            <w:pPr>
              <w:pStyle w:val="1135"/>
              <w:jc w:val="center"/>
              <w:rPr>
                <w:bCs/>
                <w:sz w:val="20"/>
                <w:szCs w:val="20"/>
              </w:rPr>
            </w:pPr>
            <w:r>
              <w:rPr>
                <w:bCs/>
                <w:sz w:val="20"/>
                <w:szCs w:val="20"/>
              </w:rPr>
            </w:r>
            <w:r>
              <w:rPr>
                <w:bCs/>
                <w:sz w:val="20"/>
                <w:szCs w:val="20"/>
              </w:rPr>
            </w:r>
            <w:r>
              <w:rPr>
                <w:bCs/>
                <w:sz w:val="20"/>
                <w:szCs w:val="20"/>
              </w:rPr>
            </w:r>
          </w:p>
          <w:p>
            <w:pPr>
              <w:pStyle w:val="1135"/>
              <w:jc w:val="center"/>
              <w:rPr>
                <w:bCs/>
                <w:sz w:val="20"/>
                <w:szCs w:val="20"/>
              </w:rPr>
            </w:pPr>
            <w:r>
              <w:rPr>
                <w:bCs/>
                <w:sz w:val="20"/>
                <w:szCs w:val="20"/>
              </w:rPr>
            </w:r>
            <w:r>
              <w:rPr>
                <w:bCs/>
                <w:sz w:val="20"/>
                <w:szCs w:val="20"/>
              </w:rPr>
            </w:r>
            <w:r>
              <w:rPr>
                <w:bCs/>
                <w:sz w:val="20"/>
                <w:szCs w:val="20"/>
              </w:rPr>
            </w:r>
          </w:p>
          <w:p>
            <w:pPr>
              <w:pStyle w:val="1135"/>
              <w:jc w:val="center"/>
              <w:rPr>
                <w:bCs/>
                <w:sz w:val="20"/>
                <w:szCs w:val="20"/>
              </w:rPr>
            </w:pPr>
            <w:r>
              <w:rPr>
                <w:bCs/>
                <w:sz w:val="20"/>
                <w:szCs w:val="20"/>
              </w:rPr>
            </w:r>
            <w:r>
              <w:rPr>
                <w:bCs/>
                <w:sz w:val="20"/>
                <w:szCs w:val="20"/>
              </w:rPr>
            </w:r>
            <w:r>
              <w:rPr>
                <w:bCs/>
                <w:sz w:val="20"/>
                <w:szCs w:val="20"/>
              </w:rPr>
            </w:r>
          </w:p>
          <w:p>
            <w:pPr>
              <w:pStyle w:val="1135"/>
              <w:jc w:val="center"/>
              <w:rPr>
                <w:bCs/>
                <w:sz w:val="20"/>
                <w:szCs w:val="20"/>
              </w:rPr>
            </w:pPr>
            <w:r>
              <w:rPr>
                <w:bCs/>
                <w:sz w:val="20"/>
                <w:szCs w:val="20"/>
              </w:rPr>
            </w:r>
            <w:r>
              <w:rPr>
                <w:bCs/>
                <w:sz w:val="20"/>
                <w:szCs w:val="20"/>
              </w:rPr>
            </w:r>
            <w:r>
              <w:rPr>
                <w:bCs/>
                <w:sz w:val="20"/>
                <w:szCs w:val="20"/>
              </w:rPr>
            </w:r>
          </w:p>
          <w:p>
            <w:pPr>
              <w:pStyle w:val="1135"/>
              <w:jc w:val="center"/>
              <w:rPr>
                <w:bCs/>
                <w:sz w:val="20"/>
                <w:szCs w:val="20"/>
              </w:rPr>
            </w:pPr>
            <w:r>
              <w:rPr>
                <w:bCs/>
                <w:sz w:val="20"/>
                <w:szCs w:val="20"/>
              </w:rPr>
            </w:r>
            <w:r>
              <w:rPr>
                <w:bCs/>
                <w:sz w:val="20"/>
                <w:szCs w:val="20"/>
              </w:rPr>
            </w:r>
            <w:r>
              <w:rPr>
                <w:bCs/>
                <w:sz w:val="20"/>
                <w:szCs w:val="20"/>
              </w:rPr>
            </w:r>
          </w:p>
          <w:p>
            <w:pPr>
              <w:pStyle w:val="1135"/>
              <w:jc w:val="center"/>
              <w:rPr>
                <w:bCs/>
                <w:sz w:val="20"/>
                <w:szCs w:val="20"/>
              </w:rPr>
            </w:pPr>
            <w:r>
              <w:rPr>
                <w:bCs/>
                <w:sz w:val="20"/>
                <w:szCs w:val="20"/>
              </w:rPr>
            </w:r>
            <w:r>
              <w:rPr>
                <w:bCs/>
                <w:sz w:val="20"/>
                <w:szCs w:val="20"/>
              </w:rPr>
            </w:r>
            <w:r>
              <w:rPr>
                <w:bCs/>
                <w:sz w:val="20"/>
                <w:szCs w:val="20"/>
              </w:rPr>
            </w:r>
          </w:p>
          <w:p>
            <w:pPr>
              <w:pStyle w:val="1135"/>
              <w:jc w:val="center"/>
              <w:rPr>
                <w:bCs/>
                <w:sz w:val="20"/>
                <w:szCs w:val="20"/>
              </w:rPr>
            </w:pPr>
            <w:r>
              <w:rPr>
                <w:bCs/>
                <w:sz w:val="20"/>
                <w:szCs w:val="20"/>
              </w:rPr>
            </w:r>
            <w:r>
              <w:rPr>
                <w:bCs/>
                <w:sz w:val="20"/>
                <w:szCs w:val="20"/>
              </w:rPr>
            </w:r>
            <w:r>
              <w:rPr>
                <w:bCs/>
                <w:sz w:val="20"/>
                <w:szCs w:val="20"/>
              </w:rPr>
            </w:r>
          </w:p>
          <w:p>
            <w:pPr>
              <w:pStyle w:val="1135"/>
              <w:jc w:val="center"/>
              <w:rPr>
                <w:bCs/>
                <w:sz w:val="20"/>
                <w:szCs w:val="20"/>
              </w:rPr>
            </w:pPr>
            <w:r>
              <w:rPr>
                <w:bCs/>
                <w:sz w:val="20"/>
                <w:szCs w:val="20"/>
              </w:rPr>
            </w:r>
            <w:r>
              <w:rPr>
                <w:bCs/>
                <w:sz w:val="20"/>
                <w:szCs w:val="20"/>
              </w:rPr>
            </w:r>
            <w:r>
              <w:rPr>
                <w:bCs/>
                <w:sz w:val="20"/>
                <w:szCs w:val="20"/>
              </w:rPr>
            </w:r>
          </w:p>
          <w:p>
            <w:pPr>
              <w:pStyle w:val="1135"/>
              <w:jc w:val="center"/>
              <w:rPr>
                <w:bCs/>
                <w:sz w:val="20"/>
                <w:szCs w:val="20"/>
              </w:rPr>
            </w:pPr>
            <w:r>
              <w:rPr>
                <w:bCs/>
                <w:sz w:val="20"/>
                <w:szCs w:val="20"/>
              </w:rPr>
            </w:r>
            <w:r>
              <w:rPr>
                <w:bCs/>
                <w:sz w:val="20"/>
                <w:szCs w:val="20"/>
              </w:rPr>
            </w:r>
            <w:r>
              <w:rPr>
                <w:bCs/>
                <w:sz w:val="20"/>
                <w:szCs w:val="20"/>
              </w:rPr>
            </w:r>
          </w:p>
          <w:p>
            <w:pPr>
              <w:pStyle w:val="1135"/>
              <w:jc w:val="center"/>
              <w:rPr>
                <w:bCs/>
                <w:sz w:val="20"/>
                <w:szCs w:val="20"/>
              </w:rPr>
            </w:pPr>
            <w:r>
              <w:rPr>
                <w:bCs/>
                <w:sz w:val="20"/>
                <w:szCs w:val="20"/>
              </w:rPr>
            </w:r>
            <w:r>
              <w:rPr>
                <w:bCs/>
                <w:sz w:val="20"/>
                <w:szCs w:val="20"/>
              </w:rPr>
            </w:r>
            <w:r>
              <w:rPr>
                <w:bCs/>
                <w:sz w:val="20"/>
                <w:szCs w:val="20"/>
              </w:rPr>
            </w:r>
          </w:p>
          <w:p>
            <w:pPr>
              <w:pStyle w:val="1135"/>
              <w:jc w:val="center"/>
              <w:rPr>
                <w:bCs/>
                <w:sz w:val="20"/>
                <w:szCs w:val="20"/>
              </w:rPr>
            </w:pPr>
            <w:r>
              <w:rPr>
                <w:bCs/>
                <w:sz w:val="20"/>
                <w:szCs w:val="20"/>
              </w:rPr>
            </w:r>
            <w:r>
              <w:rPr>
                <w:bCs/>
                <w:sz w:val="20"/>
                <w:szCs w:val="20"/>
              </w:rPr>
            </w:r>
            <w:r>
              <w:rPr>
                <w:bCs/>
                <w:sz w:val="20"/>
                <w:szCs w:val="20"/>
              </w:rPr>
            </w:r>
          </w:p>
          <w:p>
            <w:pPr>
              <w:pStyle w:val="1135"/>
              <w:jc w:val="center"/>
              <w:rPr>
                <w:bCs/>
                <w:sz w:val="20"/>
                <w:szCs w:val="20"/>
              </w:rPr>
            </w:pPr>
            <w:r>
              <w:rPr>
                <w:bCs/>
                <w:sz w:val="20"/>
                <w:szCs w:val="20"/>
              </w:rPr>
            </w:r>
            <w:r>
              <w:rPr>
                <w:bCs/>
                <w:sz w:val="20"/>
                <w:szCs w:val="20"/>
              </w:rPr>
            </w:r>
            <w:r>
              <w:rPr>
                <w:bCs/>
                <w:sz w:val="20"/>
                <w:szCs w:val="20"/>
              </w:rPr>
            </w:r>
          </w:p>
          <w:p>
            <w:pPr>
              <w:pStyle w:val="1135"/>
              <w:jc w:val="center"/>
              <w:rPr>
                <w:bCs/>
                <w:sz w:val="20"/>
                <w:szCs w:val="20"/>
              </w:rPr>
            </w:pPr>
            <w:r>
              <w:rPr>
                <w:bCs/>
                <w:sz w:val="20"/>
                <w:szCs w:val="20"/>
              </w:rPr>
            </w:r>
            <w:r>
              <w:rPr>
                <w:bCs/>
                <w:sz w:val="20"/>
                <w:szCs w:val="20"/>
              </w:rPr>
            </w:r>
            <w:r>
              <w:rPr>
                <w:bCs/>
                <w:sz w:val="20"/>
                <w:szCs w:val="20"/>
              </w:rPr>
            </w:r>
          </w:p>
          <w:p>
            <w:pPr>
              <w:pStyle w:val="1135"/>
              <w:jc w:val="center"/>
              <w:rPr>
                <w:bCs/>
                <w:sz w:val="20"/>
                <w:szCs w:val="20"/>
              </w:rPr>
            </w:pPr>
            <w:r>
              <w:rPr>
                <w:bCs/>
                <w:sz w:val="20"/>
                <w:szCs w:val="20"/>
              </w:rPr>
            </w:r>
            <w:r>
              <w:rPr>
                <w:bCs/>
                <w:sz w:val="20"/>
                <w:szCs w:val="20"/>
              </w:rPr>
            </w:r>
            <w:r>
              <w:rPr>
                <w:bCs/>
                <w:sz w:val="20"/>
                <w:szCs w:val="20"/>
              </w:rPr>
            </w:r>
          </w:p>
          <w:p>
            <w:pPr>
              <w:pStyle w:val="1135"/>
              <w:jc w:val="center"/>
              <w:rPr>
                <w:bCs/>
                <w:sz w:val="20"/>
                <w:szCs w:val="20"/>
              </w:rPr>
            </w:pPr>
            <w:r>
              <w:rPr>
                <w:bCs/>
                <w:sz w:val="20"/>
                <w:szCs w:val="20"/>
              </w:rPr>
            </w:r>
            <w:r>
              <w:rPr>
                <w:bCs/>
                <w:sz w:val="20"/>
                <w:szCs w:val="20"/>
              </w:rPr>
            </w:r>
            <w:r>
              <w:rPr>
                <w:bCs/>
                <w:sz w:val="20"/>
                <w:szCs w:val="20"/>
              </w:rPr>
            </w:r>
          </w:p>
          <w:p>
            <w:pPr>
              <w:pStyle w:val="1135"/>
              <w:jc w:val="center"/>
              <w:rPr>
                <w:bCs/>
                <w:sz w:val="20"/>
                <w:szCs w:val="20"/>
              </w:rPr>
            </w:pPr>
            <w:r>
              <w:rPr>
                <w:bCs/>
                <w:sz w:val="20"/>
                <w:szCs w:val="20"/>
              </w:rPr>
            </w:r>
            <w:r>
              <w:rPr>
                <w:bCs/>
                <w:sz w:val="20"/>
                <w:szCs w:val="20"/>
              </w:rPr>
            </w:r>
            <w:r>
              <w:rPr>
                <w:bCs/>
                <w:sz w:val="20"/>
                <w:szCs w:val="20"/>
              </w:rPr>
            </w:r>
          </w:p>
          <w:p>
            <w:pPr>
              <w:pStyle w:val="1135"/>
              <w:spacing w:after="240"/>
              <w:rPr>
                <w:bCs/>
                <w:sz w:val="20"/>
                <w:szCs w:val="20"/>
              </w:rPr>
            </w:pPr>
            <w:r>
              <w:rPr>
                <w:bCs/>
                <w:sz w:val="20"/>
                <w:szCs w:val="20"/>
              </w:rPr>
            </w:r>
            <w:r>
              <w:rPr>
                <w:bCs/>
                <w:sz w:val="20"/>
                <w:szCs w:val="20"/>
              </w:rPr>
            </w:r>
            <w:r>
              <w:rPr>
                <w:bCs/>
                <w:sz w:val="20"/>
                <w:szCs w:val="20"/>
              </w:rPr>
            </w:r>
          </w:p>
          <w:p>
            <w:pPr>
              <w:pStyle w:val="1135"/>
              <w:spacing w:after="240"/>
              <w:rPr>
                <w:bCs/>
                <w:sz w:val="20"/>
                <w:szCs w:val="20"/>
              </w:rPr>
            </w:pPr>
            <w:r>
              <w:rPr>
                <w:bCs/>
                <w:sz w:val="20"/>
                <w:szCs w:val="20"/>
              </w:rPr>
              <w:t xml:space="preserve">Не взимается</w:t>
            </w:r>
            <w:r>
              <w:rPr>
                <w:bCs/>
                <w:sz w:val="20"/>
                <w:szCs w:val="20"/>
              </w:rPr>
            </w:r>
            <w:r>
              <w:rPr>
                <w:bCs/>
                <w:sz w:val="20"/>
                <w:szCs w:val="20"/>
              </w:rPr>
            </w:r>
          </w:p>
        </w:tc>
        <w:tc>
          <w:tcPr>
            <w:tcBorders>
              <w:left w:val="single" w:color="000000" w:sz="4" w:space="0"/>
            </w:tcBorders>
            <w:tcW w:w="3928" w:type="dxa"/>
            <w:vAlign w:val="top"/>
            <w:vMerge w:val="continue"/>
            <w:textDirection w:val="lrTb"/>
            <w:noWrap w:val="false"/>
          </w:tcPr>
          <w:p>
            <w:pPr>
              <w:pStyle w:val="1135"/>
              <w:numPr>
                <w:ilvl w:val="0"/>
                <w:numId w:val="17"/>
              </w:numPr>
              <w:ind w:hanging="766"/>
              <w:spacing w:line="276" w:lineRule="auto"/>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tcBorders>
            <w:tcW w:w="876" w:type="dxa"/>
            <w:vAlign w:val="top"/>
            <w:textDirection w:val="lrTb"/>
            <w:noWrap w:val="false"/>
          </w:tcPr>
          <w:p>
            <w:pPr>
              <w:pStyle w:val="1135"/>
              <w:jc w:val="center"/>
              <w:spacing w:before="40" w:after="40"/>
              <w:rPr>
                <w:bCs/>
                <w:sz w:val="20"/>
                <w:szCs w:val="20"/>
              </w:rPr>
            </w:pPr>
            <w:r>
              <w:rPr>
                <w:bCs/>
                <w:sz w:val="20"/>
                <w:szCs w:val="20"/>
              </w:rPr>
              <w:t xml:space="preserve">7.3.2.</w:t>
            </w:r>
            <w:r>
              <w:rPr>
                <w:bCs/>
                <w:sz w:val="20"/>
                <w:szCs w:val="20"/>
              </w:rPr>
            </w:r>
            <w:r>
              <w:rPr>
                <w:bCs/>
                <w:sz w:val="20"/>
                <w:szCs w:val="20"/>
              </w:rPr>
            </w:r>
          </w:p>
        </w:tc>
        <w:tc>
          <w:tcPr>
            <w:tcBorders>
              <w:top w:val="single" w:color="000000" w:sz="4" w:space="0"/>
            </w:tcBorders>
            <w:tcW w:w="2854" w:type="dxa"/>
            <w:vAlign w:val="top"/>
            <w:textDirection w:val="lrTb"/>
            <w:noWrap w:val="false"/>
          </w:tcPr>
          <w:p>
            <w:pPr>
              <w:pStyle w:val="1135"/>
              <w:jc w:val="both"/>
              <w:spacing w:before="40" w:after="40"/>
              <w:rPr>
                <w:bCs/>
                <w:sz w:val="20"/>
                <w:szCs w:val="20"/>
              </w:rPr>
            </w:pPr>
            <w:r>
              <w:rPr>
                <w:bCs/>
                <w:sz w:val="20"/>
                <w:szCs w:val="20"/>
              </w:rPr>
              <w:t xml:space="preserve">При подключении более одного клиента к одному автоматизированному рабочему месту системы  ДБО «Банк-Клиент»</w:t>
            </w:r>
            <w:r>
              <w:rPr>
                <w:bCs/>
                <w:sz w:val="20"/>
                <w:szCs w:val="20"/>
              </w:rPr>
            </w:r>
            <w:r>
              <w:rPr>
                <w:bCs/>
                <w:sz w:val="20"/>
                <w:szCs w:val="20"/>
              </w:rPr>
            </w:r>
          </w:p>
        </w:tc>
        <w:tc>
          <w:tcPr>
            <w:gridSpan w:val="2"/>
            <w:tcBorders>
              <w:top w:val="single" w:color="000000" w:sz="4" w:space="0"/>
            </w:tcBorders>
            <w:tcW w:w="2407" w:type="dxa"/>
            <w:vAlign w:val="top"/>
            <w:textDirection w:val="lrTb"/>
            <w:noWrap w:val="false"/>
          </w:tcPr>
          <w:p>
            <w:pPr>
              <w:pStyle w:val="1135"/>
              <w:jc w:val="center"/>
              <w:spacing w:before="40" w:after="40"/>
              <w:rPr>
                <w:bCs/>
                <w:sz w:val="20"/>
                <w:szCs w:val="20"/>
              </w:rPr>
            </w:pPr>
            <w:r>
              <w:rPr>
                <w:bCs/>
                <w:sz w:val="20"/>
                <w:szCs w:val="20"/>
              </w:rPr>
              <w:t xml:space="preserve">2000</w:t>
            </w:r>
            <w:r>
              <w:rPr>
                <w:bCs/>
                <w:sz w:val="20"/>
                <w:szCs w:val="20"/>
              </w:rPr>
              <w:t xml:space="preserve"> руб. </w:t>
            </w:r>
            <w:r>
              <w:rPr>
                <w:bCs/>
                <w:sz w:val="20"/>
                <w:szCs w:val="20"/>
              </w:rPr>
            </w:r>
            <w:r>
              <w:rPr>
                <w:bCs/>
                <w:sz w:val="20"/>
                <w:szCs w:val="20"/>
              </w:rPr>
            </w:r>
          </w:p>
          <w:p>
            <w:pPr>
              <w:pStyle w:val="1135"/>
              <w:jc w:val="center"/>
              <w:spacing w:before="40" w:after="40"/>
              <w:rPr>
                <w:bCs/>
                <w:sz w:val="20"/>
                <w:szCs w:val="20"/>
              </w:rPr>
            </w:pPr>
            <w:r>
              <w:rPr>
                <w:bCs/>
                <w:sz w:val="20"/>
                <w:szCs w:val="20"/>
              </w:rPr>
              <w:t xml:space="preserve">в месяц с каждого клиента</w:t>
            </w:r>
            <w:r>
              <w:rPr>
                <w:bCs/>
                <w:sz w:val="20"/>
                <w:szCs w:val="20"/>
              </w:rPr>
            </w:r>
            <w:r>
              <w:rPr>
                <w:bCs/>
                <w:sz w:val="20"/>
                <w:szCs w:val="20"/>
              </w:rPr>
            </w:r>
          </w:p>
        </w:tc>
        <w:tc>
          <w:tcPr>
            <w:tcW w:w="3928" w:type="dxa"/>
            <w:vAlign w:val="top"/>
            <w:vMerge w:val="continue"/>
            <w:textDirection w:val="lrTb"/>
            <w:noWrap w:val="false"/>
          </w:tcPr>
          <w:p>
            <w:pPr>
              <w:pStyle w:val="1135"/>
              <w:numPr>
                <w:ilvl w:val="0"/>
                <w:numId w:val="17"/>
              </w:numPr>
              <w:ind w:hanging="766"/>
              <w:spacing w:before="40" w:after="40" w:line="276" w:lineRule="auto"/>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135"/>
              <w:jc w:val="center"/>
              <w:spacing w:before="40" w:after="40"/>
              <w:rPr>
                <w:bCs/>
                <w:sz w:val="20"/>
                <w:szCs w:val="20"/>
              </w:rPr>
            </w:pPr>
            <w:r>
              <w:rPr>
                <w:bCs/>
                <w:sz w:val="20"/>
                <w:szCs w:val="20"/>
              </w:rPr>
              <w:t xml:space="preserve">7.3.3.</w:t>
            </w:r>
            <w:r>
              <w:rPr>
                <w:bCs/>
                <w:sz w:val="20"/>
                <w:szCs w:val="20"/>
              </w:rPr>
            </w:r>
            <w:r>
              <w:rPr>
                <w:bCs/>
                <w:sz w:val="20"/>
                <w:szCs w:val="20"/>
              </w:rPr>
            </w:r>
          </w:p>
        </w:tc>
        <w:tc>
          <w:tcPr>
            <w:tcW w:w="2854" w:type="dxa"/>
            <w:vAlign w:val="top"/>
            <w:textDirection w:val="lrTb"/>
            <w:noWrap w:val="false"/>
          </w:tcPr>
          <w:p>
            <w:pPr>
              <w:pStyle w:val="1135"/>
              <w:jc w:val="both"/>
              <w:spacing w:before="40" w:after="40"/>
              <w:rPr>
                <w:bCs/>
                <w:sz w:val="20"/>
                <w:szCs w:val="20"/>
              </w:rPr>
            </w:pPr>
            <w:r>
              <w:rPr>
                <w:bCs/>
                <w:sz w:val="20"/>
                <w:szCs w:val="20"/>
              </w:rPr>
              <w:t xml:space="preserve">При установке одному клиенту нескольких автоматизированных рабочих мест системы ДБО «Банк-Клиент» </w:t>
            </w:r>
            <w:r>
              <w:rPr>
                <w:bCs/>
                <w:sz w:val="20"/>
                <w:szCs w:val="20"/>
              </w:rPr>
            </w:r>
            <w:r>
              <w:rPr>
                <w:bCs/>
                <w:sz w:val="20"/>
                <w:szCs w:val="20"/>
              </w:rPr>
            </w:r>
          </w:p>
        </w:tc>
        <w:tc>
          <w:tcPr>
            <w:gridSpan w:val="2"/>
            <w:tcW w:w="2407" w:type="dxa"/>
            <w:vAlign w:val="top"/>
            <w:textDirection w:val="lrTb"/>
            <w:noWrap w:val="false"/>
          </w:tcPr>
          <w:p>
            <w:pPr>
              <w:pStyle w:val="1135"/>
              <w:jc w:val="center"/>
              <w:spacing w:before="40"/>
              <w:rPr>
                <w:bCs/>
                <w:sz w:val="20"/>
                <w:szCs w:val="20"/>
              </w:rPr>
            </w:pPr>
            <w:r>
              <w:rPr>
                <w:bCs/>
                <w:sz w:val="20"/>
                <w:szCs w:val="20"/>
              </w:rPr>
              <w:t xml:space="preserve">2000</w:t>
            </w:r>
            <w:r>
              <w:rPr>
                <w:bCs/>
                <w:sz w:val="20"/>
                <w:szCs w:val="20"/>
              </w:rPr>
              <w:t xml:space="preserve"> руб. </w:t>
            </w:r>
            <w:r>
              <w:rPr>
                <w:bCs/>
                <w:sz w:val="20"/>
                <w:szCs w:val="20"/>
              </w:rPr>
            </w:r>
            <w:r>
              <w:rPr>
                <w:bCs/>
                <w:sz w:val="20"/>
                <w:szCs w:val="20"/>
              </w:rPr>
            </w:r>
          </w:p>
          <w:p>
            <w:pPr>
              <w:pStyle w:val="1135"/>
              <w:jc w:val="center"/>
              <w:rPr>
                <w:bCs/>
                <w:sz w:val="20"/>
                <w:szCs w:val="20"/>
              </w:rPr>
            </w:pPr>
            <w:r>
              <w:rPr>
                <w:bCs/>
                <w:sz w:val="20"/>
                <w:szCs w:val="20"/>
              </w:rPr>
              <w:t xml:space="preserve">в месяц за каждое автоматизированное рабочее место, </w:t>
            </w:r>
            <w:r>
              <w:rPr>
                <w:bCs/>
                <w:sz w:val="20"/>
                <w:szCs w:val="20"/>
              </w:rPr>
            </w:r>
            <w:r>
              <w:rPr>
                <w:bCs/>
                <w:sz w:val="20"/>
                <w:szCs w:val="20"/>
              </w:rPr>
            </w:r>
          </w:p>
          <w:p>
            <w:pPr>
              <w:pStyle w:val="1135"/>
              <w:jc w:val="center"/>
              <w:rPr>
                <w:bCs/>
                <w:sz w:val="20"/>
                <w:szCs w:val="20"/>
              </w:rPr>
            </w:pPr>
            <w:r>
              <w:rPr>
                <w:bCs/>
                <w:sz w:val="20"/>
                <w:szCs w:val="20"/>
              </w:rPr>
              <w:t xml:space="preserve">но не более </w:t>
            </w:r>
            <w:r>
              <w:rPr>
                <w:bCs/>
                <w:sz w:val="20"/>
                <w:szCs w:val="20"/>
              </w:rPr>
              <w:t xml:space="preserve">50</w:t>
            </w:r>
            <w:r>
              <w:rPr>
                <w:bCs/>
                <w:sz w:val="20"/>
                <w:szCs w:val="20"/>
              </w:rPr>
              <w:t xml:space="preserve">00 руб. с одного клиента</w:t>
            </w:r>
            <w:r>
              <w:rPr>
                <w:bCs/>
                <w:sz w:val="20"/>
                <w:szCs w:val="20"/>
              </w:rPr>
            </w:r>
            <w:r>
              <w:rPr>
                <w:bCs/>
                <w:sz w:val="20"/>
                <w:szCs w:val="20"/>
              </w:rPr>
            </w:r>
          </w:p>
        </w:tc>
        <w:tc>
          <w:tcPr>
            <w:tcW w:w="3928" w:type="dxa"/>
            <w:vAlign w:val="top"/>
            <w:vMerge w:val="continue"/>
            <w:textDirection w:val="lrTb"/>
            <w:noWrap w:val="false"/>
          </w:tcPr>
          <w:p>
            <w:pPr>
              <w:pStyle w:val="1135"/>
              <w:numPr>
                <w:ilvl w:val="0"/>
                <w:numId w:val="17"/>
              </w:numPr>
              <w:ind w:hanging="766"/>
              <w:spacing w:before="40" w:after="40" w:line="276" w:lineRule="auto"/>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76" w:type="dxa"/>
            <w:vAlign w:val="top"/>
            <w:textDirection w:val="lrTb"/>
            <w:noWrap w:val="false"/>
          </w:tcPr>
          <w:p>
            <w:pPr>
              <w:pStyle w:val="1135"/>
              <w:jc w:val="center"/>
              <w:spacing w:before="40" w:after="40"/>
              <w:rPr>
                <w:bCs/>
                <w:sz w:val="20"/>
                <w:szCs w:val="20"/>
              </w:rPr>
            </w:pPr>
            <w:r>
              <w:rPr>
                <w:bCs/>
                <w:sz w:val="20"/>
                <w:szCs w:val="20"/>
              </w:rPr>
              <w:t xml:space="preserve">7.4.</w:t>
            </w:r>
            <w:r>
              <w:rPr>
                <w:bCs/>
                <w:sz w:val="20"/>
                <w:szCs w:val="20"/>
              </w:rPr>
            </w:r>
            <w:r>
              <w:rPr>
                <w:bCs/>
                <w:sz w:val="20"/>
                <w:szCs w:val="20"/>
              </w:rPr>
            </w:r>
          </w:p>
        </w:tc>
        <w:tc>
          <w:tcPr>
            <w:gridSpan w:val="4"/>
            <w:tcW w:w="9189" w:type="dxa"/>
            <w:vAlign w:val="top"/>
            <w:textDirection w:val="lrTb"/>
            <w:noWrap w:val="false"/>
          </w:tcPr>
          <w:p>
            <w:pPr>
              <w:pStyle w:val="1135"/>
              <w:jc w:val="both"/>
              <w:spacing w:before="40" w:after="40"/>
              <w:rPr>
                <w:bCs/>
                <w:sz w:val="20"/>
                <w:szCs w:val="20"/>
              </w:rPr>
            </w:pPr>
            <w:r>
              <w:rPr>
                <w:bCs/>
                <w:sz w:val="20"/>
                <w:szCs w:val="20"/>
              </w:rPr>
              <w:t xml:space="preserve">Сопровождение криптографической защиты информации</w:t>
            </w:r>
            <w:r>
              <w:rPr>
                <w:bCs/>
                <w:sz w:val="20"/>
                <w:szCs w:val="20"/>
              </w:rPr>
            </w:r>
            <w:r>
              <w:rPr>
                <w:bCs/>
                <w:sz w:val="20"/>
                <w:szCs w:val="20"/>
              </w:rPr>
            </w:r>
          </w:p>
        </w:tc>
      </w:tr>
      <w:tr>
        <w:tblPrEx/>
        <w:trPr/>
        <w:tc>
          <w:tcPr>
            <w:tcBorders>
              <w:top w:val="single" w:color="000000" w:sz="4" w:space="0"/>
              <w:left w:val="single" w:color="000000" w:sz="4" w:space="0"/>
              <w:right w:val="single" w:color="000000" w:sz="4" w:space="0"/>
            </w:tcBorders>
            <w:tcW w:w="876" w:type="dxa"/>
            <w:vAlign w:val="top"/>
            <w:textDirection w:val="lrTb"/>
            <w:noWrap w:val="false"/>
          </w:tcPr>
          <w:p>
            <w:pPr>
              <w:pStyle w:val="1135"/>
              <w:jc w:val="center"/>
              <w:spacing w:before="40" w:after="40"/>
              <w:rPr>
                <w:bCs/>
                <w:sz w:val="20"/>
                <w:szCs w:val="20"/>
              </w:rPr>
            </w:pPr>
            <w:r>
              <w:rPr>
                <w:bCs/>
                <w:sz w:val="20"/>
                <w:szCs w:val="20"/>
              </w:rPr>
              <w:t xml:space="preserve">7.4.1.</w:t>
            </w:r>
            <w:r>
              <w:rPr>
                <w:bCs/>
                <w:sz w:val="20"/>
                <w:szCs w:val="20"/>
              </w:rPr>
            </w:r>
            <w:r>
              <w:rPr>
                <w:bCs/>
                <w:sz w:val="20"/>
                <w:szCs w:val="20"/>
              </w:rPr>
            </w:r>
          </w:p>
        </w:tc>
        <w:tc>
          <w:tcPr>
            <w:tcBorders>
              <w:top w:val="single" w:color="000000" w:sz="4" w:space="0"/>
              <w:left w:val="single" w:color="000000" w:sz="4" w:space="0"/>
              <w:right w:val="single" w:color="000000" w:sz="4" w:space="0"/>
            </w:tcBorders>
            <w:tcW w:w="2854" w:type="dxa"/>
            <w:vAlign w:val="top"/>
            <w:textDirection w:val="lrTb"/>
            <w:noWrap w:val="false"/>
          </w:tcPr>
          <w:p>
            <w:pPr>
              <w:pStyle w:val="1135"/>
              <w:spacing w:before="40" w:after="40"/>
              <w:rPr>
                <w:rFonts w:eastAsia="Calibri"/>
                <w:sz w:val="20"/>
                <w:szCs w:val="20"/>
                <w:lang w:eastAsia="en-US"/>
              </w:rPr>
            </w:pPr>
            <w:r>
              <w:rPr>
                <w:rFonts w:eastAsia="Calibri"/>
                <w:sz w:val="20"/>
                <w:szCs w:val="20"/>
                <w:lang w:eastAsia="en-US"/>
              </w:rPr>
              <w:t xml:space="preserve">Формирование одного временного сертификата ключа проверки электронной подписи на ключевом носителе Банка</w:t>
            </w:r>
            <w:r>
              <w:rPr>
                <w:rFonts w:eastAsia="Calibri"/>
                <w:sz w:val="20"/>
                <w:szCs w:val="20"/>
                <w:lang w:eastAsia="en-US"/>
              </w:rPr>
            </w:r>
            <w:r>
              <w:rPr>
                <w:rFonts w:eastAsia="Calibri"/>
                <w:sz w:val="20"/>
                <w:szCs w:val="20"/>
                <w:lang w:eastAsia="en-US"/>
              </w:rPr>
            </w:r>
          </w:p>
        </w:tc>
        <w:tc>
          <w:tcPr>
            <w:gridSpan w:val="2"/>
            <w:tcBorders>
              <w:top w:val="single" w:color="000000" w:sz="4" w:space="0"/>
              <w:left w:val="single" w:color="000000" w:sz="4" w:space="0"/>
              <w:right w:val="single" w:color="000000" w:sz="4" w:space="0"/>
            </w:tcBorders>
            <w:tcW w:w="2407" w:type="dxa"/>
            <w:vAlign w:val="top"/>
            <w:textDirection w:val="lrTb"/>
            <w:noWrap w:val="false"/>
          </w:tcPr>
          <w:p>
            <w:pPr>
              <w:pStyle w:val="1135"/>
              <w:jc w:val="center"/>
              <w:spacing w:before="40" w:after="40"/>
              <w:rPr>
                <w:rFonts w:eastAsia="Calibri"/>
                <w:sz w:val="20"/>
                <w:szCs w:val="20"/>
                <w:lang w:eastAsia="en-US"/>
              </w:rPr>
            </w:pPr>
            <w:r>
              <w:rPr>
                <w:rFonts w:eastAsia="Calibri"/>
                <w:sz w:val="20"/>
                <w:szCs w:val="20"/>
                <w:lang w:eastAsia="en-US"/>
              </w:rPr>
              <w:t xml:space="preserve">2</w:t>
            </w:r>
            <w:r>
              <w:rPr>
                <w:rFonts w:eastAsia="Calibri"/>
                <w:sz w:val="20"/>
                <w:szCs w:val="20"/>
                <w:lang w:eastAsia="en-US"/>
              </w:rPr>
              <w:t xml:space="preserve"> </w:t>
            </w:r>
            <w:r>
              <w:rPr>
                <w:rFonts w:eastAsia="Calibri"/>
                <w:sz w:val="20"/>
                <w:szCs w:val="20"/>
                <w:lang w:eastAsia="en-US"/>
              </w:rPr>
              <w:t xml:space="preserve">0</w:t>
            </w:r>
            <w:r>
              <w:rPr>
                <w:rFonts w:eastAsia="Calibri"/>
                <w:sz w:val="20"/>
                <w:szCs w:val="20"/>
                <w:lang w:eastAsia="en-US"/>
              </w:rPr>
              <w:t xml:space="preserve">5</w:t>
            </w:r>
            <w:r>
              <w:rPr>
                <w:rFonts w:eastAsia="Calibri"/>
                <w:sz w:val="20"/>
                <w:szCs w:val="20"/>
                <w:lang w:eastAsia="en-US"/>
              </w:rPr>
              <w:t xml:space="preserve">0 руб.</w:t>
            </w:r>
            <w:r>
              <w:rPr>
                <w:rFonts w:eastAsia="Calibri"/>
                <w:sz w:val="20"/>
                <w:szCs w:val="20"/>
                <w:lang w:eastAsia="en-US"/>
              </w:rPr>
            </w:r>
            <w:r>
              <w:rPr>
                <w:rFonts w:eastAsia="Calibri"/>
                <w:sz w:val="20"/>
                <w:szCs w:val="20"/>
                <w:lang w:eastAsia="en-US"/>
              </w:rPr>
            </w:r>
          </w:p>
        </w:tc>
        <w:tc>
          <w:tcPr>
            <w:tcBorders>
              <w:top w:val="single" w:color="000000" w:sz="4" w:space="0"/>
              <w:left w:val="single" w:color="000000" w:sz="4" w:space="0"/>
              <w:right w:val="single" w:color="000000" w:sz="4" w:space="0"/>
            </w:tcBorders>
            <w:tcW w:w="3928" w:type="dxa"/>
            <w:vAlign w:val="top"/>
            <w:vMerge w:val="restart"/>
            <w:textDirection w:val="lrTb"/>
            <w:noWrap w:val="false"/>
          </w:tcPr>
          <w:p>
            <w:pPr>
              <w:pStyle w:val="1135"/>
              <w:jc w:val="both"/>
              <w:spacing w:before="40"/>
              <w:rPr>
                <w:rFonts w:eastAsia="Calibri"/>
                <w:sz w:val="20"/>
                <w:szCs w:val="20"/>
              </w:rPr>
            </w:pPr>
            <w:r>
              <w:rPr>
                <w:rFonts w:eastAsia="Calibri"/>
                <w:sz w:val="20"/>
                <w:szCs w:val="20"/>
              </w:rPr>
              <w:t xml:space="preserve">Комиссия взимается не позднее рабочего дня, следующего за днем подачи клиентом заявления на регистрацию субъекта информационного обмена в Удостоверяющем центре АО «Россельхозбанк».</w:t>
            </w:r>
            <w:r>
              <w:rPr>
                <w:rFonts w:eastAsia="Calibri"/>
                <w:sz w:val="20"/>
                <w:szCs w:val="20"/>
              </w:rPr>
            </w:r>
            <w:r>
              <w:rPr>
                <w:rFonts w:eastAsia="Calibri"/>
                <w:sz w:val="20"/>
                <w:szCs w:val="20"/>
              </w:rPr>
            </w:r>
          </w:p>
          <w:p>
            <w:pPr>
              <w:pStyle w:val="1135"/>
              <w:jc w:val="both"/>
              <w:rPr>
                <w:bCs/>
                <w:sz w:val="20"/>
                <w:szCs w:val="20"/>
              </w:rPr>
            </w:pPr>
            <w:r>
              <w:rPr>
                <w:bCs/>
                <w:sz w:val="20"/>
                <w:szCs w:val="20"/>
              </w:rPr>
              <w:t xml:space="preserve">Услуга не предоставляется при подключении к системе  «Интернет-Клиент»</w:t>
            </w:r>
            <w:r>
              <w:rPr>
                <w:bCs/>
                <w:sz w:val="20"/>
                <w:szCs w:val="20"/>
              </w:rPr>
              <w:t xml:space="preserve">/»Свой Бизнес»</w:t>
            </w:r>
            <w:r>
              <w:rPr>
                <w:bCs/>
                <w:sz w:val="20"/>
                <w:szCs w:val="20"/>
              </w:rPr>
              <w:t xml:space="preserve"> с использованием Личного кабинета.</w:t>
            </w:r>
            <w:r>
              <w:rPr>
                <w:bCs/>
                <w:sz w:val="20"/>
                <w:szCs w:val="20"/>
              </w:rPr>
            </w:r>
            <w:r>
              <w:rPr>
                <w:bCs/>
                <w:sz w:val="20"/>
                <w:szCs w:val="20"/>
              </w:rPr>
            </w:r>
          </w:p>
          <w:p>
            <w:pPr>
              <w:pStyle w:val="1135"/>
              <w:jc w:val="both"/>
              <w:rPr>
                <w:bCs/>
                <w:sz w:val="20"/>
                <w:szCs w:val="20"/>
              </w:rPr>
            </w:pPr>
            <w:r>
              <w:rPr>
                <w:bCs/>
                <w:sz w:val="20"/>
                <w:szCs w:val="20"/>
              </w:rPr>
              <w:t xml:space="preserve">Тариф включает в себя НДС (дополнительно не взимается)</w:t>
            </w:r>
            <w:r>
              <w:rPr>
                <w:bCs/>
                <w:sz w:val="20"/>
                <w:szCs w:val="20"/>
              </w:rPr>
              <w:t xml:space="preserve">.</w:t>
            </w:r>
            <w:r>
              <w:rPr>
                <w:bCs/>
                <w:sz w:val="20"/>
                <w:szCs w:val="20"/>
              </w:rPr>
            </w:r>
            <w:r>
              <w:rPr>
                <w:bCs/>
                <w:sz w:val="20"/>
                <w:szCs w:val="20"/>
              </w:rPr>
            </w:r>
          </w:p>
          <w:p>
            <w:pPr>
              <w:pStyle w:val="1135"/>
              <w:jc w:val="both"/>
              <w:rPr>
                <w:bCs/>
                <w:sz w:val="20"/>
                <w:szCs w:val="20"/>
              </w:rPr>
            </w:pPr>
            <w:r>
              <w:rPr>
                <w:bCs/>
                <w:sz w:val="20"/>
                <w:szCs w:val="20"/>
              </w:rPr>
            </w:r>
            <w:r>
              <w:rPr>
                <w:bCs/>
                <w:sz w:val="20"/>
                <w:szCs w:val="20"/>
              </w:rPr>
            </w:r>
            <w:r>
              <w:rPr>
                <w:bCs/>
                <w:sz w:val="20"/>
                <w:szCs w:val="20"/>
              </w:rPr>
            </w:r>
          </w:p>
          <w:p>
            <w:pPr>
              <w:pStyle w:val="1135"/>
              <w:ind w:firstLine="709"/>
              <w:jc w:val="both"/>
              <w:tabs>
                <w:tab w:val="left" w:pos="1134" w:leader="none"/>
              </w:tabs>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p>
            <w:pPr>
              <w:pStyle w:val="1135"/>
              <w:jc w:val="both"/>
              <w:rPr>
                <w:bCs/>
                <w:sz w:val="20"/>
                <w:szCs w:val="20"/>
              </w:rPr>
            </w:pPr>
            <w:r>
              <w:rPr>
                <w:bCs/>
                <w:sz w:val="20"/>
                <w:szCs w:val="20"/>
              </w:rPr>
            </w:r>
            <w:r>
              <w:rPr>
                <w:bCs/>
                <w:sz w:val="20"/>
                <w:szCs w:val="20"/>
              </w:rPr>
            </w:r>
            <w:r>
              <w:rPr>
                <w:bCs/>
                <w:sz w:val="20"/>
                <w:szCs w:val="20"/>
              </w:rPr>
            </w:r>
          </w:p>
        </w:tc>
      </w:tr>
      <w:tr>
        <w:tblPrEx/>
        <w:trPr/>
        <w:tc>
          <w:tcPr>
            <w:tcBorders>
              <w:left w:val="single" w:color="000000" w:sz="4" w:space="0"/>
              <w:right w:val="single" w:color="000000" w:sz="4" w:space="0"/>
            </w:tcBorders>
            <w:tcW w:w="876" w:type="dxa"/>
            <w:vAlign w:val="top"/>
            <w:textDirection w:val="lrTb"/>
            <w:noWrap w:val="false"/>
          </w:tcPr>
          <w:p>
            <w:pPr>
              <w:pStyle w:val="1135"/>
              <w:jc w:val="center"/>
              <w:spacing w:before="40" w:after="40"/>
              <w:rPr>
                <w:bCs/>
                <w:sz w:val="20"/>
                <w:szCs w:val="20"/>
              </w:rPr>
            </w:pPr>
            <w:r>
              <w:rPr>
                <w:bCs/>
                <w:sz w:val="20"/>
                <w:szCs w:val="20"/>
              </w:rPr>
            </w:r>
            <w:r>
              <w:rPr>
                <w:bCs/>
                <w:sz w:val="20"/>
                <w:szCs w:val="20"/>
              </w:rPr>
            </w:r>
            <w:r>
              <w:rPr>
                <w:bCs/>
                <w:sz w:val="20"/>
                <w:szCs w:val="20"/>
              </w:rPr>
            </w:r>
          </w:p>
        </w:tc>
        <w:tc>
          <w:tcPr>
            <w:tcBorders>
              <w:left w:val="single" w:color="000000" w:sz="4" w:space="0"/>
              <w:right w:val="single" w:color="000000" w:sz="4" w:space="0"/>
            </w:tcBorders>
            <w:tcW w:w="2854" w:type="dxa"/>
            <w:vAlign w:val="top"/>
            <w:textDirection w:val="lrTb"/>
            <w:noWrap w:val="false"/>
          </w:tcPr>
          <w:p>
            <w:pPr>
              <w:pStyle w:val="1135"/>
              <w:jc w:val="both"/>
              <w:spacing w:before="40" w:after="40"/>
              <w:rPr>
                <w:bCs/>
                <w:sz w:val="20"/>
                <w:szCs w:val="20"/>
              </w:rPr>
            </w:pPr>
            <w:r>
              <w:rPr>
                <w:bCs/>
                <w:sz w:val="20"/>
                <w:szCs w:val="20"/>
              </w:rPr>
              <w:t xml:space="preserve">-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w:t>
            </w:r>
            <w:r>
              <w:rPr>
                <w:bCs/>
                <w:sz w:val="20"/>
                <w:szCs w:val="20"/>
              </w:rPr>
            </w:r>
            <w:r>
              <w:rPr>
                <w:bCs/>
                <w:sz w:val="20"/>
                <w:szCs w:val="20"/>
              </w:rPr>
            </w:r>
          </w:p>
        </w:tc>
        <w:tc>
          <w:tcPr>
            <w:gridSpan w:val="2"/>
            <w:tcBorders>
              <w:left w:val="single" w:color="000000" w:sz="4" w:space="0"/>
              <w:right w:val="single" w:color="000000" w:sz="4" w:space="0"/>
            </w:tcBorders>
            <w:tcW w:w="2407" w:type="dxa"/>
            <w:vAlign w:val="top"/>
            <w:textDirection w:val="lrTb"/>
            <w:noWrap w:val="false"/>
          </w:tcPr>
          <w:p>
            <w:pPr>
              <w:pStyle w:val="1135"/>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Borders>
              <w:left w:val="single" w:color="000000" w:sz="4" w:space="0"/>
              <w:right w:val="single" w:color="000000" w:sz="4" w:space="0"/>
            </w:tcBorders>
            <w:tcW w:w="3928" w:type="dxa"/>
            <w:vAlign w:val="top"/>
            <w:vMerge w:val="continue"/>
            <w:textDirection w:val="lrTb"/>
            <w:noWrap w:val="false"/>
          </w:tcPr>
          <w:p>
            <w:pPr>
              <w:pStyle w:val="1135"/>
              <w:jc w:val="both"/>
              <w:spacing w:before="40" w:after="40"/>
              <w:rPr>
                <w:bCs/>
                <w:sz w:val="20"/>
                <w:szCs w:val="20"/>
              </w:rPr>
            </w:pPr>
            <w:r>
              <w:rPr>
                <w:bCs/>
                <w:sz w:val="20"/>
                <w:szCs w:val="20"/>
              </w:rPr>
            </w:r>
            <w:r>
              <w:rPr>
                <w:bCs/>
                <w:sz w:val="20"/>
                <w:szCs w:val="20"/>
              </w:rPr>
            </w:r>
            <w:r>
              <w:rPr>
                <w:bCs/>
                <w:sz w:val="20"/>
                <w:szCs w:val="20"/>
              </w:rPr>
            </w:r>
          </w:p>
        </w:tc>
      </w:tr>
      <w:tr>
        <w:tblPrEx/>
        <w:trPr/>
        <w:tc>
          <w:tcPr>
            <w:tcBorders>
              <w:left w:val="single" w:color="000000" w:sz="4" w:space="0"/>
              <w:bottom w:val="single" w:color="000000" w:sz="4" w:space="0"/>
              <w:right w:val="single" w:color="000000" w:sz="4" w:space="0"/>
            </w:tcBorders>
            <w:tcW w:w="876" w:type="dxa"/>
            <w:vAlign w:val="top"/>
            <w:textDirection w:val="lrTb"/>
            <w:noWrap w:val="false"/>
          </w:tcPr>
          <w:p>
            <w:pPr>
              <w:pStyle w:val="1135"/>
              <w:jc w:val="center"/>
              <w:spacing w:before="40" w:after="40"/>
              <w:rPr>
                <w:bCs/>
                <w:sz w:val="20"/>
                <w:szCs w:val="20"/>
              </w:rPr>
            </w:pPr>
            <w:r>
              <w:rPr>
                <w:bCs/>
                <w:sz w:val="20"/>
                <w:szCs w:val="20"/>
              </w:rPr>
            </w:r>
            <w:r>
              <w:rPr>
                <w:bCs/>
                <w:sz w:val="20"/>
                <w:szCs w:val="20"/>
              </w:rPr>
            </w:r>
            <w:r>
              <w:rPr>
                <w:bCs/>
                <w:sz w:val="20"/>
                <w:szCs w:val="20"/>
              </w:rPr>
            </w:r>
          </w:p>
        </w:tc>
        <w:tc>
          <w:tcPr>
            <w:tcBorders>
              <w:left w:val="single" w:color="000000" w:sz="4" w:space="0"/>
              <w:bottom w:val="single" w:color="000000" w:sz="4" w:space="0"/>
              <w:right w:val="single" w:color="000000" w:sz="4" w:space="0"/>
            </w:tcBorders>
            <w:tcW w:w="2854" w:type="dxa"/>
            <w:vAlign w:val="top"/>
            <w:textDirection w:val="lrTb"/>
            <w:noWrap w:val="false"/>
          </w:tcPr>
          <w:p>
            <w:pPr>
              <w:pStyle w:val="1135"/>
              <w:jc w:val="both"/>
              <w:spacing w:before="40" w:after="40"/>
              <w:rPr>
                <w:bCs/>
                <w:sz w:val="20"/>
                <w:szCs w:val="20"/>
              </w:rPr>
            </w:pPr>
            <w:r>
              <w:rPr>
                <w:bCs/>
                <w:sz w:val="20"/>
                <w:szCs w:val="20"/>
              </w:rPr>
              <w:t xml:space="preserve">- для клиентов, являющихся садоводческими или огородническими некоммерческими товариществами в соответствии с Федеральным законом от 29.07.2017 </w:t>
            </w:r>
            <w:r>
              <w:rPr>
                <w:bCs/>
                <w:sz w:val="20"/>
                <w:szCs w:val="20"/>
              </w:rPr>
            </w:r>
            <w:r>
              <w:rPr>
                <w:bCs/>
                <w:sz w:val="20"/>
                <w:szCs w:val="20"/>
              </w:rPr>
            </w:r>
          </w:p>
          <w:p>
            <w:pPr>
              <w:pStyle w:val="1135"/>
              <w:jc w:val="both"/>
              <w:spacing w:before="40" w:after="40"/>
              <w:rPr>
                <w:bCs/>
                <w:sz w:val="20"/>
                <w:szCs w:val="20"/>
              </w:rPr>
            </w:pPr>
            <w:r>
              <w:rPr>
                <w:bCs/>
                <w:sz w:val="20"/>
                <w:szCs w:val="20"/>
              </w:rPr>
              <w:t xml:space="preserve">№ 217-ФЗ «О ведении гражданами садоводства и огородничества для собственных нужд и о внесении изменений в отдельные законодательные акты Р</w:t>
            </w:r>
            <w:r>
              <w:rPr>
                <w:bCs/>
                <w:sz w:val="20"/>
                <w:szCs w:val="20"/>
              </w:rPr>
              <w:t xml:space="preserve">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r>
              <w:rPr>
                <w:bCs/>
                <w:sz w:val="20"/>
                <w:szCs w:val="20"/>
              </w:rPr>
            </w:r>
            <w:r>
              <w:rPr>
                <w:bCs/>
                <w:sz w:val="20"/>
                <w:szCs w:val="20"/>
              </w:rPr>
            </w:r>
          </w:p>
        </w:tc>
        <w:tc>
          <w:tcPr>
            <w:gridSpan w:val="2"/>
            <w:tcBorders>
              <w:left w:val="single" w:color="000000" w:sz="4" w:space="0"/>
              <w:bottom w:val="single" w:color="000000" w:sz="4" w:space="0"/>
              <w:right w:val="single" w:color="000000" w:sz="4" w:space="0"/>
            </w:tcBorders>
            <w:tcW w:w="2407" w:type="dxa"/>
            <w:vAlign w:val="top"/>
            <w:textDirection w:val="lrTb"/>
            <w:noWrap w:val="false"/>
          </w:tcPr>
          <w:p>
            <w:pPr>
              <w:pStyle w:val="1135"/>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Borders>
              <w:left w:val="single" w:color="000000" w:sz="4" w:space="0"/>
              <w:bottom w:val="single" w:color="000000" w:sz="4" w:space="0"/>
              <w:right w:val="single" w:color="000000" w:sz="4" w:space="0"/>
            </w:tcBorders>
            <w:tcW w:w="3928" w:type="dxa"/>
            <w:vAlign w:val="top"/>
            <w:textDirection w:val="lrTb"/>
            <w:noWrap w:val="false"/>
          </w:tcPr>
          <w:p>
            <w:pPr>
              <w:pStyle w:val="1135"/>
              <w:jc w:val="both"/>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tcBorders>
            <w:tcW w:w="876" w:type="dxa"/>
            <w:vAlign w:val="top"/>
            <w:textDirection w:val="lrTb"/>
            <w:noWrap w:val="false"/>
          </w:tcPr>
          <w:p>
            <w:pPr>
              <w:pStyle w:val="1135"/>
              <w:jc w:val="center"/>
              <w:spacing w:before="40" w:after="40"/>
              <w:rPr>
                <w:bCs/>
                <w:sz w:val="20"/>
                <w:szCs w:val="20"/>
              </w:rPr>
            </w:pPr>
            <w:r>
              <w:rPr>
                <w:bCs/>
                <w:sz w:val="20"/>
                <w:szCs w:val="20"/>
              </w:rPr>
              <w:t xml:space="preserve">7.4.1.1.</w:t>
            </w:r>
            <w:r>
              <w:rPr>
                <w:bCs/>
                <w:sz w:val="20"/>
                <w:szCs w:val="20"/>
              </w:rPr>
            </w:r>
            <w:r>
              <w:rPr>
                <w:bCs/>
                <w:sz w:val="20"/>
                <w:szCs w:val="20"/>
              </w:rPr>
            </w:r>
          </w:p>
        </w:tc>
        <w:tc>
          <w:tcPr>
            <w:tcBorders>
              <w:top w:val="single" w:color="000000" w:sz="4" w:space="0"/>
            </w:tcBorders>
            <w:tcW w:w="2854" w:type="dxa"/>
            <w:vAlign w:val="top"/>
            <w:textDirection w:val="lrTb"/>
            <w:noWrap w:val="false"/>
          </w:tcPr>
          <w:p>
            <w:pPr>
              <w:pStyle w:val="1135"/>
              <w:jc w:val="both"/>
              <w:spacing w:before="40" w:after="40"/>
              <w:rPr>
                <w:bCs/>
                <w:sz w:val="20"/>
                <w:szCs w:val="20"/>
              </w:rPr>
            </w:pPr>
            <w:r>
              <w:rPr>
                <w:bCs/>
                <w:sz w:val="20"/>
                <w:szCs w:val="20"/>
              </w:rPr>
              <w:t xml:space="preserve">Формирование одного постоянного сертификата ключа проверки электронной подписи по запросу клиента</w:t>
            </w:r>
            <w:r>
              <w:rPr>
                <w:bCs/>
                <w:sz w:val="20"/>
                <w:szCs w:val="20"/>
              </w:rPr>
            </w:r>
            <w:r>
              <w:rPr>
                <w:bCs/>
                <w:sz w:val="20"/>
                <w:szCs w:val="20"/>
              </w:rPr>
            </w:r>
          </w:p>
        </w:tc>
        <w:tc>
          <w:tcPr>
            <w:gridSpan w:val="2"/>
            <w:tcBorders>
              <w:top w:val="single" w:color="000000" w:sz="4" w:space="0"/>
            </w:tcBorders>
            <w:tcW w:w="2407" w:type="dxa"/>
            <w:vAlign w:val="top"/>
            <w:textDirection w:val="lrTb"/>
            <w:noWrap w:val="false"/>
          </w:tcPr>
          <w:p>
            <w:pPr>
              <w:pStyle w:val="1135"/>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Borders>
              <w:top w:val="single" w:color="000000" w:sz="4" w:space="0"/>
            </w:tcBorders>
            <w:tcW w:w="3928" w:type="dxa"/>
            <w:vAlign w:val="top"/>
            <w:textDirection w:val="lrTb"/>
            <w:noWrap w:val="false"/>
          </w:tcPr>
          <w:p>
            <w:pPr>
              <w:pStyle w:val="1135"/>
              <w:jc w:val="both"/>
              <w:spacing w:before="40"/>
              <w:rPr>
                <w:bCs/>
                <w:sz w:val="20"/>
                <w:szCs w:val="20"/>
              </w:rPr>
            </w:pPr>
            <w:r>
              <w:rPr>
                <w:bCs/>
                <w:sz w:val="20"/>
                <w:szCs w:val="20"/>
              </w:rPr>
              <w:t xml:space="preserve">Услуга предоставляется клиенту после выполнения условий по п. 7.4.1.</w:t>
            </w:r>
            <w:r>
              <w:rPr>
                <w:bCs/>
                <w:sz w:val="20"/>
                <w:szCs w:val="20"/>
              </w:rPr>
            </w:r>
            <w:r>
              <w:rPr>
                <w:bCs/>
                <w:sz w:val="20"/>
                <w:szCs w:val="20"/>
              </w:rPr>
            </w:r>
          </w:p>
          <w:p>
            <w:pPr>
              <w:pStyle w:val="1135"/>
              <w:jc w:val="both"/>
              <w:spacing w:after="40"/>
              <w:rPr>
                <w:bCs/>
                <w:sz w:val="20"/>
                <w:szCs w:val="20"/>
              </w:rPr>
            </w:pPr>
            <w:r>
              <w:rPr>
                <w:bCs/>
                <w:sz w:val="20"/>
                <w:szCs w:val="20"/>
              </w:rPr>
              <w:t xml:space="preserve">При подключении к системе «Интернет-Клиент» с использованием Личного кабинета услуга предоставляется в соответствии с        п. 7.4.2</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bottom w:val="single" w:color="000000" w:sz="4" w:space="0"/>
            </w:tcBorders>
            <w:tcW w:w="876" w:type="dxa"/>
            <w:vAlign w:val="top"/>
            <w:textDirection w:val="lrTb"/>
            <w:noWrap w:val="false"/>
          </w:tcPr>
          <w:p>
            <w:pPr>
              <w:pStyle w:val="1135"/>
              <w:jc w:val="center"/>
              <w:spacing w:before="40" w:after="40"/>
              <w:rPr>
                <w:rFonts w:eastAsia="Calibri"/>
                <w:sz w:val="20"/>
                <w:szCs w:val="20"/>
                <w:lang w:eastAsia="en-US"/>
              </w:rPr>
            </w:pPr>
            <w:r>
              <w:rPr>
                <w:rFonts w:eastAsia="Calibri"/>
                <w:sz w:val="20"/>
                <w:szCs w:val="20"/>
                <w:lang w:eastAsia="en-US"/>
              </w:rPr>
              <w:t xml:space="preserve">7.4.1.2.</w:t>
            </w:r>
            <w:r>
              <w:rPr>
                <w:rFonts w:eastAsia="Calibri"/>
                <w:sz w:val="20"/>
                <w:szCs w:val="20"/>
                <w:lang w:eastAsia="en-US"/>
              </w:rPr>
            </w:r>
            <w:r>
              <w:rPr>
                <w:rFonts w:eastAsia="Calibri"/>
                <w:sz w:val="20"/>
                <w:szCs w:val="20"/>
                <w:lang w:eastAsia="en-US"/>
              </w:rPr>
            </w:r>
          </w:p>
        </w:tc>
        <w:tc>
          <w:tcPr>
            <w:tcBorders>
              <w:top w:val="single" w:color="000000" w:sz="4" w:space="0"/>
              <w:bottom w:val="single" w:color="000000" w:sz="4" w:space="0"/>
            </w:tcBorders>
            <w:tcW w:w="2854" w:type="dxa"/>
            <w:vAlign w:val="top"/>
            <w:textDirection w:val="lrTb"/>
            <w:noWrap w:val="false"/>
          </w:tcPr>
          <w:p>
            <w:pPr>
              <w:pStyle w:val="1135"/>
              <w:spacing w:before="40" w:after="40"/>
              <w:rPr>
                <w:rFonts w:eastAsia="Calibri"/>
                <w:sz w:val="20"/>
                <w:szCs w:val="20"/>
                <w:lang w:eastAsia="en-US"/>
              </w:rPr>
            </w:pPr>
            <w:r>
              <w:rPr>
                <w:rFonts w:eastAsia="Calibri"/>
                <w:sz w:val="20"/>
                <w:szCs w:val="20"/>
                <w:lang w:eastAsia="en-US"/>
              </w:rPr>
              <w:t xml:space="preserve">Повторное формирование одного временного </w:t>
            </w:r>
            <w:r>
              <w:rPr>
                <w:bCs/>
                <w:sz w:val="20"/>
                <w:szCs w:val="20"/>
              </w:rPr>
              <w:t xml:space="preserve">сертификата ключа проверки электронной подписи по запросу клиента</w:t>
            </w:r>
            <w:r>
              <w:rPr>
                <w:rFonts w:eastAsia="Calibri"/>
                <w:sz w:val="20"/>
                <w:szCs w:val="20"/>
                <w:lang w:eastAsia="en-US"/>
              </w:rPr>
              <w:t xml:space="preserve"> в связи с истечением срока действия временного сертификата ключа проверки электронной подписи</w:t>
            </w:r>
            <w:r>
              <w:rPr>
                <w:rFonts w:eastAsia="Calibri"/>
                <w:sz w:val="20"/>
                <w:szCs w:val="20"/>
                <w:lang w:eastAsia="en-US"/>
              </w:rPr>
            </w:r>
            <w:r>
              <w:rPr>
                <w:rFonts w:eastAsia="Calibri"/>
                <w:sz w:val="20"/>
                <w:szCs w:val="20"/>
                <w:lang w:eastAsia="en-US"/>
              </w:rPr>
            </w:r>
          </w:p>
        </w:tc>
        <w:tc>
          <w:tcPr>
            <w:gridSpan w:val="2"/>
            <w:tcBorders>
              <w:top w:val="single" w:color="000000" w:sz="4" w:space="0"/>
              <w:bottom w:val="single" w:color="000000" w:sz="4" w:space="0"/>
            </w:tcBorders>
            <w:tcW w:w="2407" w:type="dxa"/>
            <w:vAlign w:val="top"/>
            <w:textDirection w:val="lrTb"/>
            <w:noWrap w:val="false"/>
          </w:tcPr>
          <w:p>
            <w:pPr>
              <w:pStyle w:val="1135"/>
              <w:jc w:val="center"/>
              <w:spacing w:before="40" w:after="40"/>
              <w:rPr>
                <w:rFonts w:eastAsia="Calibri"/>
                <w:sz w:val="20"/>
                <w:szCs w:val="20"/>
                <w:lang w:eastAsia="en-US"/>
              </w:rPr>
            </w:pPr>
            <w:r>
              <w:rPr>
                <w:rFonts w:eastAsia="Calibri"/>
                <w:sz w:val="20"/>
                <w:szCs w:val="20"/>
                <w:lang w:eastAsia="en-US"/>
              </w:rPr>
              <w:t xml:space="preserve">8</w:t>
            </w:r>
            <w:r>
              <w:rPr>
                <w:rFonts w:eastAsia="Calibri"/>
                <w:sz w:val="20"/>
                <w:szCs w:val="20"/>
                <w:lang w:eastAsia="en-US"/>
              </w:rPr>
              <w:t xml:space="preserve">15</w:t>
            </w:r>
            <w:r>
              <w:rPr>
                <w:rFonts w:eastAsia="Calibri"/>
                <w:sz w:val="20"/>
                <w:szCs w:val="20"/>
                <w:lang w:eastAsia="en-US"/>
              </w:rPr>
              <w:t xml:space="preserve"> руб.</w:t>
            </w:r>
            <w:r>
              <w:rPr>
                <w:rFonts w:eastAsia="Calibri"/>
                <w:sz w:val="20"/>
                <w:szCs w:val="20"/>
                <w:lang w:eastAsia="en-US"/>
              </w:rPr>
            </w:r>
            <w:r>
              <w:rPr>
                <w:rFonts w:eastAsia="Calibri"/>
                <w:sz w:val="20"/>
                <w:szCs w:val="20"/>
                <w:lang w:eastAsia="en-US"/>
              </w:rPr>
            </w:r>
          </w:p>
        </w:tc>
        <w:tc>
          <w:tcPr>
            <w:tcBorders>
              <w:top w:val="single" w:color="000000" w:sz="4" w:space="0"/>
              <w:bottom w:val="single" w:color="000000" w:sz="4" w:space="0"/>
            </w:tcBorders>
            <w:tcW w:w="3928" w:type="dxa"/>
            <w:vAlign w:val="top"/>
            <w:textDirection w:val="lrTb"/>
            <w:noWrap w:val="false"/>
          </w:tcPr>
          <w:p>
            <w:pPr>
              <w:pStyle w:val="1135"/>
              <w:jc w:val="both"/>
              <w:spacing w:before="40"/>
              <w:rPr>
                <w:rFonts w:eastAsia="Calibri"/>
                <w:sz w:val="20"/>
                <w:szCs w:val="20"/>
                <w:lang w:eastAsia="en-US"/>
              </w:rPr>
            </w:pPr>
            <w:r>
              <w:rPr>
                <w:rFonts w:eastAsia="Calibri"/>
                <w:sz w:val="20"/>
                <w:szCs w:val="20"/>
                <w:lang w:eastAsia="en-US"/>
              </w:rPr>
              <w:t xml:space="preserve">Комиссия взимается в день подачи клиентом заявления на регистрацию субъекта информационного обмена в Удостоверяющем центре АО «Россельхозбанк».</w:t>
            </w:r>
            <w:r>
              <w:rPr>
                <w:rFonts w:eastAsia="Calibri"/>
                <w:sz w:val="20"/>
                <w:szCs w:val="20"/>
                <w:lang w:eastAsia="en-US"/>
              </w:rPr>
            </w:r>
            <w:r>
              <w:rPr>
                <w:rFonts w:eastAsia="Calibri"/>
                <w:sz w:val="20"/>
                <w:szCs w:val="20"/>
                <w:lang w:eastAsia="en-US"/>
              </w:rPr>
            </w:r>
          </w:p>
          <w:p>
            <w:pPr>
              <w:pStyle w:val="1135"/>
              <w:jc w:val="both"/>
              <w:rPr>
                <w:rFonts w:eastAsia="Calibri"/>
                <w:sz w:val="20"/>
                <w:szCs w:val="20"/>
                <w:lang w:eastAsia="en-US"/>
              </w:rPr>
            </w:pPr>
            <w:r>
              <w:rPr>
                <w:rFonts w:eastAsia="Calibri"/>
                <w:sz w:val="20"/>
                <w:szCs w:val="20"/>
                <w:lang w:eastAsia="en-US"/>
              </w:rPr>
              <w:t xml:space="preserve">Услуга предоставляется клиенту после выполнения условий п. 7.4.1, в случае если клиент в течение 45 дней  с момента выпуска временного </w:t>
            </w:r>
            <w:r>
              <w:rPr>
                <w:bCs/>
                <w:sz w:val="20"/>
                <w:szCs w:val="20"/>
              </w:rPr>
              <w:t xml:space="preserve">сертификата ключа проверки электронной подписи</w:t>
            </w:r>
            <w:r>
              <w:rPr>
                <w:rFonts w:eastAsia="Calibri"/>
                <w:sz w:val="20"/>
                <w:szCs w:val="20"/>
                <w:lang w:eastAsia="en-US"/>
              </w:rPr>
              <w:t xml:space="preserve"> не направил в Банк запрос на выдачу постоянного </w:t>
            </w:r>
            <w:r>
              <w:rPr>
                <w:bCs/>
                <w:sz w:val="20"/>
                <w:szCs w:val="20"/>
              </w:rPr>
              <w:t xml:space="preserve">сертификата ключа проверки электронной подписи</w:t>
            </w:r>
            <w:r>
              <w:rPr>
                <w:rFonts w:eastAsia="Calibri"/>
                <w:sz w:val="20"/>
                <w:szCs w:val="20"/>
                <w:lang w:eastAsia="en-US"/>
              </w:rPr>
              <w:t xml:space="preserve">.  </w:t>
            </w:r>
            <w:r>
              <w:rPr>
                <w:rFonts w:eastAsia="Calibri"/>
                <w:sz w:val="20"/>
                <w:szCs w:val="20"/>
                <w:lang w:eastAsia="en-US"/>
              </w:rPr>
            </w:r>
            <w:r>
              <w:rPr>
                <w:rFonts w:eastAsia="Calibri"/>
                <w:sz w:val="20"/>
                <w:szCs w:val="20"/>
                <w:lang w:eastAsia="en-US"/>
              </w:rPr>
            </w:r>
          </w:p>
          <w:p>
            <w:pPr>
              <w:pStyle w:val="1135"/>
              <w:jc w:val="both"/>
              <w:rPr>
                <w:rFonts w:eastAsia="Calibri"/>
                <w:sz w:val="20"/>
                <w:szCs w:val="20"/>
                <w:lang w:eastAsia="en-US"/>
              </w:rPr>
            </w:pPr>
            <w:r>
              <w:rPr>
                <w:rFonts w:eastAsia="Calibri"/>
                <w:sz w:val="20"/>
                <w:szCs w:val="20"/>
                <w:lang w:eastAsia="en-US"/>
              </w:rPr>
              <w:t xml:space="preserve">Тариф включает в себя НДС (дополнительно не взимается).</w:t>
            </w:r>
            <w:r>
              <w:rPr>
                <w:rFonts w:eastAsia="Calibri"/>
                <w:sz w:val="20"/>
                <w:szCs w:val="20"/>
                <w:lang w:eastAsia="en-US"/>
              </w:rPr>
            </w:r>
            <w:r>
              <w:rPr>
                <w:rFonts w:eastAsia="Calibri"/>
                <w:sz w:val="20"/>
                <w:szCs w:val="20"/>
                <w:lang w:eastAsia="en-US"/>
              </w:rPr>
            </w:r>
          </w:p>
          <w:p>
            <w:pPr>
              <w:pStyle w:val="1135"/>
              <w:jc w:val="both"/>
              <w:rPr>
                <w:rFonts w:eastAsia="Calibri"/>
                <w:sz w:val="20"/>
                <w:szCs w:val="20"/>
                <w:lang w:eastAsia="en-US"/>
              </w:rPr>
            </w:pPr>
            <w:r>
              <w:rPr>
                <w:rFonts w:eastAsia="Calibri"/>
                <w:sz w:val="20"/>
                <w:szCs w:val="20"/>
                <w:lang w:eastAsia="en-US"/>
              </w:rPr>
              <w:t xml:space="preserve">Тариф применяется в случае возврата клиентом ключевого носителя, ранее выданного Банком.</w:t>
            </w:r>
            <w:r>
              <w:rPr>
                <w:rFonts w:eastAsia="Calibri"/>
                <w:sz w:val="20"/>
                <w:szCs w:val="20"/>
                <w:lang w:eastAsia="en-US"/>
              </w:rPr>
            </w:r>
            <w:r>
              <w:rPr>
                <w:rFonts w:eastAsia="Calibri"/>
                <w:sz w:val="20"/>
                <w:szCs w:val="20"/>
                <w:lang w:eastAsia="en-US"/>
              </w:rPr>
            </w:r>
          </w:p>
          <w:p>
            <w:pPr>
              <w:pStyle w:val="1135"/>
              <w:jc w:val="both"/>
              <w:rPr>
                <w:rFonts w:eastAsia="Calibri"/>
                <w:sz w:val="20"/>
                <w:szCs w:val="20"/>
                <w:lang w:eastAsia="en-US"/>
              </w:rPr>
            </w:pPr>
            <w:r>
              <w:rPr>
                <w:rFonts w:eastAsia="Calibri"/>
                <w:sz w:val="20"/>
                <w:szCs w:val="20"/>
                <w:lang w:eastAsia="en-US"/>
              </w:rPr>
              <w:t xml:space="preserve">В случае не предоставления клиентом ключевого носителя, ранее выданного Банком, с клиента взимается комиссия в соответствии с п. 7.4.1</w:t>
            </w:r>
            <w:r>
              <w:rPr>
                <w:rFonts w:eastAsia="Calibri"/>
                <w:sz w:val="20"/>
                <w:szCs w:val="20"/>
                <w:lang w:eastAsia="en-US"/>
              </w:rPr>
            </w:r>
            <w:r>
              <w:rPr>
                <w:rFonts w:eastAsia="Calibri"/>
                <w:sz w:val="20"/>
                <w:szCs w:val="20"/>
                <w:lang w:eastAsia="en-US"/>
              </w:rPr>
            </w:r>
          </w:p>
          <w:p>
            <w:pPr>
              <w:pStyle w:val="1135"/>
              <w:ind w:firstLine="709"/>
              <w:jc w:val="both"/>
              <w:tabs>
                <w:tab w:val="left" w:pos="1134" w:leader="none"/>
              </w:tabs>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p>
            <w:pPr>
              <w:pStyle w:val="1135"/>
              <w:jc w:val="both"/>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76" w:type="dxa"/>
            <w:vAlign w:val="top"/>
            <w:vMerge w:val="restart"/>
            <w:textDirection w:val="lrTb"/>
            <w:noWrap w:val="false"/>
          </w:tcPr>
          <w:p>
            <w:pPr>
              <w:pStyle w:val="1135"/>
              <w:jc w:val="center"/>
              <w:spacing w:before="40" w:after="40"/>
              <w:rPr>
                <w:bCs/>
                <w:sz w:val="20"/>
                <w:szCs w:val="20"/>
              </w:rPr>
            </w:pPr>
            <w:r>
              <w:rPr>
                <w:bCs/>
                <w:sz w:val="20"/>
                <w:szCs w:val="20"/>
              </w:rPr>
              <w:t xml:space="preserve">7.4.2.</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2854" w:type="dxa"/>
            <w:vAlign w:val="top"/>
            <w:textDirection w:val="lrTb"/>
            <w:noWrap w:val="false"/>
          </w:tcPr>
          <w:p>
            <w:pPr>
              <w:pStyle w:val="1135"/>
              <w:jc w:val="both"/>
              <w:spacing w:before="40" w:after="40"/>
              <w:rPr>
                <w:bCs/>
                <w:sz w:val="20"/>
                <w:szCs w:val="20"/>
              </w:rPr>
            </w:pPr>
            <w:r>
              <w:rPr>
                <w:rFonts w:eastAsia="Calibri"/>
                <w:sz w:val="20"/>
                <w:szCs w:val="20"/>
                <w:lang w:eastAsia="en-US"/>
              </w:rPr>
              <w:t xml:space="preserve">Формирование постоянных сертификатов ключей проверки электронной подписи на ключевом носителе Банка при подключении </w:t>
            </w:r>
            <w:r>
              <w:rPr>
                <w:bCs/>
                <w:sz w:val="20"/>
                <w:szCs w:val="20"/>
              </w:rPr>
              <w:t xml:space="preserve">к системе «Интернет-Клиент»</w:t>
            </w:r>
            <w:r>
              <w:rPr>
                <w:bCs/>
                <w:sz w:val="20"/>
                <w:szCs w:val="20"/>
              </w:rPr>
              <w:t xml:space="preserve"> /»Свой Бизнес»</w:t>
            </w:r>
            <w:r>
              <w:rPr>
                <w:bCs/>
                <w:sz w:val="20"/>
                <w:szCs w:val="20"/>
              </w:rPr>
              <w:t xml:space="preserve"> с использованием Личного кабинета</w:t>
            </w:r>
            <w:r>
              <w:rPr>
                <w:bCs/>
                <w:sz w:val="20"/>
                <w:szCs w:val="20"/>
              </w:rPr>
            </w:r>
            <w:r>
              <w:rPr>
                <w:bCs/>
                <w:sz w:val="20"/>
                <w:szCs w:val="20"/>
              </w:rPr>
            </w:r>
          </w:p>
        </w:tc>
        <w:tc>
          <w:tcPr>
            <w:gridSpan w:val="2"/>
            <w:tcBorders>
              <w:top w:val="single" w:color="000000" w:sz="4" w:space="0"/>
              <w:left w:val="single" w:color="000000" w:sz="4" w:space="0"/>
              <w:bottom w:val="none" w:color="000000" w:sz="4" w:space="0"/>
              <w:right w:val="single" w:color="000000" w:sz="4" w:space="0"/>
            </w:tcBorders>
            <w:tcW w:w="2407" w:type="dxa"/>
            <w:vAlign w:val="top"/>
            <w:textDirection w:val="lrTb"/>
            <w:noWrap w:val="false"/>
          </w:tcPr>
          <w:p>
            <w:pPr>
              <w:pStyle w:val="1135"/>
              <w:jc w:val="center"/>
              <w:spacing w:before="40"/>
              <w:rPr>
                <w:bCs/>
                <w:sz w:val="20"/>
                <w:szCs w:val="20"/>
              </w:rPr>
            </w:pPr>
            <w:r>
              <w:rPr>
                <w:bCs/>
                <w:sz w:val="20"/>
                <w:szCs w:val="20"/>
              </w:rPr>
              <w:t xml:space="preserve">2</w:t>
            </w:r>
            <w:r>
              <w:rPr>
                <w:bCs/>
                <w:sz w:val="20"/>
                <w:szCs w:val="20"/>
              </w:rPr>
              <w:t xml:space="preserve"> </w:t>
            </w:r>
            <w:r>
              <w:rPr>
                <w:bCs/>
                <w:sz w:val="20"/>
                <w:szCs w:val="20"/>
              </w:rPr>
              <w:t xml:space="preserve">0</w:t>
            </w:r>
            <w:r>
              <w:rPr>
                <w:bCs/>
                <w:sz w:val="20"/>
                <w:szCs w:val="20"/>
              </w:rPr>
              <w:t xml:space="preserve">5</w:t>
            </w:r>
            <w:r>
              <w:rPr>
                <w:bCs/>
                <w:sz w:val="20"/>
                <w:szCs w:val="20"/>
              </w:rPr>
              <w:t xml:space="preserve">0 руб.</w:t>
            </w:r>
            <w:r>
              <w:rPr>
                <w:bCs/>
                <w:sz w:val="20"/>
                <w:szCs w:val="20"/>
              </w:rPr>
            </w:r>
            <w:r>
              <w:rPr>
                <w:bCs/>
                <w:sz w:val="20"/>
                <w:szCs w:val="20"/>
              </w:rPr>
            </w:r>
          </w:p>
        </w:tc>
        <w:tc>
          <w:tcPr>
            <w:tcBorders>
              <w:top w:val="single" w:color="000000" w:sz="4" w:space="0"/>
              <w:left w:val="single" w:color="000000" w:sz="4" w:space="0"/>
            </w:tcBorders>
            <w:tcW w:w="3928" w:type="dxa"/>
            <w:vAlign w:val="top"/>
            <w:vMerge w:val="restart"/>
            <w:textDirection w:val="lrTb"/>
            <w:noWrap w:val="false"/>
          </w:tcPr>
          <w:p>
            <w:pPr>
              <w:pStyle w:val="1135"/>
              <w:spacing w:before="40"/>
              <w:rPr>
                <w:rFonts w:eastAsia="Calibri"/>
                <w:sz w:val="20"/>
                <w:szCs w:val="20"/>
                <w:lang w:eastAsia="en-US"/>
              </w:rPr>
            </w:pPr>
            <w:r>
              <w:rPr>
                <w:rFonts w:eastAsia="Calibri"/>
                <w:sz w:val="20"/>
                <w:szCs w:val="20"/>
                <w:lang w:eastAsia="en-US"/>
              </w:rPr>
              <w:t xml:space="preserve">Комиссия взимается </w:t>
            </w:r>
            <w:r>
              <w:rPr>
                <w:rFonts w:eastAsia="Calibri"/>
                <w:sz w:val="20"/>
                <w:szCs w:val="20"/>
                <w:lang w:eastAsia="en-US"/>
              </w:rPr>
              <w:t xml:space="preserve">в день </w:t>
            </w:r>
            <w:r>
              <w:rPr>
                <w:rFonts w:eastAsia="Calibri"/>
                <w:sz w:val="20"/>
                <w:szCs w:val="20"/>
                <w:lang w:eastAsia="en-US"/>
              </w:rPr>
              <w:t xml:space="preserve">получения клиентом ключевого носителя.</w:t>
            </w:r>
            <w:r>
              <w:rPr>
                <w:rFonts w:eastAsia="Calibri"/>
                <w:sz w:val="20"/>
                <w:szCs w:val="20"/>
                <w:lang w:eastAsia="en-US"/>
              </w:rPr>
              <w:t xml:space="preserve">.</w:t>
            </w:r>
            <w:r>
              <w:rPr>
                <w:rFonts w:eastAsia="Calibri"/>
                <w:sz w:val="20"/>
                <w:szCs w:val="20"/>
                <w:lang w:eastAsia="en-US"/>
              </w:rPr>
            </w:r>
            <w:r>
              <w:rPr>
                <w:rFonts w:eastAsia="Calibri"/>
                <w:sz w:val="20"/>
                <w:szCs w:val="20"/>
                <w:lang w:eastAsia="en-US"/>
              </w:rPr>
            </w:r>
          </w:p>
          <w:p>
            <w:pPr>
              <w:pStyle w:val="1135"/>
              <w:spacing w:before="40"/>
              <w:rPr>
                <w:rFonts w:eastAsia="Calibri"/>
                <w:sz w:val="20"/>
                <w:szCs w:val="20"/>
                <w:lang w:eastAsia="en-US"/>
              </w:rPr>
            </w:pPr>
            <w:r>
              <w:rPr>
                <w:rFonts w:eastAsia="Calibri"/>
                <w:sz w:val="20"/>
                <w:szCs w:val="20"/>
                <w:lang w:eastAsia="en-US"/>
              </w:rPr>
              <w:t xml:space="preserve">Комиссия взимается за каждый ключевой носитель, предоставленный при подключении к системе «Интернет-Клиент»</w:t>
            </w:r>
            <w:r>
              <w:rPr>
                <w:rFonts w:eastAsia="Calibri"/>
                <w:sz w:val="20"/>
                <w:szCs w:val="20"/>
                <w:lang w:eastAsia="en-US"/>
              </w:rPr>
              <w:t xml:space="preserve">/ «Свой Бизнес»</w:t>
            </w:r>
            <w:r>
              <w:rPr>
                <w:rFonts w:eastAsia="Calibri"/>
                <w:sz w:val="20"/>
                <w:szCs w:val="20"/>
                <w:lang w:eastAsia="en-US"/>
              </w:rPr>
              <w:t xml:space="preserve"> с использованием Личного кабинета.</w:t>
            </w:r>
            <w:r>
              <w:rPr>
                <w:rFonts w:eastAsia="Calibri"/>
                <w:sz w:val="20"/>
                <w:szCs w:val="20"/>
                <w:lang w:eastAsia="en-US"/>
              </w:rPr>
            </w:r>
            <w:r>
              <w:rPr>
                <w:rFonts w:eastAsia="Calibri"/>
                <w:sz w:val="20"/>
                <w:szCs w:val="20"/>
                <w:lang w:eastAsia="en-US"/>
              </w:rPr>
            </w:r>
          </w:p>
          <w:p>
            <w:pPr>
              <w:pStyle w:val="1135"/>
              <w:spacing w:before="40" w:after="40"/>
              <w:rPr>
                <w:rFonts w:eastAsia="Calibri"/>
                <w:sz w:val="20"/>
                <w:szCs w:val="20"/>
                <w:lang w:eastAsia="en-US"/>
              </w:rPr>
            </w:pPr>
            <w:r>
              <w:rPr>
                <w:rFonts w:eastAsia="Calibri"/>
                <w:sz w:val="20"/>
                <w:szCs w:val="20"/>
                <w:lang w:eastAsia="en-US"/>
              </w:rPr>
              <w:t xml:space="preserve">Тариф включает в себя НДС (дополнительно не взимается)</w:t>
            </w:r>
            <w:r>
              <w:rPr>
                <w:rFonts w:eastAsia="Calibri"/>
                <w:sz w:val="20"/>
                <w:szCs w:val="20"/>
                <w:lang w:eastAsia="en-US"/>
              </w:rPr>
              <w:t xml:space="preserve">.</w:t>
            </w:r>
            <w:r>
              <w:rPr>
                <w:rFonts w:eastAsia="Calibri"/>
                <w:sz w:val="20"/>
                <w:szCs w:val="20"/>
                <w:lang w:eastAsia="en-US"/>
              </w:rPr>
            </w:r>
            <w:r>
              <w:rPr>
                <w:rFonts w:eastAsia="Calibri"/>
                <w:sz w:val="20"/>
                <w:szCs w:val="20"/>
                <w:lang w:eastAsia="en-US"/>
              </w:rPr>
            </w:r>
          </w:p>
          <w:p>
            <w:pPr>
              <w:pStyle w:val="1135"/>
              <w:spacing w:before="40" w:after="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35"/>
              <w:jc w:val="both"/>
              <w:tabs>
                <w:tab w:val="left" w:pos="1134" w:leader="none"/>
              </w:tabs>
              <w:rPr>
                <w:sz w:val="20"/>
                <w:szCs w:val="20"/>
              </w:rPr>
            </w:pPr>
            <w:r>
              <w:rPr>
                <w:sz w:val="20"/>
                <w:szCs w:val="20"/>
              </w:rPr>
              <w:t xml:space="preserve">        </w:t>
            </w: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p>
            <w:pPr>
              <w:pStyle w:val="1135"/>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76" w:type="dxa"/>
            <w:vAlign w:val="top"/>
            <w:vMerge w:val="continue"/>
            <w:textDirection w:val="lrTb"/>
            <w:noWrap w:val="false"/>
          </w:tcPr>
          <w:p>
            <w:pPr>
              <w:pStyle w:val="1135"/>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854" w:type="dxa"/>
            <w:vAlign w:val="top"/>
            <w:textDirection w:val="lrTb"/>
            <w:noWrap w:val="false"/>
          </w:tcPr>
          <w:p>
            <w:pPr>
              <w:pStyle w:val="1135"/>
              <w:jc w:val="both"/>
              <w:spacing w:before="40" w:after="40"/>
              <w:rPr>
                <w:rFonts w:eastAsia="Calibri"/>
                <w:sz w:val="20"/>
                <w:szCs w:val="20"/>
                <w:lang w:eastAsia="en-US"/>
              </w:rPr>
            </w:pPr>
            <w:r>
              <w:rPr>
                <w:bCs/>
                <w:sz w:val="20"/>
                <w:szCs w:val="20"/>
              </w:rPr>
              <w:t xml:space="preserve">-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w:t>
            </w:r>
            <w:r>
              <w:rPr>
                <w:rFonts w:eastAsia="Calibri"/>
                <w:sz w:val="20"/>
                <w:szCs w:val="20"/>
                <w:lang w:eastAsia="en-US"/>
              </w:rPr>
            </w:r>
            <w:r>
              <w:rPr>
                <w:rFonts w:eastAsia="Calibri"/>
                <w:sz w:val="20"/>
                <w:szCs w:val="20"/>
                <w:lang w:eastAsia="en-US"/>
              </w:rPr>
            </w:r>
          </w:p>
        </w:tc>
        <w:tc>
          <w:tcPr>
            <w:gridSpan w:val="2"/>
            <w:tcBorders>
              <w:top w:val="none" w:color="000000" w:sz="4" w:space="0"/>
              <w:left w:val="single" w:color="000000" w:sz="4" w:space="0"/>
              <w:bottom w:val="none" w:color="000000" w:sz="4" w:space="0"/>
              <w:right w:val="single" w:color="000000" w:sz="4" w:space="0"/>
            </w:tcBorders>
            <w:tcW w:w="2407" w:type="dxa"/>
            <w:vAlign w:val="top"/>
            <w:textDirection w:val="lrTb"/>
            <w:noWrap w:val="false"/>
          </w:tcPr>
          <w:p>
            <w:pPr>
              <w:pStyle w:val="1135"/>
              <w:jc w:val="center"/>
              <w:spacing w:before="40"/>
              <w:rPr>
                <w:bCs/>
                <w:sz w:val="20"/>
                <w:szCs w:val="20"/>
              </w:rPr>
            </w:pPr>
            <w:r>
              <w:rPr>
                <w:bCs/>
                <w:sz w:val="20"/>
                <w:szCs w:val="20"/>
              </w:rPr>
              <w:t xml:space="preserve">Не взимается</w:t>
            </w:r>
            <w:r>
              <w:rPr>
                <w:bCs/>
                <w:sz w:val="20"/>
                <w:szCs w:val="20"/>
              </w:rPr>
            </w:r>
            <w:r>
              <w:rPr>
                <w:bCs/>
                <w:sz w:val="20"/>
                <w:szCs w:val="20"/>
              </w:rPr>
            </w:r>
          </w:p>
        </w:tc>
        <w:tc>
          <w:tcPr>
            <w:tcBorders>
              <w:top w:val="none" w:color="000000" w:sz="4" w:space="0"/>
              <w:left w:val="single" w:color="000000" w:sz="4" w:space="0"/>
              <w:bottom w:val="none" w:color="000000" w:sz="4" w:space="0"/>
            </w:tcBorders>
            <w:tcW w:w="3928" w:type="dxa"/>
            <w:vAlign w:val="top"/>
            <w:vMerge w:val="continue"/>
            <w:textDirection w:val="lrTb"/>
            <w:noWrap w:val="false"/>
          </w:tcPr>
          <w:p>
            <w:pPr>
              <w:pStyle w:val="1135"/>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tcBorders>
            <w:tcW w:w="876" w:type="dxa"/>
            <w:vAlign w:val="top"/>
            <w:textDirection w:val="lrTb"/>
            <w:noWrap w:val="false"/>
          </w:tcPr>
          <w:p>
            <w:pPr>
              <w:pStyle w:val="1135"/>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tcBorders>
            <w:tcW w:w="2854" w:type="dxa"/>
            <w:vAlign w:val="top"/>
            <w:textDirection w:val="lrTb"/>
            <w:noWrap w:val="false"/>
          </w:tcPr>
          <w:p>
            <w:pPr>
              <w:pStyle w:val="1135"/>
              <w:jc w:val="both"/>
              <w:spacing w:before="40" w:after="40"/>
              <w:rPr>
                <w:bCs/>
                <w:sz w:val="20"/>
                <w:szCs w:val="20"/>
              </w:rPr>
            </w:pPr>
            <w:r>
              <w:rPr>
                <w:bCs/>
                <w:sz w:val="20"/>
                <w:szCs w:val="20"/>
              </w:rPr>
              <w:t xml:space="preserve">- для клиентов, являющихся садоводческими или огородническими некоммерческими товариществами в соответствии с Федеральным законом от 29.07.2017 </w:t>
            </w:r>
            <w:r>
              <w:rPr>
                <w:bCs/>
                <w:sz w:val="20"/>
                <w:szCs w:val="20"/>
              </w:rPr>
            </w:r>
            <w:r>
              <w:rPr>
                <w:bCs/>
                <w:sz w:val="20"/>
                <w:szCs w:val="20"/>
              </w:rPr>
            </w:r>
          </w:p>
          <w:p>
            <w:pPr>
              <w:pStyle w:val="1135"/>
              <w:jc w:val="both"/>
              <w:spacing w:before="40" w:after="40"/>
              <w:rPr>
                <w:bCs/>
                <w:sz w:val="20"/>
                <w:szCs w:val="20"/>
              </w:rPr>
            </w:pPr>
            <w:r>
              <w:rPr>
                <w:bCs/>
                <w:sz w:val="20"/>
                <w:szCs w:val="20"/>
              </w:rPr>
              <w:t xml:space="preserve">№ 217-ФЗ «О ведении гражданами садоводства и огородничества для собственных нужд и о внесении изменений в отдельные законодательные акты Р</w:t>
            </w:r>
            <w:r>
              <w:rPr>
                <w:bCs/>
                <w:sz w:val="20"/>
                <w:szCs w:val="20"/>
              </w:rPr>
              <w:t xml:space="preserve">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r>
              <w:rPr>
                <w:bCs/>
                <w:sz w:val="20"/>
                <w:szCs w:val="20"/>
              </w:rPr>
            </w:r>
            <w:r>
              <w:rPr>
                <w:bCs/>
                <w:sz w:val="20"/>
                <w:szCs w:val="20"/>
              </w:rPr>
            </w:r>
          </w:p>
        </w:tc>
        <w:tc>
          <w:tcPr>
            <w:gridSpan w:val="2"/>
            <w:tcBorders>
              <w:top w:val="none" w:color="000000" w:sz="4" w:space="0"/>
            </w:tcBorders>
            <w:tcW w:w="2407" w:type="dxa"/>
            <w:vAlign w:val="top"/>
            <w:textDirection w:val="lrTb"/>
            <w:noWrap w:val="false"/>
          </w:tcPr>
          <w:p>
            <w:pPr>
              <w:pStyle w:val="1135"/>
              <w:jc w:val="center"/>
              <w:spacing w:before="40"/>
              <w:rPr>
                <w:bCs/>
                <w:sz w:val="20"/>
                <w:szCs w:val="20"/>
              </w:rPr>
            </w:pPr>
            <w:r>
              <w:rPr>
                <w:bCs/>
                <w:sz w:val="20"/>
                <w:szCs w:val="20"/>
              </w:rPr>
              <w:t xml:space="preserve">Не взимается</w:t>
            </w:r>
            <w:r>
              <w:rPr>
                <w:bCs/>
                <w:sz w:val="20"/>
                <w:szCs w:val="20"/>
              </w:rPr>
            </w:r>
            <w:r>
              <w:rPr>
                <w:bCs/>
                <w:sz w:val="20"/>
                <w:szCs w:val="20"/>
              </w:rPr>
            </w:r>
          </w:p>
        </w:tc>
        <w:tc>
          <w:tcPr>
            <w:tcBorders>
              <w:top w:val="none" w:color="000000" w:sz="4" w:space="0"/>
            </w:tcBorders>
            <w:tcW w:w="3928" w:type="dxa"/>
            <w:vAlign w:val="top"/>
            <w:textDirection w:val="lrTb"/>
            <w:noWrap w:val="false"/>
          </w:tcPr>
          <w:p>
            <w:pPr>
              <w:pStyle w:val="1135"/>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135"/>
              <w:jc w:val="center"/>
              <w:spacing w:before="40" w:after="40"/>
              <w:rPr>
                <w:bCs/>
                <w:sz w:val="20"/>
                <w:szCs w:val="20"/>
              </w:rPr>
            </w:pPr>
            <w:r>
              <w:rPr>
                <w:bCs/>
                <w:sz w:val="20"/>
                <w:szCs w:val="20"/>
              </w:rPr>
              <w:t xml:space="preserve">7.4.3.</w:t>
            </w:r>
            <w:r>
              <w:rPr>
                <w:bCs/>
                <w:sz w:val="20"/>
                <w:szCs w:val="20"/>
              </w:rPr>
            </w:r>
            <w:r>
              <w:rPr>
                <w:bCs/>
                <w:sz w:val="20"/>
                <w:szCs w:val="20"/>
              </w:rPr>
            </w:r>
          </w:p>
        </w:tc>
        <w:tc>
          <w:tcPr>
            <w:tcW w:w="2854" w:type="dxa"/>
            <w:vAlign w:val="top"/>
            <w:textDirection w:val="lrTb"/>
            <w:noWrap w:val="false"/>
          </w:tcPr>
          <w:p>
            <w:pPr>
              <w:pStyle w:val="1135"/>
              <w:jc w:val="both"/>
              <w:spacing w:before="40" w:after="40"/>
              <w:rPr>
                <w:bCs/>
                <w:sz w:val="20"/>
                <w:szCs w:val="20"/>
              </w:rPr>
            </w:pPr>
            <w:r>
              <w:rPr>
                <w:bCs/>
                <w:sz w:val="20"/>
                <w:szCs w:val="20"/>
              </w:rPr>
              <w:t xml:space="preserve">Аннулирование (отзыв) сертификата ключа проверки электронной подписи по запросу клиента </w:t>
            </w:r>
            <w:r>
              <w:rPr>
                <w:bCs/>
                <w:sz w:val="20"/>
                <w:szCs w:val="20"/>
              </w:rPr>
            </w:r>
            <w:r>
              <w:rPr>
                <w:bCs/>
                <w:sz w:val="20"/>
                <w:szCs w:val="20"/>
              </w:rPr>
            </w:r>
          </w:p>
        </w:tc>
        <w:tc>
          <w:tcPr>
            <w:gridSpan w:val="2"/>
            <w:tcW w:w="2407" w:type="dxa"/>
            <w:vAlign w:val="top"/>
            <w:textDirection w:val="lrTb"/>
            <w:noWrap w:val="false"/>
          </w:tcPr>
          <w:p>
            <w:pPr>
              <w:pStyle w:val="1135"/>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W w:w="3928" w:type="dxa"/>
            <w:vAlign w:val="top"/>
            <w:textDirection w:val="lrTb"/>
            <w:noWrap w:val="false"/>
          </w:tcPr>
          <w:p>
            <w:pPr>
              <w:pStyle w:val="1135"/>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135"/>
              <w:jc w:val="center"/>
              <w:spacing w:before="40" w:after="40"/>
              <w:rPr>
                <w:bCs/>
                <w:sz w:val="20"/>
                <w:szCs w:val="20"/>
              </w:rPr>
            </w:pPr>
            <w:r>
              <w:rPr>
                <w:bCs/>
                <w:sz w:val="20"/>
                <w:szCs w:val="20"/>
              </w:rPr>
              <w:t xml:space="preserve">7.4.4.</w:t>
            </w:r>
            <w:r>
              <w:rPr>
                <w:bCs/>
                <w:sz w:val="20"/>
                <w:szCs w:val="20"/>
              </w:rPr>
            </w:r>
            <w:r>
              <w:rPr>
                <w:bCs/>
                <w:sz w:val="20"/>
                <w:szCs w:val="20"/>
              </w:rPr>
            </w:r>
          </w:p>
        </w:tc>
        <w:tc>
          <w:tcPr>
            <w:tcW w:w="2854" w:type="dxa"/>
            <w:vAlign w:val="top"/>
            <w:textDirection w:val="lrTb"/>
            <w:noWrap w:val="false"/>
          </w:tcPr>
          <w:p>
            <w:pPr>
              <w:pStyle w:val="1135"/>
              <w:jc w:val="both"/>
              <w:spacing w:before="40" w:after="40"/>
              <w:rPr>
                <w:bCs/>
                <w:sz w:val="20"/>
                <w:szCs w:val="20"/>
              </w:rPr>
            </w:pPr>
            <w:r>
              <w:rPr>
                <w:bCs/>
                <w:sz w:val="20"/>
                <w:szCs w:val="20"/>
              </w:rPr>
              <w:t xml:space="preserve">Приостановление действия одного сертификата ключа проверки электронной подписи по запросу клиента </w:t>
            </w:r>
            <w:r>
              <w:rPr>
                <w:bCs/>
                <w:sz w:val="20"/>
                <w:szCs w:val="20"/>
              </w:rPr>
            </w:r>
            <w:r>
              <w:rPr>
                <w:bCs/>
                <w:sz w:val="20"/>
                <w:szCs w:val="20"/>
              </w:rPr>
            </w:r>
          </w:p>
        </w:tc>
        <w:tc>
          <w:tcPr>
            <w:gridSpan w:val="2"/>
            <w:tcW w:w="2407" w:type="dxa"/>
            <w:vAlign w:val="top"/>
            <w:textDirection w:val="lrTb"/>
            <w:noWrap w:val="false"/>
          </w:tcPr>
          <w:p>
            <w:pPr>
              <w:pStyle w:val="1135"/>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W w:w="3928" w:type="dxa"/>
            <w:vAlign w:val="top"/>
            <w:textDirection w:val="lrTb"/>
            <w:noWrap w:val="false"/>
          </w:tcPr>
          <w:p>
            <w:pPr>
              <w:pStyle w:val="1135"/>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135"/>
              <w:jc w:val="center"/>
              <w:spacing w:before="40" w:after="40"/>
              <w:rPr>
                <w:bCs/>
                <w:sz w:val="20"/>
                <w:szCs w:val="20"/>
              </w:rPr>
            </w:pPr>
            <w:r>
              <w:rPr>
                <w:bCs/>
                <w:sz w:val="20"/>
                <w:szCs w:val="20"/>
              </w:rPr>
              <w:t xml:space="preserve">7.4.5.</w:t>
            </w:r>
            <w:r>
              <w:rPr>
                <w:bCs/>
                <w:sz w:val="20"/>
                <w:szCs w:val="20"/>
              </w:rPr>
            </w:r>
            <w:r>
              <w:rPr>
                <w:bCs/>
                <w:sz w:val="20"/>
                <w:szCs w:val="20"/>
              </w:rPr>
            </w:r>
          </w:p>
        </w:tc>
        <w:tc>
          <w:tcPr>
            <w:tcW w:w="2854" w:type="dxa"/>
            <w:vAlign w:val="top"/>
            <w:textDirection w:val="lrTb"/>
            <w:noWrap w:val="false"/>
          </w:tcPr>
          <w:p>
            <w:pPr>
              <w:pStyle w:val="1135"/>
              <w:jc w:val="both"/>
              <w:spacing w:before="40" w:after="40"/>
              <w:rPr>
                <w:bCs/>
                <w:sz w:val="20"/>
                <w:szCs w:val="20"/>
              </w:rPr>
            </w:pPr>
            <w:r>
              <w:rPr>
                <w:bCs/>
                <w:sz w:val="20"/>
                <w:szCs w:val="20"/>
              </w:rPr>
              <w:t xml:space="preserve">Возобновление действия одного сертификата ключа проверки электронной подписи по запросу клиента</w:t>
            </w:r>
            <w:r>
              <w:rPr>
                <w:bCs/>
                <w:sz w:val="20"/>
                <w:szCs w:val="20"/>
              </w:rPr>
            </w:r>
            <w:r>
              <w:rPr>
                <w:bCs/>
                <w:sz w:val="20"/>
                <w:szCs w:val="20"/>
              </w:rPr>
            </w:r>
          </w:p>
        </w:tc>
        <w:tc>
          <w:tcPr>
            <w:gridSpan w:val="2"/>
            <w:tcW w:w="2407" w:type="dxa"/>
            <w:vAlign w:val="top"/>
            <w:textDirection w:val="lrTb"/>
            <w:noWrap w:val="false"/>
          </w:tcPr>
          <w:p>
            <w:pPr>
              <w:pStyle w:val="1135"/>
              <w:jc w:val="center"/>
              <w:spacing w:before="40" w:after="40"/>
              <w:rPr>
                <w:bCs/>
                <w:sz w:val="20"/>
                <w:szCs w:val="20"/>
              </w:rPr>
            </w:pPr>
            <w:r>
              <w:rPr>
                <w:bCs/>
                <w:sz w:val="20"/>
                <w:szCs w:val="20"/>
              </w:rPr>
              <w:t xml:space="preserve">15</w:t>
            </w:r>
            <w:r>
              <w:rPr>
                <w:bCs/>
                <w:sz w:val="20"/>
                <w:szCs w:val="20"/>
              </w:rPr>
              <w:t xml:space="preserve">5</w:t>
            </w:r>
            <w:r>
              <w:rPr>
                <w:bCs/>
                <w:sz w:val="20"/>
                <w:szCs w:val="20"/>
              </w:rPr>
              <w:t xml:space="preserve"> руб.</w:t>
            </w:r>
            <w:r>
              <w:rPr>
                <w:bCs/>
                <w:sz w:val="20"/>
                <w:szCs w:val="20"/>
              </w:rPr>
            </w:r>
            <w:r>
              <w:rPr>
                <w:bCs/>
                <w:sz w:val="20"/>
                <w:szCs w:val="20"/>
              </w:rPr>
            </w:r>
          </w:p>
        </w:tc>
        <w:tc>
          <w:tcPr>
            <w:tcW w:w="3928" w:type="dxa"/>
            <w:vAlign w:val="top"/>
            <w:textDirection w:val="lrTb"/>
            <w:noWrap w:val="false"/>
          </w:tcPr>
          <w:p>
            <w:pPr>
              <w:pStyle w:val="1135"/>
              <w:jc w:val="both"/>
              <w:spacing w:before="40" w:after="40"/>
              <w:rPr>
                <w:bCs/>
                <w:sz w:val="20"/>
                <w:szCs w:val="20"/>
              </w:rPr>
            </w:pPr>
            <w:r>
              <w:rPr>
                <w:bCs/>
                <w:sz w:val="20"/>
                <w:szCs w:val="20"/>
              </w:rPr>
              <w:t xml:space="preserve">Комиссия взимается в течение 3-х рабочих дней с момента возобновления Субъекту информационного обмена  сертификата ключа проверки электронной подписи. </w:t>
            </w:r>
            <w:r>
              <w:rPr>
                <w:bCs/>
                <w:sz w:val="20"/>
                <w:szCs w:val="20"/>
              </w:rPr>
            </w:r>
            <w:r>
              <w:rPr>
                <w:bCs/>
                <w:sz w:val="20"/>
                <w:szCs w:val="20"/>
              </w:rPr>
            </w:r>
          </w:p>
          <w:p>
            <w:pPr>
              <w:pStyle w:val="1135"/>
              <w:jc w:val="both"/>
              <w:spacing w:before="40" w:after="40"/>
              <w:rPr>
                <w:bCs/>
                <w:sz w:val="20"/>
                <w:szCs w:val="20"/>
              </w:rPr>
            </w:pPr>
            <w:r>
              <w:rPr>
                <w:bCs/>
                <w:sz w:val="20"/>
                <w:szCs w:val="20"/>
              </w:rPr>
              <w:t xml:space="preserve">Тариф включает в себя НДС (дополнительно не взимается)</w:t>
            </w:r>
            <w:r>
              <w:rPr>
                <w:bCs/>
                <w:sz w:val="20"/>
                <w:szCs w:val="20"/>
              </w:rPr>
              <w:t xml:space="preserve">.</w:t>
            </w:r>
            <w:r>
              <w:rPr>
                <w:bCs/>
                <w:sz w:val="20"/>
                <w:szCs w:val="20"/>
              </w:rPr>
            </w:r>
            <w:r>
              <w:rPr>
                <w:bCs/>
                <w:sz w:val="20"/>
                <w:szCs w:val="20"/>
              </w:rPr>
            </w:r>
          </w:p>
          <w:p>
            <w:pPr>
              <w:pStyle w:val="1135"/>
              <w:jc w:val="both"/>
              <w:tabs>
                <w:tab w:val="left" w:pos="1134" w:leader="none"/>
              </w:tabs>
              <w:rPr>
                <w:sz w:val="20"/>
                <w:szCs w:val="20"/>
              </w:rPr>
            </w:pPr>
            <w:r>
              <w:rPr>
                <w:bCs/>
                <w:sz w:val="20"/>
                <w:szCs w:val="20"/>
              </w:rPr>
              <w:t xml:space="preserve">        </w:t>
            </w: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p>
            <w:pPr>
              <w:pStyle w:val="1135"/>
              <w:jc w:val="both"/>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135"/>
              <w:jc w:val="center"/>
              <w:spacing w:before="40" w:after="40"/>
              <w:rPr>
                <w:bCs/>
                <w:sz w:val="20"/>
                <w:szCs w:val="20"/>
              </w:rPr>
            </w:pPr>
            <w:r>
              <w:rPr>
                <w:bCs/>
                <w:sz w:val="20"/>
                <w:szCs w:val="20"/>
              </w:rPr>
              <w:t xml:space="preserve">7.4.6.</w:t>
            </w:r>
            <w:r>
              <w:rPr>
                <w:bCs/>
                <w:sz w:val="20"/>
                <w:szCs w:val="20"/>
              </w:rPr>
            </w:r>
            <w:r>
              <w:rPr>
                <w:bCs/>
                <w:sz w:val="20"/>
                <w:szCs w:val="20"/>
              </w:rPr>
            </w:r>
          </w:p>
        </w:tc>
        <w:tc>
          <w:tcPr>
            <w:tcW w:w="2854" w:type="dxa"/>
            <w:vAlign w:val="top"/>
            <w:textDirection w:val="lrTb"/>
            <w:noWrap w:val="false"/>
          </w:tcPr>
          <w:p>
            <w:pPr>
              <w:pStyle w:val="1135"/>
              <w:jc w:val="both"/>
              <w:spacing w:before="40" w:after="40"/>
              <w:rPr>
                <w:bCs/>
                <w:sz w:val="20"/>
                <w:szCs w:val="20"/>
              </w:rPr>
            </w:pPr>
            <w:r>
              <w:rPr>
                <w:bCs/>
                <w:sz w:val="20"/>
                <w:szCs w:val="20"/>
              </w:rPr>
              <w:t xml:space="preserve">Проверка подлинности электронной подписи</w:t>
            </w:r>
            <w:r>
              <w:rPr>
                <w:bCs/>
                <w:sz w:val="20"/>
                <w:szCs w:val="20"/>
              </w:rPr>
              <w:t xml:space="preserve"> </w:t>
            </w:r>
            <w:r>
              <w:rPr>
                <w:bCs/>
                <w:sz w:val="20"/>
                <w:szCs w:val="20"/>
              </w:rPr>
              <w:t xml:space="preserve">в одном электронном документе по запросу клиента</w:t>
            </w:r>
            <w:r>
              <w:rPr>
                <w:bCs/>
                <w:sz w:val="20"/>
                <w:szCs w:val="20"/>
              </w:rPr>
            </w:r>
            <w:r>
              <w:rPr>
                <w:bCs/>
                <w:sz w:val="20"/>
                <w:szCs w:val="20"/>
              </w:rPr>
            </w:r>
          </w:p>
        </w:tc>
        <w:tc>
          <w:tcPr>
            <w:gridSpan w:val="2"/>
            <w:tcW w:w="2407" w:type="dxa"/>
            <w:vAlign w:val="top"/>
            <w:textDirection w:val="lrTb"/>
            <w:noWrap w:val="false"/>
          </w:tcPr>
          <w:p>
            <w:pPr>
              <w:pStyle w:val="1135"/>
              <w:jc w:val="center"/>
              <w:spacing w:before="40" w:after="40"/>
              <w:rPr>
                <w:bCs/>
                <w:sz w:val="20"/>
                <w:szCs w:val="20"/>
              </w:rPr>
            </w:pPr>
            <w:r>
              <w:rPr>
                <w:bCs/>
                <w:sz w:val="20"/>
                <w:szCs w:val="20"/>
              </w:rPr>
              <w:t xml:space="preserve">1 5</w:t>
            </w:r>
            <w:r>
              <w:rPr>
                <w:bCs/>
                <w:sz w:val="20"/>
                <w:szCs w:val="20"/>
              </w:rPr>
              <w:t xml:space="preserve">3</w:t>
            </w:r>
            <w:r>
              <w:rPr>
                <w:bCs/>
                <w:sz w:val="20"/>
                <w:szCs w:val="20"/>
              </w:rPr>
              <w:t xml:space="preserve">0 руб.</w:t>
            </w:r>
            <w:r>
              <w:rPr>
                <w:bCs/>
                <w:sz w:val="20"/>
                <w:szCs w:val="20"/>
              </w:rPr>
            </w:r>
            <w:r>
              <w:rPr>
                <w:bCs/>
                <w:sz w:val="20"/>
                <w:szCs w:val="20"/>
              </w:rPr>
            </w:r>
          </w:p>
        </w:tc>
        <w:tc>
          <w:tcPr>
            <w:tcW w:w="3928" w:type="dxa"/>
            <w:vAlign w:val="top"/>
            <w:textDirection w:val="lrTb"/>
            <w:noWrap w:val="false"/>
          </w:tcPr>
          <w:p>
            <w:pPr>
              <w:pStyle w:val="1135"/>
              <w:jc w:val="both"/>
              <w:spacing w:before="40" w:after="40"/>
              <w:rPr>
                <w:bCs/>
                <w:sz w:val="20"/>
                <w:szCs w:val="20"/>
              </w:rPr>
            </w:pPr>
            <w:r>
              <w:rPr>
                <w:bCs/>
                <w:sz w:val="20"/>
                <w:szCs w:val="20"/>
              </w:rPr>
              <w:t xml:space="preserve">Комиссия взимается в течение 3-х рабочих дней от даты заключения Удостоверяю</w:t>
            </w:r>
            <w:r>
              <w:rPr>
                <w:bCs/>
                <w:sz w:val="20"/>
                <w:szCs w:val="20"/>
              </w:rPr>
              <w:t xml:space="preserve">щего центра АО «Россельхозбанк»/ заключения экспертной группы.</w:t>
            </w:r>
            <w:r>
              <w:rPr>
                <w:bCs/>
                <w:sz w:val="20"/>
                <w:szCs w:val="20"/>
              </w:rPr>
            </w:r>
            <w:r>
              <w:rPr>
                <w:bCs/>
                <w:sz w:val="20"/>
                <w:szCs w:val="20"/>
              </w:rPr>
            </w:r>
          </w:p>
          <w:p>
            <w:pPr>
              <w:pStyle w:val="1135"/>
              <w:jc w:val="both"/>
              <w:spacing w:before="40" w:after="40"/>
              <w:rPr>
                <w:bCs/>
                <w:sz w:val="20"/>
                <w:szCs w:val="20"/>
              </w:rPr>
            </w:pPr>
            <w:r>
              <w:rPr>
                <w:bCs/>
                <w:sz w:val="20"/>
                <w:szCs w:val="20"/>
              </w:rPr>
              <w:t xml:space="preserve">Тариф включает в себя НДС (дополнительно не взимается)</w:t>
            </w:r>
            <w:r>
              <w:rPr>
                <w:bCs/>
                <w:sz w:val="20"/>
                <w:szCs w:val="20"/>
              </w:rPr>
              <w:t xml:space="preserve">.</w:t>
            </w:r>
            <w:r>
              <w:rPr>
                <w:bCs/>
                <w:sz w:val="20"/>
                <w:szCs w:val="20"/>
              </w:rPr>
            </w:r>
            <w:r>
              <w:rPr>
                <w:bCs/>
                <w:sz w:val="20"/>
                <w:szCs w:val="20"/>
              </w:rPr>
            </w:r>
          </w:p>
          <w:p>
            <w:pPr>
              <w:pStyle w:val="1135"/>
              <w:jc w:val="both"/>
              <w:tabs>
                <w:tab w:val="left" w:pos="1134" w:leader="none"/>
              </w:tabs>
              <w:rPr>
                <w:sz w:val="20"/>
                <w:szCs w:val="20"/>
              </w:rPr>
            </w:pPr>
            <w:r>
              <w:rPr>
                <w:bCs/>
                <w:sz w:val="20"/>
                <w:szCs w:val="20"/>
              </w:rPr>
              <w:t xml:space="preserve">       </w:t>
            </w: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p>
            <w:pPr>
              <w:pStyle w:val="1135"/>
              <w:jc w:val="both"/>
              <w:spacing w:before="40" w:after="40"/>
              <w:rPr>
                <w:bCs/>
                <w:sz w:val="20"/>
                <w:szCs w:val="20"/>
              </w:rPr>
            </w:pPr>
            <w:r>
              <w:rPr>
                <w:bCs/>
                <w:sz w:val="20"/>
                <w:szCs w:val="20"/>
              </w:rPr>
            </w:r>
            <w:r>
              <w:rPr>
                <w:bCs/>
                <w:sz w:val="20"/>
                <w:szCs w:val="20"/>
              </w:rPr>
            </w:r>
            <w:r>
              <w:rPr>
                <w:bCs/>
                <w:sz w:val="20"/>
                <w:szCs w:val="20"/>
              </w:rPr>
            </w:r>
          </w:p>
        </w:tc>
      </w:tr>
      <w:tr>
        <w:tblPrEx/>
        <w:trPr/>
        <w:tc>
          <w:tcPr>
            <w:tcBorders>
              <w:top w:val="single" w:color="000000" w:sz="4" w:space="0"/>
              <w:left w:val="single" w:color="000000" w:sz="4" w:space="0"/>
              <w:bottom w:val="single" w:color="000000" w:sz="4" w:space="0"/>
              <w:right w:val="single" w:color="000000" w:sz="4" w:space="0"/>
            </w:tcBorders>
            <w:tcW w:w="876" w:type="dxa"/>
            <w:vAlign w:val="top"/>
            <w:textDirection w:val="lrTb"/>
            <w:noWrap w:val="false"/>
          </w:tcPr>
          <w:p>
            <w:pPr>
              <w:pStyle w:val="1135"/>
              <w:jc w:val="center"/>
              <w:spacing w:before="40" w:after="40"/>
              <w:rPr>
                <w:bCs/>
                <w:sz w:val="20"/>
                <w:szCs w:val="20"/>
              </w:rPr>
            </w:pPr>
            <w:r>
              <w:rPr>
                <w:bCs/>
                <w:sz w:val="20"/>
                <w:szCs w:val="20"/>
              </w:rPr>
              <w:t xml:space="preserve">7.5.</w:t>
            </w:r>
            <w:r>
              <w:rPr>
                <w:bCs/>
                <w:sz w:val="20"/>
                <w:szCs w:val="20"/>
              </w:rPr>
            </w:r>
            <w:r>
              <w:rPr>
                <w:bCs/>
                <w:sz w:val="20"/>
                <w:szCs w:val="20"/>
              </w:rPr>
            </w:r>
          </w:p>
        </w:tc>
        <w:tc>
          <w:tcPr>
            <w:gridSpan w:val="4"/>
            <w:tcBorders>
              <w:top w:val="single" w:color="000000" w:sz="4" w:space="0"/>
              <w:left w:val="single" w:color="000000" w:sz="4" w:space="0"/>
              <w:bottom w:val="single" w:color="000000" w:sz="4" w:space="0"/>
              <w:right w:val="single" w:color="000000" w:sz="4" w:space="0"/>
            </w:tcBorders>
            <w:tcW w:w="9189" w:type="dxa"/>
            <w:vAlign w:val="top"/>
            <w:textDirection w:val="lrTb"/>
            <w:noWrap w:val="false"/>
          </w:tcPr>
          <w:p>
            <w:pPr>
              <w:pStyle w:val="1135"/>
              <w:spacing w:before="40" w:after="40"/>
              <w:rPr>
                <w:bCs/>
                <w:sz w:val="20"/>
                <w:szCs w:val="20"/>
              </w:rPr>
            </w:pPr>
            <w:r>
              <w:rPr>
                <w:bCs/>
                <w:sz w:val="20"/>
                <w:szCs w:val="20"/>
              </w:rPr>
              <w:t xml:space="preserve">Плановая смена сертификата ключа проверки электронной подписи  по запросу клиента</w:t>
            </w:r>
            <w:r>
              <w:rPr>
                <w:bCs/>
                <w:sz w:val="20"/>
                <w:szCs w:val="20"/>
              </w:rPr>
            </w:r>
            <w:r>
              <w:rPr>
                <w:bCs/>
                <w:sz w:val="20"/>
                <w:szCs w:val="20"/>
              </w:rPr>
            </w:r>
          </w:p>
        </w:tc>
      </w:tr>
      <w:tr>
        <w:tblPrEx/>
        <w:trPr/>
        <w:tc>
          <w:tcPr>
            <w:tcBorders>
              <w:top w:val="single" w:color="000000" w:sz="4" w:space="0"/>
              <w:left w:val="single" w:color="000000" w:sz="4" w:space="0"/>
              <w:bottom w:val="single" w:color="000000" w:sz="4" w:space="0"/>
              <w:right w:val="single" w:color="000000" w:sz="4" w:space="0"/>
            </w:tcBorders>
            <w:tcW w:w="876" w:type="dxa"/>
            <w:vAlign w:val="top"/>
            <w:textDirection w:val="lrTb"/>
            <w:noWrap w:val="false"/>
          </w:tcPr>
          <w:p>
            <w:pPr>
              <w:pStyle w:val="1135"/>
              <w:jc w:val="center"/>
              <w:spacing w:before="40" w:after="40"/>
              <w:rPr>
                <w:bCs/>
                <w:sz w:val="20"/>
                <w:szCs w:val="20"/>
              </w:rPr>
            </w:pPr>
            <w:r>
              <w:rPr>
                <w:bCs/>
                <w:sz w:val="20"/>
                <w:szCs w:val="20"/>
              </w:rPr>
              <w:t xml:space="preserve">7.5.1</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854" w:type="dxa"/>
            <w:vAlign w:val="top"/>
            <w:textDirection w:val="lrTb"/>
            <w:noWrap w:val="false"/>
          </w:tcPr>
          <w:p>
            <w:pPr>
              <w:pStyle w:val="1135"/>
              <w:jc w:val="both"/>
              <w:spacing w:before="40" w:after="40"/>
              <w:rPr>
                <w:bCs/>
                <w:sz w:val="20"/>
                <w:szCs w:val="20"/>
              </w:rPr>
            </w:pPr>
            <w:r>
              <w:rPr>
                <w:bCs/>
                <w:sz w:val="20"/>
                <w:szCs w:val="20"/>
              </w:rPr>
              <w:t xml:space="preserve">Формирование сертификата ключа проверки электронной подписи  </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2407" w:type="dxa"/>
            <w:vAlign w:val="top"/>
            <w:textDirection w:val="lrTb"/>
            <w:noWrap w:val="false"/>
          </w:tcPr>
          <w:p>
            <w:pPr>
              <w:pStyle w:val="1135"/>
              <w:jc w:val="center"/>
              <w:spacing w:before="40" w:after="40"/>
              <w:tabs>
                <w:tab w:val="left" w:pos="1221" w:leader="none"/>
              </w:tabs>
              <w:rPr>
                <w:bCs/>
                <w:sz w:val="20"/>
                <w:szCs w:val="20"/>
                <w:lang w:val="en-US"/>
              </w:rPr>
            </w:pPr>
            <w:r>
              <w:rPr>
                <w:bCs/>
                <w:sz w:val="20"/>
                <w:szCs w:val="20"/>
              </w:rPr>
              <w:t xml:space="preserve">Не взимается</w:t>
            </w:r>
            <w:r>
              <w:rPr>
                <w:bCs/>
                <w:sz w:val="20"/>
                <w:szCs w:val="20"/>
                <w:lang w:val="en-US"/>
              </w:rPr>
            </w:r>
            <w:r>
              <w:rPr>
                <w:bCs/>
                <w:sz w:val="20"/>
                <w:szCs w:val="20"/>
                <w:lang w:val="en-US"/>
              </w:rPr>
            </w:r>
          </w:p>
        </w:tc>
        <w:tc>
          <w:tcPr>
            <w:tcBorders>
              <w:top w:val="single" w:color="000000" w:sz="4" w:space="0"/>
              <w:left w:val="single" w:color="000000" w:sz="4" w:space="0"/>
              <w:bottom w:val="single" w:color="000000" w:sz="4" w:space="0"/>
              <w:right w:val="single" w:color="000000" w:sz="4" w:space="0"/>
            </w:tcBorders>
            <w:tcW w:w="3928" w:type="dxa"/>
            <w:vAlign w:val="top"/>
            <w:textDirection w:val="lrTb"/>
            <w:noWrap w:val="false"/>
          </w:tcPr>
          <w:p>
            <w:pPr>
              <w:pStyle w:val="1135"/>
              <w:spacing w:before="40" w:after="40"/>
              <w:rPr>
                <w:bCs/>
                <w:sz w:val="20"/>
                <w:szCs w:val="20"/>
              </w:rPr>
            </w:pPr>
            <w:r>
              <w:rPr>
                <w:bCs/>
                <w:sz w:val="20"/>
                <w:szCs w:val="20"/>
              </w:rPr>
            </w:r>
            <w:r>
              <w:rPr>
                <w:bCs/>
                <w:sz w:val="20"/>
                <w:szCs w:val="20"/>
              </w:rPr>
            </w:r>
            <w:r>
              <w:rPr>
                <w:bCs/>
                <w:sz w:val="20"/>
                <w:szCs w:val="20"/>
              </w:rPr>
            </w:r>
          </w:p>
        </w:tc>
      </w:tr>
      <w:tr>
        <w:tblPrEx/>
        <w:trPr/>
        <w:tc>
          <w:tcPr>
            <w:tcBorders>
              <w:top w:val="single" w:color="000000" w:sz="4" w:space="0"/>
              <w:left w:val="single" w:color="000000" w:sz="4" w:space="0"/>
              <w:bottom w:val="single" w:color="000000" w:sz="4" w:space="0"/>
              <w:right w:val="single" w:color="000000" w:sz="4" w:space="0"/>
            </w:tcBorders>
            <w:tcW w:w="876" w:type="dxa"/>
            <w:vAlign w:val="top"/>
            <w:textDirection w:val="lrTb"/>
            <w:noWrap w:val="false"/>
          </w:tcPr>
          <w:p>
            <w:pPr>
              <w:pStyle w:val="1135"/>
              <w:jc w:val="center"/>
              <w:spacing w:before="40" w:after="40"/>
              <w:rPr>
                <w:bCs/>
                <w:sz w:val="20"/>
                <w:szCs w:val="20"/>
              </w:rPr>
            </w:pPr>
            <w:r>
              <w:rPr>
                <w:bCs/>
                <w:sz w:val="20"/>
                <w:szCs w:val="20"/>
              </w:rPr>
              <w:t xml:space="preserve">7.6.</w:t>
            </w:r>
            <w:r>
              <w:rPr>
                <w:bCs/>
                <w:sz w:val="20"/>
                <w:szCs w:val="20"/>
              </w:rPr>
            </w:r>
            <w:r>
              <w:rPr>
                <w:bCs/>
                <w:sz w:val="20"/>
                <w:szCs w:val="20"/>
              </w:rPr>
            </w:r>
          </w:p>
        </w:tc>
        <w:tc>
          <w:tcPr>
            <w:gridSpan w:val="4"/>
            <w:tcBorders>
              <w:top w:val="single" w:color="000000" w:sz="4" w:space="0"/>
              <w:left w:val="single" w:color="000000" w:sz="4" w:space="0"/>
              <w:bottom w:val="single" w:color="000000" w:sz="4" w:space="0"/>
              <w:right w:val="single" w:color="000000" w:sz="4" w:space="0"/>
            </w:tcBorders>
            <w:tcW w:w="9189" w:type="dxa"/>
            <w:vAlign w:val="top"/>
            <w:textDirection w:val="lrTb"/>
            <w:noWrap w:val="false"/>
          </w:tcPr>
          <w:p>
            <w:pPr>
              <w:pStyle w:val="1135"/>
              <w:spacing w:before="40" w:after="40"/>
              <w:rPr>
                <w:bCs/>
                <w:sz w:val="20"/>
                <w:szCs w:val="20"/>
              </w:rPr>
            </w:pPr>
            <w:r>
              <w:rPr>
                <w:bCs/>
                <w:sz w:val="20"/>
                <w:szCs w:val="20"/>
              </w:rPr>
              <w:t xml:space="preserve">Внеплановая смена сертификата ключа проверки электронной подписи по запросу клиента</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135"/>
              <w:jc w:val="center"/>
              <w:spacing w:before="40" w:after="40"/>
              <w:rPr>
                <w:bCs/>
                <w:sz w:val="20"/>
                <w:szCs w:val="20"/>
              </w:rPr>
            </w:pPr>
            <w:r>
              <w:rPr>
                <w:bCs/>
                <w:sz w:val="20"/>
                <w:szCs w:val="20"/>
              </w:rPr>
              <w:t xml:space="preserve">7.6.1.</w:t>
            </w:r>
            <w:r>
              <w:rPr>
                <w:bCs/>
                <w:sz w:val="20"/>
                <w:szCs w:val="20"/>
              </w:rPr>
            </w:r>
            <w:r>
              <w:rPr>
                <w:bCs/>
                <w:sz w:val="20"/>
                <w:szCs w:val="20"/>
              </w:rPr>
            </w:r>
          </w:p>
        </w:tc>
        <w:tc>
          <w:tcPr>
            <w:tcW w:w="2854" w:type="dxa"/>
            <w:vAlign w:val="top"/>
            <w:textDirection w:val="lrTb"/>
            <w:noWrap w:val="false"/>
          </w:tcPr>
          <w:p>
            <w:pPr>
              <w:pStyle w:val="1135"/>
              <w:jc w:val="both"/>
              <w:spacing w:before="40" w:after="40"/>
              <w:rPr>
                <w:bCs/>
                <w:sz w:val="20"/>
                <w:szCs w:val="20"/>
              </w:rPr>
            </w:pPr>
            <w:r>
              <w:rPr>
                <w:bCs/>
                <w:sz w:val="20"/>
                <w:szCs w:val="20"/>
              </w:rPr>
              <w:t xml:space="preserve">Формирование одного временного / постоянного сертификата ключа проверки электронной подписи на новом ключевом носителе в связи с утратой ключевого носителя или его технических повреждений</w:t>
            </w:r>
            <w:r>
              <w:rPr>
                <w:bCs/>
                <w:sz w:val="20"/>
                <w:szCs w:val="20"/>
              </w:rPr>
            </w:r>
            <w:r>
              <w:rPr>
                <w:bCs/>
                <w:sz w:val="20"/>
                <w:szCs w:val="20"/>
              </w:rPr>
            </w:r>
          </w:p>
        </w:tc>
        <w:tc>
          <w:tcPr>
            <w:gridSpan w:val="2"/>
            <w:tcW w:w="2407" w:type="dxa"/>
            <w:vAlign w:val="top"/>
            <w:textDirection w:val="lrTb"/>
            <w:noWrap w:val="false"/>
          </w:tcPr>
          <w:p>
            <w:pPr>
              <w:pStyle w:val="1135"/>
              <w:jc w:val="center"/>
              <w:spacing w:before="40" w:after="40"/>
              <w:tabs>
                <w:tab w:val="left" w:pos="981" w:leader="none"/>
                <w:tab w:val="left" w:pos="1131" w:leader="none"/>
              </w:tabs>
              <w:rPr>
                <w:bCs/>
                <w:sz w:val="20"/>
                <w:szCs w:val="20"/>
              </w:rPr>
            </w:pPr>
            <w:r>
              <w:rPr>
                <w:sz w:val="20"/>
                <w:szCs w:val="20"/>
              </w:rPr>
              <w:t xml:space="preserve">2</w:t>
            </w:r>
            <w:r>
              <w:rPr>
                <w:sz w:val="20"/>
                <w:szCs w:val="20"/>
              </w:rPr>
              <w:t xml:space="preserve"> </w:t>
            </w:r>
            <w:r>
              <w:rPr>
                <w:sz w:val="20"/>
                <w:szCs w:val="20"/>
              </w:rPr>
              <w:t xml:space="preserve">0</w:t>
            </w:r>
            <w:r>
              <w:rPr>
                <w:sz w:val="20"/>
                <w:szCs w:val="20"/>
              </w:rPr>
              <w:t xml:space="preserve">5</w:t>
            </w:r>
            <w:r>
              <w:rPr>
                <w:sz w:val="20"/>
                <w:szCs w:val="20"/>
              </w:rPr>
              <w:t xml:space="preserve">0 руб.</w:t>
            </w:r>
            <w:r>
              <w:rPr>
                <w:bCs/>
                <w:sz w:val="20"/>
                <w:szCs w:val="20"/>
              </w:rPr>
            </w:r>
            <w:r>
              <w:rPr>
                <w:bCs/>
                <w:sz w:val="20"/>
                <w:szCs w:val="20"/>
              </w:rPr>
            </w:r>
          </w:p>
        </w:tc>
        <w:tc>
          <w:tcPr>
            <w:tcW w:w="3928" w:type="dxa"/>
            <w:vAlign w:val="top"/>
            <w:textDirection w:val="lrTb"/>
            <w:noWrap w:val="false"/>
          </w:tcPr>
          <w:p>
            <w:pPr>
              <w:pStyle w:val="1135"/>
              <w:jc w:val="both"/>
              <w:spacing w:before="40" w:after="40"/>
              <w:rPr>
                <w:bCs/>
                <w:sz w:val="20"/>
                <w:szCs w:val="20"/>
              </w:rPr>
            </w:pPr>
            <w:r>
              <w:rPr>
                <w:bCs/>
                <w:sz w:val="20"/>
                <w:szCs w:val="20"/>
              </w:rPr>
              <w:t xml:space="preserve">Комиссия взимается не позднее рабочего дня, следующего за днем подачи клиентом запроса на аннулирование/отзыв/приостановление сертификата ключа проверки электронной подписи.</w:t>
            </w:r>
            <w:r>
              <w:rPr>
                <w:bCs/>
                <w:sz w:val="20"/>
                <w:szCs w:val="20"/>
              </w:rPr>
            </w:r>
            <w:r>
              <w:rPr>
                <w:bCs/>
                <w:sz w:val="20"/>
                <w:szCs w:val="20"/>
              </w:rPr>
            </w:r>
          </w:p>
          <w:p>
            <w:pPr>
              <w:pStyle w:val="1135"/>
              <w:jc w:val="both"/>
              <w:spacing w:before="40" w:after="40"/>
              <w:rPr>
                <w:bCs/>
                <w:sz w:val="20"/>
                <w:szCs w:val="20"/>
              </w:rPr>
            </w:pPr>
            <w:r>
              <w:rPr>
                <w:bCs/>
                <w:sz w:val="20"/>
                <w:szCs w:val="20"/>
              </w:rPr>
              <w:t xml:space="preserve">Формирование постоянного сертификата ключа проверки электронной подписи на ключевом носителе, выданном Банком,  осуществляется клиентом только с использованием Личного кабинета.</w:t>
            </w:r>
            <w:r>
              <w:rPr>
                <w:bCs/>
                <w:sz w:val="20"/>
                <w:szCs w:val="20"/>
              </w:rPr>
            </w:r>
            <w:r>
              <w:rPr>
                <w:bCs/>
                <w:sz w:val="20"/>
                <w:szCs w:val="20"/>
              </w:rPr>
            </w:r>
          </w:p>
          <w:p>
            <w:pPr>
              <w:pStyle w:val="1135"/>
              <w:jc w:val="both"/>
              <w:spacing w:before="40" w:after="40"/>
              <w:rPr>
                <w:bCs/>
                <w:sz w:val="20"/>
                <w:szCs w:val="20"/>
              </w:rPr>
            </w:pPr>
            <w:r>
              <w:rPr>
                <w:bCs/>
                <w:sz w:val="20"/>
                <w:szCs w:val="20"/>
              </w:rPr>
              <w:t xml:space="preserve">Тариф включает в себя Н</w:t>
            </w:r>
            <w:r>
              <w:rPr>
                <w:bCs/>
                <w:sz w:val="20"/>
                <w:szCs w:val="20"/>
              </w:rPr>
              <w:t xml:space="preserve">ДС (дополнительно не взимается).</w:t>
            </w:r>
            <w:r>
              <w:rPr>
                <w:bCs/>
                <w:sz w:val="20"/>
                <w:szCs w:val="20"/>
              </w:rPr>
            </w:r>
            <w:r>
              <w:rPr>
                <w:bCs/>
                <w:sz w:val="20"/>
                <w:szCs w:val="20"/>
              </w:rPr>
            </w:r>
          </w:p>
          <w:p>
            <w:pPr>
              <w:pStyle w:val="1135"/>
              <w:ind w:firstLine="709"/>
              <w:jc w:val="both"/>
              <w:tabs>
                <w:tab w:val="left" w:pos="1134" w:leader="none"/>
              </w:tabs>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p>
            <w:pPr>
              <w:pStyle w:val="1135"/>
              <w:jc w:val="both"/>
              <w:spacing w:before="40" w:after="40"/>
              <w:rPr>
                <w:bCs/>
                <w:sz w:val="20"/>
                <w:szCs w:val="20"/>
              </w:rPr>
            </w:pPr>
            <w:r>
              <w:rPr>
                <w:bCs/>
                <w:sz w:val="20"/>
                <w:szCs w:val="20"/>
              </w:rPr>
            </w:r>
            <w:r>
              <w:rPr>
                <w:bCs/>
                <w:sz w:val="20"/>
                <w:szCs w:val="20"/>
              </w:rPr>
            </w:r>
            <w:r>
              <w:rPr>
                <w:bCs/>
                <w:sz w:val="20"/>
                <w:szCs w:val="20"/>
              </w:rPr>
            </w:r>
          </w:p>
          <w:p>
            <w:pPr>
              <w:pStyle w:val="1135"/>
              <w:jc w:val="both"/>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135"/>
              <w:jc w:val="center"/>
              <w:spacing w:before="40" w:after="40"/>
              <w:rPr>
                <w:bCs/>
                <w:sz w:val="20"/>
                <w:szCs w:val="20"/>
              </w:rPr>
            </w:pPr>
            <w:r>
              <w:rPr>
                <w:bCs/>
                <w:sz w:val="20"/>
                <w:szCs w:val="20"/>
              </w:rPr>
              <w:t xml:space="preserve">7.6.1.1.</w:t>
            </w:r>
            <w:r>
              <w:rPr>
                <w:bCs/>
                <w:sz w:val="20"/>
                <w:szCs w:val="20"/>
              </w:rPr>
            </w:r>
            <w:r>
              <w:rPr>
                <w:bCs/>
                <w:sz w:val="20"/>
                <w:szCs w:val="20"/>
              </w:rPr>
            </w:r>
          </w:p>
        </w:tc>
        <w:tc>
          <w:tcPr>
            <w:tcW w:w="2854" w:type="dxa"/>
            <w:vAlign w:val="top"/>
            <w:textDirection w:val="lrTb"/>
            <w:noWrap w:val="false"/>
          </w:tcPr>
          <w:p>
            <w:pPr>
              <w:pStyle w:val="1135"/>
              <w:jc w:val="both"/>
              <w:spacing w:before="40" w:after="40"/>
              <w:rPr>
                <w:bCs/>
                <w:sz w:val="20"/>
                <w:szCs w:val="20"/>
              </w:rPr>
            </w:pPr>
            <w:r>
              <w:rPr>
                <w:bCs/>
                <w:sz w:val="20"/>
                <w:szCs w:val="20"/>
              </w:rPr>
              <w:t xml:space="preserve">Формирование одного постоянного сертификата ключа проверки электронной подписи по запросу клиента</w:t>
            </w:r>
            <w:r>
              <w:rPr>
                <w:bCs/>
                <w:sz w:val="20"/>
                <w:szCs w:val="20"/>
              </w:rPr>
            </w:r>
            <w:r>
              <w:rPr>
                <w:bCs/>
                <w:sz w:val="20"/>
                <w:szCs w:val="20"/>
              </w:rPr>
            </w:r>
          </w:p>
        </w:tc>
        <w:tc>
          <w:tcPr>
            <w:gridSpan w:val="2"/>
            <w:tcW w:w="2407" w:type="dxa"/>
            <w:vAlign w:val="top"/>
            <w:textDirection w:val="lrTb"/>
            <w:noWrap w:val="false"/>
          </w:tcPr>
          <w:p>
            <w:pPr>
              <w:pStyle w:val="1135"/>
              <w:jc w:val="center"/>
              <w:spacing w:before="40" w:after="40"/>
              <w:tabs>
                <w:tab w:val="left" w:pos="981" w:leader="none"/>
                <w:tab w:val="left" w:pos="1131" w:leader="none"/>
              </w:tabs>
              <w:rPr>
                <w:sz w:val="20"/>
                <w:szCs w:val="20"/>
              </w:rPr>
            </w:pPr>
            <w:r>
              <w:rPr>
                <w:sz w:val="20"/>
                <w:szCs w:val="20"/>
              </w:rPr>
              <w:t xml:space="preserve">Не взимается</w:t>
            </w:r>
            <w:r>
              <w:rPr>
                <w:sz w:val="20"/>
                <w:szCs w:val="20"/>
              </w:rPr>
            </w:r>
            <w:r>
              <w:rPr>
                <w:sz w:val="20"/>
                <w:szCs w:val="20"/>
              </w:rPr>
            </w:r>
          </w:p>
        </w:tc>
        <w:tc>
          <w:tcPr>
            <w:tcW w:w="3928" w:type="dxa"/>
            <w:vAlign w:val="top"/>
            <w:textDirection w:val="lrTb"/>
            <w:noWrap w:val="false"/>
          </w:tcPr>
          <w:p>
            <w:pPr>
              <w:pStyle w:val="1135"/>
              <w:jc w:val="both"/>
              <w:spacing w:before="40"/>
              <w:rPr>
                <w:bCs/>
                <w:sz w:val="20"/>
                <w:szCs w:val="20"/>
              </w:rPr>
            </w:pPr>
            <w:r>
              <w:rPr>
                <w:bCs/>
                <w:sz w:val="20"/>
                <w:szCs w:val="20"/>
              </w:rPr>
              <w:t xml:space="preserve">Услуга предоставляется клиенту после выполнения условий по п.7.6.1</w:t>
            </w:r>
            <w:r>
              <w:rPr>
                <w:bCs/>
                <w:sz w:val="20"/>
                <w:szCs w:val="20"/>
              </w:rPr>
            </w:r>
            <w:r>
              <w:rPr>
                <w:bCs/>
                <w:sz w:val="20"/>
                <w:szCs w:val="20"/>
              </w:rPr>
            </w:r>
          </w:p>
          <w:p>
            <w:pPr>
              <w:pStyle w:val="1135"/>
              <w:jc w:val="both"/>
              <w:spacing w:after="40"/>
              <w:rPr>
                <w:bCs/>
                <w:sz w:val="20"/>
                <w:szCs w:val="20"/>
              </w:rPr>
            </w:pPr>
            <w:r>
              <w:rPr>
                <w:bCs/>
                <w:sz w:val="20"/>
                <w:szCs w:val="20"/>
              </w:rPr>
              <w:t xml:space="preserve">Услуга по внеплановой смене постоянного сертификата ключа проверки электронной подписи при обслуживании клиента по системе «Интернет-Клиент»</w:t>
            </w:r>
            <w:r>
              <w:rPr>
                <w:bCs/>
                <w:sz w:val="20"/>
                <w:szCs w:val="20"/>
              </w:rPr>
              <w:t xml:space="preserve">/ «Свой Бизнес»</w:t>
            </w:r>
            <w:r>
              <w:rPr>
                <w:bCs/>
                <w:sz w:val="20"/>
                <w:szCs w:val="20"/>
              </w:rPr>
              <w:t xml:space="preserve"> с использованием Личного кабинета услуга предоставляется в соответствии с         п. 7.6.1</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135"/>
              <w:jc w:val="center"/>
              <w:spacing w:before="40" w:after="40"/>
              <w:rPr>
                <w:bCs/>
                <w:sz w:val="20"/>
                <w:szCs w:val="20"/>
              </w:rPr>
            </w:pPr>
            <w:r>
              <w:rPr>
                <w:bCs/>
                <w:sz w:val="20"/>
                <w:szCs w:val="20"/>
              </w:rPr>
              <w:t xml:space="preserve">7.6.2.</w:t>
            </w:r>
            <w:r>
              <w:rPr>
                <w:bCs/>
                <w:sz w:val="20"/>
                <w:szCs w:val="20"/>
              </w:rPr>
            </w:r>
            <w:r>
              <w:rPr>
                <w:bCs/>
                <w:sz w:val="20"/>
                <w:szCs w:val="20"/>
              </w:rPr>
            </w:r>
          </w:p>
        </w:tc>
        <w:tc>
          <w:tcPr>
            <w:tcW w:w="2854" w:type="dxa"/>
            <w:vAlign w:val="top"/>
            <w:textDirection w:val="lrTb"/>
            <w:noWrap w:val="false"/>
          </w:tcPr>
          <w:p>
            <w:pPr>
              <w:pStyle w:val="1135"/>
              <w:jc w:val="both"/>
              <w:spacing w:before="40" w:after="40"/>
              <w:rPr>
                <w:bCs/>
                <w:sz w:val="20"/>
                <w:szCs w:val="20"/>
              </w:rPr>
            </w:pPr>
            <w:r>
              <w:rPr>
                <w:bCs/>
                <w:sz w:val="20"/>
                <w:szCs w:val="20"/>
              </w:rPr>
              <w:t xml:space="preserve">Формирование временного/постоянного сертификата ключа проверки электронной подписи в связи с компрометацией ключа проверки электронной подписи на новом ключевом носителе</w:t>
            </w:r>
            <w:r>
              <w:rPr>
                <w:bCs/>
                <w:sz w:val="20"/>
                <w:szCs w:val="20"/>
              </w:rPr>
            </w:r>
            <w:r>
              <w:rPr>
                <w:bCs/>
                <w:sz w:val="20"/>
                <w:szCs w:val="20"/>
              </w:rPr>
            </w:r>
          </w:p>
        </w:tc>
        <w:tc>
          <w:tcPr>
            <w:gridSpan w:val="2"/>
            <w:tcW w:w="2407" w:type="dxa"/>
            <w:vAlign w:val="top"/>
            <w:textDirection w:val="lrTb"/>
            <w:noWrap w:val="false"/>
          </w:tcPr>
          <w:p>
            <w:pPr>
              <w:pStyle w:val="1135"/>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W w:w="3928" w:type="dxa"/>
            <w:vAlign w:val="top"/>
            <w:textDirection w:val="lrTb"/>
            <w:noWrap w:val="false"/>
          </w:tcPr>
          <w:p>
            <w:pPr>
              <w:pStyle w:val="1135"/>
              <w:jc w:val="both"/>
              <w:spacing w:before="40"/>
              <w:rPr>
                <w:bCs/>
                <w:sz w:val="20"/>
                <w:szCs w:val="20"/>
              </w:rPr>
            </w:pPr>
            <w:r>
              <w:rPr>
                <w:bCs/>
                <w:sz w:val="20"/>
                <w:szCs w:val="20"/>
              </w:rPr>
              <w:t xml:space="preserve">Тариф применяется в случае возврата клиентом ключевого носителя, ранее выданного Банком.</w:t>
            </w:r>
            <w:r>
              <w:rPr>
                <w:bCs/>
                <w:sz w:val="20"/>
                <w:szCs w:val="20"/>
              </w:rPr>
            </w:r>
            <w:r>
              <w:rPr>
                <w:bCs/>
                <w:sz w:val="20"/>
                <w:szCs w:val="20"/>
              </w:rPr>
            </w:r>
          </w:p>
          <w:p>
            <w:pPr>
              <w:pStyle w:val="1135"/>
              <w:jc w:val="both"/>
              <w:spacing w:before="40"/>
              <w:rPr>
                <w:bCs/>
                <w:sz w:val="20"/>
                <w:szCs w:val="20"/>
              </w:rPr>
            </w:pPr>
            <w:r>
              <w:rPr>
                <w:bCs/>
                <w:sz w:val="20"/>
                <w:szCs w:val="20"/>
              </w:rPr>
              <w:t xml:space="preserve">В случае непредставления клиентом ключевого носителя, ранее выданного Банком, с клиента взимается комиссия в соответствии с п. 7.6.1 в день получения клиентом от Банка нового ключевого носителя.</w:t>
            </w:r>
            <w:r>
              <w:rPr>
                <w:bCs/>
                <w:sz w:val="20"/>
                <w:szCs w:val="20"/>
              </w:rPr>
            </w:r>
            <w:r>
              <w:rPr>
                <w:bCs/>
                <w:sz w:val="20"/>
                <w:szCs w:val="20"/>
              </w:rPr>
            </w:r>
          </w:p>
          <w:p>
            <w:pPr>
              <w:pStyle w:val="1135"/>
              <w:jc w:val="both"/>
              <w:spacing w:after="40"/>
              <w:rPr>
                <w:bCs/>
                <w:sz w:val="20"/>
                <w:szCs w:val="20"/>
              </w:rPr>
            </w:pPr>
            <w:r>
              <w:rPr>
                <w:bCs/>
                <w:sz w:val="20"/>
                <w:szCs w:val="20"/>
              </w:rPr>
              <w:t xml:space="preserve">Формирование постоянного сертификата ключа проверки электронной подписи на ключевом носителе, выданном Банком,  осуществляется клиентом только с </w:t>
            </w:r>
            <w:r>
              <w:rPr>
                <w:bCs/>
                <w:sz w:val="20"/>
                <w:szCs w:val="20"/>
              </w:rPr>
              <w:t xml:space="preserve">использованием Личного кабинета</w:t>
            </w:r>
            <w:r>
              <w:rPr>
                <w:bCs/>
                <w:sz w:val="20"/>
                <w:szCs w:val="20"/>
              </w:rPr>
              <w:t xml:space="preserve">.</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135"/>
              <w:jc w:val="center"/>
              <w:spacing w:before="40" w:after="40"/>
              <w:rPr>
                <w:bCs/>
                <w:sz w:val="20"/>
                <w:szCs w:val="20"/>
              </w:rPr>
            </w:pPr>
            <w:r>
              <w:rPr>
                <w:bCs/>
                <w:sz w:val="20"/>
                <w:szCs w:val="20"/>
              </w:rPr>
              <w:t xml:space="preserve">7.6.2.1.</w:t>
            </w:r>
            <w:r>
              <w:rPr>
                <w:bCs/>
                <w:sz w:val="20"/>
                <w:szCs w:val="20"/>
              </w:rPr>
            </w:r>
            <w:r>
              <w:rPr>
                <w:bCs/>
                <w:sz w:val="20"/>
                <w:szCs w:val="20"/>
              </w:rPr>
            </w:r>
          </w:p>
        </w:tc>
        <w:tc>
          <w:tcPr>
            <w:tcW w:w="2854" w:type="dxa"/>
            <w:vAlign w:val="top"/>
            <w:textDirection w:val="lrTb"/>
            <w:noWrap w:val="false"/>
          </w:tcPr>
          <w:p>
            <w:pPr>
              <w:pStyle w:val="1135"/>
              <w:jc w:val="both"/>
              <w:spacing w:before="40" w:after="40"/>
              <w:rPr>
                <w:bCs/>
                <w:sz w:val="20"/>
                <w:szCs w:val="20"/>
              </w:rPr>
            </w:pPr>
            <w:r>
              <w:rPr>
                <w:bCs/>
                <w:sz w:val="20"/>
                <w:szCs w:val="20"/>
              </w:rPr>
              <w:t xml:space="preserve">Формирование постоянного сертификата ключа проверки электронной подписи по запросу клиента</w:t>
            </w:r>
            <w:r>
              <w:rPr>
                <w:bCs/>
                <w:sz w:val="20"/>
                <w:szCs w:val="20"/>
              </w:rPr>
            </w:r>
            <w:r>
              <w:rPr>
                <w:bCs/>
                <w:sz w:val="20"/>
                <w:szCs w:val="20"/>
              </w:rPr>
            </w:r>
          </w:p>
        </w:tc>
        <w:tc>
          <w:tcPr>
            <w:gridSpan w:val="2"/>
            <w:tcW w:w="2407" w:type="dxa"/>
            <w:vAlign w:val="top"/>
            <w:textDirection w:val="lrTb"/>
            <w:noWrap w:val="false"/>
          </w:tcPr>
          <w:p>
            <w:pPr>
              <w:pStyle w:val="1135"/>
              <w:jc w:val="center"/>
              <w:spacing w:before="40" w:after="40"/>
              <w:rPr>
                <w:bCs/>
                <w:sz w:val="20"/>
                <w:szCs w:val="20"/>
              </w:rPr>
            </w:pPr>
            <w:r>
              <w:rPr>
                <w:sz w:val="20"/>
                <w:szCs w:val="20"/>
              </w:rPr>
              <w:t xml:space="preserve">Не взимается</w:t>
            </w:r>
            <w:r>
              <w:rPr>
                <w:bCs/>
                <w:sz w:val="20"/>
                <w:szCs w:val="20"/>
              </w:rPr>
            </w:r>
            <w:r>
              <w:rPr>
                <w:bCs/>
                <w:sz w:val="20"/>
                <w:szCs w:val="20"/>
              </w:rPr>
            </w:r>
          </w:p>
        </w:tc>
        <w:tc>
          <w:tcPr>
            <w:tcW w:w="3928" w:type="dxa"/>
            <w:vAlign w:val="top"/>
            <w:textDirection w:val="lrTb"/>
            <w:noWrap w:val="false"/>
          </w:tcPr>
          <w:p>
            <w:pPr>
              <w:pStyle w:val="1135"/>
              <w:jc w:val="both"/>
              <w:spacing w:before="40"/>
              <w:rPr>
                <w:bCs/>
                <w:sz w:val="20"/>
                <w:szCs w:val="20"/>
              </w:rPr>
            </w:pPr>
            <w:r>
              <w:rPr>
                <w:bCs/>
                <w:sz w:val="20"/>
                <w:szCs w:val="20"/>
              </w:rPr>
              <w:t xml:space="preserve">Услуга предоставляется клиенту после выполнения условий по п. 7.6.2.</w:t>
            </w:r>
            <w:r>
              <w:rPr>
                <w:bCs/>
                <w:sz w:val="20"/>
                <w:szCs w:val="20"/>
              </w:rPr>
            </w:r>
            <w:r>
              <w:rPr>
                <w:bCs/>
                <w:sz w:val="20"/>
                <w:szCs w:val="20"/>
              </w:rPr>
            </w:r>
          </w:p>
          <w:p>
            <w:pPr>
              <w:pStyle w:val="1135"/>
              <w:jc w:val="both"/>
              <w:spacing w:after="40"/>
              <w:rPr>
                <w:bCs/>
                <w:sz w:val="20"/>
                <w:szCs w:val="20"/>
              </w:rPr>
            </w:pPr>
            <w:r>
              <w:rPr>
                <w:bCs/>
                <w:sz w:val="20"/>
                <w:szCs w:val="20"/>
              </w:rPr>
              <w:t xml:space="preserve">Услуга по внеплановой смене постоянного сертификата ключа проверки электронной подписи при обслуживании клиента по системе «Интернет-Клиент»</w:t>
            </w:r>
            <w:r>
              <w:rPr>
                <w:bCs/>
                <w:sz w:val="20"/>
                <w:szCs w:val="20"/>
              </w:rPr>
              <w:t xml:space="preserve">/ «Свой Бизнес»</w:t>
            </w:r>
            <w:r>
              <w:rPr>
                <w:bCs/>
                <w:sz w:val="20"/>
                <w:szCs w:val="20"/>
              </w:rPr>
              <w:t xml:space="preserve"> с использованием Личного кабинета предоставляется в соответствии с п. 7.6.2</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065"/>
        </w:trPr>
        <w:tc>
          <w:tcPr>
            <w:tcW w:w="876" w:type="dxa"/>
            <w:vAlign w:val="top"/>
            <w:textDirection w:val="lrTb"/>
            <w:noWrap w:val="false"/>
          </w:tcPr>
          <w:p>
            <w:pPr>
              <w:pStyle w:val="1135"/>
              <w:jc w:val="center"/>
              <w:spacing w:before="40" w:after="40"/>
              <w:rPr>
                <w:bCs/>
                <w:sz w:val="20"/>
                <w:szCs w:val="20"/>
              </w:rPr>
            </w:pPr>
            <w:r>
              <w:rPr>
                <w:bCs/>
                <w:sz w:val="20"/>
                <w:szCs w:val="20"/>
              </w:rPr>
              <w:t xml:space="preserve">7.7.</w:t>
            </w:r>
            <w:r>
              <w:rPr>
                <w:bCs/>
                <w:sz w:val="20"/>
                <w:szCs w:val="20"/>
              </w:rPr>
            </w:r>
            <w:r>
              <w:rPr>
                <w:bCs/>
                <w:sz w:val="20"/>
                <w:szCs w:val="20"/>
              </w:rPr>
            </w:r>
          </w:p>
        </w:tc>
        <w:tc>
          <w:tcPr>
            <w:tcW w:w="2854" w:type="dxa"/>
            <w:vAlign w:val="top"/>
            <w:textDirection w:val="lrTb"/>
            <w:noWrap w:val="false"/>
          </w:tcPr>
          <w:p>
            <w:pPr>
              <w:pStyle w:val="1135"/>
              <w:jc w:val="both"/>
              <w:spacing w:before="40" w:after="40"/>
              <w:rPr>
                <w:bCs/>
                <w:sz w:val="20"/>
                <w:szCs w:val="20"/>
              </w:rPr>
            </w:pPr>
            <w:r>
              <w:rPr>
                <w:bCs/>
                <w:sz w:val="20"/>
                <w:szCs w:val="20"/>
              </w:rPr>
              <w:t xml:space="preserve">Доступ к сервису проверки контрагентов</w:t>
            </w:r>
            <w:r>
              <w:rPr>
                <w:bCs/>
                <w:sz w:val="20"/>
                <w:szCs w:val="20"/>
              </w:rPr>
            </w:r>
            <w:r>
              <w:rPr>
                <w:bCs/>
                <w:sz w:val="20"/>
                <w:szCs w:val="20"/>
              </w:rPr>
            </w:r>
          </w:p>
        </w:tc>
        <w:tc>
          <w:tcPr>
            <w:gridSpan w:val="2"/>
            <w:tcW w:w="2407" w:type="dxa"/>
            <w:vAlign w:val="top"/>
            <w:textDirection w:val="lrTb"/>
            <w:noWrap w:val="false"/>
          </w:tcPr>
          <w:p>
            <w:pPr>
              <w:pStyle w:val="1135"/>
              <w:jc w:val="center"/>
              <w:spacing w:before="40" w:after="40"/>
              <w:rPr>
                <w:sz w:val="20"/>
                <w:szCs w:val="20"/>
              </w:rPr>
            </w:pPr>
            <w:r>
              <w:rPr>
                <w:sz w:val="20"/>
                <w:szCs w:val="20"/>
              </w:rPr>
              <w:t xml:space="preserve">290 руб. в месяц</w:t>
            </w:r>
            <w:r>
              <w:rPr>
                <w:sz w:val="20"/>
                <w:szCs w:val="20"/>
              </w:rPr>
            </w:r>
            <w:r>
              <w:rPr>
                <w:sz w:val="20"/>
                <w:szCs w:val="20"/>
              </w:rPr>
            </w:r>
          </w:p>
        </w:tc>
        <w:tc>
          <w:tcPr>
            <w:tcW w:w="3928" w:type="dxa"/>
            <w:vAlign w:val="top"/>
            <w:textDirection w:val="lrTb"/>
            <w:noWrap w:val="false"/>
          </w:tcPr>
          <w:p>
            <w:pPr>
              <w:pStyle w:val="1135"/>
              <w:jc w:val="both"/>
              <w:spacing w:before="40"/>
              <w:rPr>
                <w:bCs/>
                <w:sz w:val="20"/>
                <w:szCs w:val="20"/>
              </w:rPr>
            </w:pPr>
            <w:r>
              <w:rPr>
                <w:bCs/>
                <w:sz w:val="20"/>
                <w:szCs w:val="20"/>
              </w:rPr>
              <w:t xml:space="preserve">Комиссия взимается при подключении услуги и далее ежемесячно в первый рабочий день месяца.</w:t>
            </w:r>
            <w:r>
              <w:rPr>
                <w:bCs/>
                <w:sz w:val="20"/>
                <w:szCs w:val="20"/>
              </w:rPr>
            </w:r>
            <w:r>
              <w:rPr>
                <w:bCs/>
                <w:sz w:val="20"/>
                <w:szCs w:val="20"/>
              </w:rPr>
            </w:r>
          </w:p>
          <w:p>
            <w:pPr>
              <w:pStyle w:val="1135"/>
              <w:jc w:val="both"/>
              <w:spacing w:before="40"/>
              <w:rPr>
                <w:bCs/>
                <w:sz w:val="20"/>
                <w:szCs w:val="20"/>
              </w:rPr>
            </w:pPr>
            <w:r>
              <w:rPr>
                <w:bCs/>
                <w:sz w:val="20"/>
                <w:szCs w:val="20"/>
              </w:rPr>
              <w:t xml:space="preserve">Услуга доступна в системах «Интернет-Клиент», «Мобильный банк»</w:t>
            </w:r>
            <w:r>
              <w:rPr>
                <w:bCs/>
                <w:sz w:val="20"/>
                <w:szCs w:val="20"/>
              </w:rPr>
              <w:t xml:space="preserve">, «Свой Бизнес».</w:t>
            </w:r>
            <w:r>
              <w:rPr>
                <w:bCs/>
                <w:sz w:val="20"/>
                <w:szCs w:val="20"/>
              </w:rPr>
            </w:r>
            <w:r>
              <w:rPr>
                <w:bCs/>
                <w:sz w:val="20"/>
                <w:szCs w:val="20"/>
              </w:rPr>
            </w:r>
          </w:p>
          <w:p>
            <w:pPr>
              <w:pStyle w:val="1135"/>
              <w:jc w:val="both"/>
              <w:spacing w:before="40"/>
              <w:rPr>
                <w:bCs/>
                <w:sz w:val="20"/>
                <w:szCs w:val="20"/>
              </w:rPr>
            </w:pPr>
            <w:r>
              <w:rPr>
                <w:bCs/>
                <w:sz w:val="20"/>
                <w:szCs w:val="20"/>
              </w:rPr>
              <w:t xml:space="preserve">За неполный месяц обслуживания плата взимается в размере установленного тарифа.</w:t>
            </w:r>
            <w:r>
              <w:rPr>
                <w:bCs/>
                <w:sz w:val="20"/>
                <w:szCs w:val="20"/>
              </w:rPr>
            </w:r>
            <w:r>
              <w:rPr>
                <w:bCs/>
                <w:sz w:val="20"/>
                <w:szCs w:val="20"/>
              </w:rPr>
            </w:r>
          </w:p>
          <w:p>
            <w:pPr>
              <w:pStyle w:val="1135"/>
              <w:jc w:val="both"/>
              <w:spacing w:before="40"/>
              <w:rPr>
                <w:bCs/>
                <w:sz w:val="20"/>
                <w:szCs w:val="20"/>
              </w:rPr>
            </w:pPr>
            <w:r>
              <w:rPr>
                <w:bCs/>
                <w:sz w:val="20"/>
                <w:szCs w:val="20"/>
              </w:rPr>
              <w:t xml:space="preserve">Предоставление услуги приостанавливается в случае отсутствия на счете клиента денежных средств в сумме, необходимой для оплаты комиссии, и возобновляется после оплаты начисленной комиссии.</w:t>
            </w:r>
            <w:r>
              <w:rPr>
                <w:bCs/>
                <w:sz w:val="20"/>
                <w:szCs w:val="20"/>
              </w:rPr>
            </w:r>
            <w:r>
              <w:rPr>
                <w:bCs/>
                <w:sz w:val="20"/>
                <w:szCs w:val="20"/>
              </w:rPr>
            </w:r>
          </w:p>
          <w:p>
            <w:pPr>
              <w:pStyle w:val="1135"/>
              <w:jc w:val="both"/>
              <w:spacing w:before="40"/>
              <w:rPr>
                <w:bCs/>
                <w:sz w:val="20"/>
                <w:szCs w:val="20"/>
              </w:rPr>
            </w:pPr>
            <w:r>
              <w:rPr>
                <w:bCs/>
                <w:sz w:val="20"/>
                <w:szCs w:val="20"/>
              </w:rPr>
              <w:t xml:space="preserve">Услуга облагается НДС, сумма которого взимается дополнительно.</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125"/>
        </w:trPr>
        <w:tc>
          <w:tcPr>
            <w:tcW w:w="876" w:type="dxa"/>
            <w:vAlign w:val="top"/>
            <w:textDirection w:val="lrTb"/>
            <w:noWrap w:val="false"/>
          </w:tcPr>
          <w:p>
            <w:pPr>
              <w:pStyle w:val="1135"/>
              <w:jc w:val="center"/>
              <w:spacing w:before="40" w:after="40"/>
              <w:rPr>
                <w:bCs/>
                <w:sz w:val="20"/>
                <w:szCs w:val="20"/>
              </w:rPr>
            </w:pPr>
            <w:r>
              <w:rPr>
                <w:bCs/>
                <w:sz w:val="20"/>
                <w:szCs w:val="20"/>
              </w:rPr>
              <w:t xml:space="preserve">7.8.</w:t>
            </w:r>
            <w:r>
              <w:rPr>
                <w:bCs/>
                <w:sz w:val="20"/>
                <w:szCs w:val="20"/>
              </w:rPr>
            </w:r>
            <w:r>
              <w:rPr>
                <w:bCs/>
                <w:sz w:val="20"/>
                <w:szCs w:val="20"/>
              </w:rPr>
            </w:r>
          </w:p>
        </w:tc>
        <w:tc>
          <w:tcPr>
            <w:tcW w:w="2854" w:type="dxa"/>
            <w:vAlign w:val="top"/>
            <w:textDirection w:val="lrTb"/>
            <w:noWrap w:val="false"/>
          </w:tcPr>
          <w:p>
            <w:pPr>
              <w:pStyle w:val="1135"/>
              <w:spacing w:before="40"/>
              <w:rPr>
                <w:sz w:val="20"/>
                <w:szCs w:val="20"/>
              </w:rPr>
            </w:pPr>
            <w:r>
              <w:rPr>
                <w:sz w:val="20"/>
                <w:szCs w:val="20"/>
              </w:rPr>
              <w:t xml:space="preserve">Получение одноразового пароля (кода подтверждения) посредством </w:t>
            </w:r>
            <w:r>
              <w:rPr>
                <w:sz w:val="20"/>
                <w:szCs w:val="20"/>
                <w:lang w:val="en-US"/>
              </w:rPr>
              <w:t xml:space="preserve">SMS</w:t>
            </w:r>
            <w:r>
              <w:rPr>
                <w:sz w:val="20"/>
                <w:szCs w:val="20"/>
              </w:rPr>
              <w:t xml:space="preserve">-сообщения для авторизации и/или формирования электронной подписи </w:t>
              <w:br w:type="textWrapping" w:clear="all"/>
              <w:t xml:space="preserve">в «Свой Бизнес»</w:t>
            </w:r>
            <w:r>
              <w:rPr>
                <w:sz w:val="20"/>
                <w:szCs w:val="20"/>
              </w:rPr>
            </w:r>
            <w:r>
              <w:rPr>
                <w:sz w:val="20"/>
                <w:szCs w:val="20"/>
              </w:rPr>
            </w:r>
          </w:p>
        </w:tc>
        <w:tc>
          <w:tcPr>
            <w:gridSpan w:val="2"/>
            <w:tcW w:w="2407" w:type="dxa"/>
            <w:vAlign w:val="top"/>
            <w:textDirection w:val="lrTb"/>
            <w:noWrap w:val="false"/>
          </w:tcPr>
          <w:p>
            <w:pPr>
              <w:pStyle w:val="1135"/>
              <w:jc w:val="center"/>
              <w:spacing w:before="40" w:after="40"/>
              <w:rPr>
                <w:sz w:val="20"/>
                <w:szCs w:val="20"/>
              </w:rPr>
            </w:pPr>
            <w:r>
              <w:rPr>
                <w:sz w:val="20"/>
                <w:szCs w:val="20"/>
              </w:rPr>
              <w:t xml:space="preserve">Не взимается</w:t>
            </w:r>
            <w:r>
              <w:rPr>
                <w:sz w:val="20"/>
                <w:szCs w:val="20"/>
              </w:rPr>
            </w:r>
            <w:r>
              <w:rPr>
                <w:sz w:val="20"/>
                <w:szCs w:val="20"/>
              </w:rPr>
            </w:r>
          </w:p>
        </w:tc>
        <w:tc>
          <w:tcPr>
            <w:tcW w:w="3928" w:type="dxa"/>
            <w:vAlign w:val="top"/>
            <w:textDirection w:val="lrTb"/>
            <w:noWrap w:val="false"/>
          </w:tcPr>
          <w:p>
            <w:pPr>
              <w:pStyle w:val="1135"/>
              <w:jc w:val="both"/>
              <w:spacing w:before="40"/>
              <w:rPr>
                <w:bCs/>
                <w:sz w:val="20"/>
                <w:szCs w:val="20"/>
              </w:rPr>
            </w:pPr>
            <w:r>
              <w:rPr>
                <w:bCs/>
                <w:sz w:val="20"/>
                <w:szCs w:val="20"/>
              </w:rPr>
              <w:t xml:space="preserve">В случае введения тарифа указанная комиссия облагается НДС, сумма которого взимается дополнительно.»</w:t>
            </w:r>
            <w:r>
              <w:rPr>
                <w:bCs/>
                <w:sz w:val="20"/>
                <w:szCs w:val="20"/>
              </w:rPr>
            </w:r>
            <w:r>
              <w:rPr>
                <w:bCs/>
                <w:sz w:val="20"/>
                <w:szCs w:val="20"/>
              </w:rPr>
            </w:r>
          </w:p>
          <w:p>
            <w:pPr>
              <w:pStyle w:val="1135"/>
              <w:jc w:val="both"/>
              <w:spacing w:before="40"/>
              <w:rPr>
                <w:bCs/>
                <w:sz w:val="20"/>
                <w:szCs w:val="20"/>
              </w:rPr>
            </w:pPr>
            <w:r>
              <w:rPr>
                <w:bCs/>
                <w:sz w:val="20"/>
                <w:szCs w:val="20"/>
              </w:rPr>
            </w:r>
            <w:r>
              <w:rPr>
                <w:bCs/>
                <w:sz w:val="20"/>
                <w:szCs w:val="20"/>
              </w:rPr>
            </w:r>
            <w:r>
              <w:rPr>
                <w:bCs/>
                <w:sz w:val="20"/>
                <w:szCs w:val="20"/>
              </w:rPr>
            </w:r>
          </w:p>
          <w:p>
            <w:pPr>
              <w:pStyle w:val="1135"/>
              <w:jc w:val="both"/>
              <w:spacing w:before="40"/>
              <w:rPr>
                <w:bCs/>
                <w:sz w:val="20"/>
                <w:szCs w:val="20"/>
              </w:rPr>
            </w:pPr>
            <w:r>
              <w:rPr>
                <w:bCs/>
                <w:sz w:val="20"/>
                <w:szCs w:val="20"/>
              </w:rPr>
            </w:r>
            <w:r>
              <w:rPr>
                <w:bCs/>
                <w:sz w:val="20"/>
                <w:szCs w:val="20"/>
              </w:rPr>
            </w:r>
            <w:r>
              <w:rPr>
                <w:bCs/>
                <w:sz w:val="20"/>
                <w:szCs w:val="20"/>
              </w:rPr>
            </w:r>
          </w:p>
        </w:tc>
      </w:tr>
      <w:tr>
        <w:tblPrEx/>
        <w:trPr/>
        <w:tc>
          <w:tcPr>
            <w:tcBorders>
              <w:top w:val="single" w:color="000000" w:sz="4" w:space="0"/>
              <w:left w:val="single" w:color="000000" w:sz="4" w:space="0"/>
              <w:bottom w:val="single" w:color="000000" w:sz="4" w:space="0"/>
              <w:right w:val="single" w:color="000000" w:sz="4" w:space="0"/>
            </w:tcBorders>
            <w:tcW w:w="876" w:type="dxa"/>
            <w:vAlign w:val="top"/>
            <w:textDirection w:val="lrTb"/>
            <w:noWrap w:val="false"/>
          </w:tcPr>
          <w:p>
            <w:pPr>
              <w:pStyle w:val="1135"/>
              <w:jc w:val="center"/>
              <w:spacing w:before="40" w:after="40"/>
              <w:rPr>
                <w:bCs/>
                <w:sz w:val="20"/>
                <w:szCs w:val="20"/>
              </w:rPr>
            </w:pPr>
            <w:r>
              <w:rPr>
                <w:bCs/>
                <w:sz w:val="20"/>
                <w:szCs w:val="20"/>
              </w:rPr>
              <w:t xml:space="preserve">7.9</w:t>
            </w:r>
            <w:r>
              <w:rPr>
                <w:bCs/>
                <w:sz w:val="20"/>
                <w:szCs w:val="20"/>
              </w:rPr>
              <w:t xml:space="preserve">.</w:t>
            </w:r>
            <w:r>
              <w:rPr>
                <w:bCs/>
                <w:sz w:val="20"/>
                <w:szCs w:val="20"/>
              </w:rPr>
            </w:r>
            <w:r>
              <w:rPr>
                <w:bCs/>
                <w:sz w:val="20"/>
                <w:szCs w:val="20"/>
              </w:rPr>
            </w:r>
          </w:p>
        </w:tc>
        <w:tc>
          <w:tcPr>
            <w:gridSpan w:val="4"/>
            <w:tcBorders>
              <w:top w:val="single" w:color="000000" w:sz="4" w:space="0"/>
              <w:left w:val="single" w:color="000000" w:sz="4" w:space="0"/>
              <w:bottom w:val="single" w:color="000000" w:sz="4" w:space="0"/>
              <w:right w:val="single" w:color="000000" w:sz="4" w:space="0"/>
            </w:tcBorders>
            <w:tcW w:w="9189" w:type="dxa"/>
            <w:vAlign w:val="top"/>
            <w:textDirection w:val="lrTb"/>
            <w:noWrap w:val="false"/>
          </w:tcPr>
          <w:p>
            <w:pPr>
              <w:pStyle w:val="1135"/>
              <w:spacing w:before="40" w:after="40"/>
              <w:rPr>
                <w:bCs/>
                <w:sz w:val="20"/>
                <w:szCs w:val="20"/>
              </w:rPr>
            </w:pPr>
            <w:r>
              <w:rPr>
                <w:sz w:val="20"/>
                <w:szCs w:val="20"/>
                <w:lang w:eastAsia="en-US"/>
              </w:rPr>
              <w:t xml:space="preserve">Сервис </w:t>
            </w:r>
            <w:r>
              <w:rPr>
                <w:sz w:val="20"/>
                <w:szCs w:val="20"/>
              </w:rPr>
              <w:t xml:space="preserve">«</w:t>
            </w:r>
            <w:r>
              <w:rPr>
                <w:sz w:val="20"/>
                <w:szCs w:val="20"/>
                <w:lang w:val="en-US"/>
              </w:rPr>
              <w:t xml:space="preserve">SMS</w:t>
            </w:r>
            <w:r>
              <w:rPr>
                <w:sz w:val="20"/>
                <w:szCs w:val="20"/>
              </w:rPr>
              <w:t xml:space="preserve"> информирование»</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125"/>
        </w:trPr>
        <w:tc>
          <w:tcPr>
            <w:tcW w:w="876" w:type="dxa"/>
            <w:vAlign w:val="top"/>
            <w:textDirection w:val="lrTb"/>
            <w:noWrap w:val="false"/>
          </w:tcPr>
          <w:p>
            <w:pPr>
              <w:pStyle w:val="1135"/>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7.</w:t>
            </w:r>
            <w:r>
              <w:rPr>
                <w:sz w:val="20"/>
                <w:szCs w:val="20"/>
                <w:lang w:val="en-US" w:eastAsia="en-US"/>
              </w:rPr>
              <w:t xml:space="preserve">9</w:t>
            </w:r>
            <w:r>
              <w:rPr>
                <w:sz w:val="20"/>
                <w:szCs w:val="20"/>
                <w:lang w:eastAsia="en-US"/>
              </w:rPr>
              <w:t xml:space="preserve">.1.</w:t>
            </w:r>
            <w:r>
              <w:rPr>
                <w:sz w:val="20"/>
                <w:szCs w:val="20"/>
                <w:lang w:eastAsia="en-US"/>
              </w:rPr>
            </w:r>
            <w:r>
              <w:rPr>
                <w:sz w:val="20"/>
                <w:szCs w:val="20"/>
                <w:lang w:eastAsia="en-US"/>
              </w:rPr>
            </w:r>
          </w:p>
          <w:p>
            <w:pPr>
              <w:pStyle w:val="1135"/>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W w:w="2854" w:type="dxa"/>
            <w:vAlign w:val="top"/>
            <w:textDirection w:val="lrTb"/>
            <w:noWrap w:val="false"/>
          </w:tcPr>
          <w:p>
            <w:pPr>
              <w:pStyle w:val="1135"/>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Комиссионное вознаграждение (абонентская плата) </w:t>
              <w:br w:type="textWrapping" w:clear="all"/>
              <w:t xml:space="preserve">за сервис </w:t>
            </w:r>
            <w:r>
              <w:rPr>
                <w:sz w:val="20"/>
                <w:szCs w:val="20"/>
              </w:rPr>
              <w:t xml:space="preserve">«</w:t>
            </w:r>
            <w:r>
              <w:rPr>
                <w:sz w:val="20"/>
                <w:szCs w:val="20"/>
                <w:lang w:val="en-US"/>
              </w:rPr>
              <w:t xml:space="preserve">SMS</w:t>
            </w:r>
            <w:r>
              <w:rPr>
                <w:sz w:val="20"/>
                <w:szCs w:val="20"/>
              </w:rPr>
              <w:t xml:space="preserve"> информирование» (далее – Сервис) в рамках операций по счетам Клиента</w:t>
            </w:r>
            <w:r>
              <w:rPr>
                <w:sz w:val="20"/>
                <w:szCs w:val="20"/>
                <w:lang w:eastAsia="en-US"/>
              </w:rPr>
            </w:r>
            <w:r>
              <w:rPr>
                <w:sz w:val="20"/>
                <w:szCs w:val="20"/>
                <w:lang w:eastAsia="en-US"/>
              </w:rPr>
            </w:r>
          </w:p>
        </w:tc>
        <w:tc>
          <w:tcPr>
            <w:gridSpan w:val="2"/>
            <w:tcW w:w="2407" w:type="dxa"/>
            <w:vAlign w:val="top"/>
            <w:textDirection w:val="lrTb"/>
            <w:noWrap w:val="false"/>
          </w:tcPr>
          <w:p>
            <w:pPr>
              <w:pStyle w:val="1135"/>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189 руб. ежемесячно за каждый банковский счет, подключенный </w:t>
              <w:br w:type="textWrapping" w:clear="all"/>
              <w:t xml:space="preserve">к Сервису, </w:t>
              <w:br w:type="textWrapping" w:clear="all"/>
              <w:t xml:space="preserve">и за каждый телефонный номер</w:t>
            </w:r>
            <w:r>
              <w:rPr>
                <w:sz w:val="20"/>
                <w:szCs w:val="20"/>
                <w:lang w:eastAsia="en-US"/>
              </w:rPr>
            </w:r>
            <w:r>
              <w:rPr>
                <w:sz w:val="20"/>
                <w:szCs w:val="20"/>
                <w:lang w:eastAsia="en-US"/>
              </w:rPr>
            </w:r>
          </w:p>
        </w:tc>
        <w:tc>
          <w:tcPr>
            <w:tcW w:w="3928" w:type="dxa"/>
            <w:vAlign w:val="top"/>
            <w:textDirection w:val="lrTb"/>
            <w:noWrap w:val="false"/>
          </w:tcPr>
          <w:p>
            <w:pPr>
              <w:pStyle w:val="1135"/>
              <w:jc w:val="both"/>
              <w:spacing w:before="120"/>
              <w:tabs>
                <w:tab w:val="left" w:pos="708" w:leader="none"/>
                <w:tab w:val="center" w:pos="4677" w:leader="none"/>
                <w:tab w:val="right" w:pos="9355" w:leader="none"/>
              </w:tabs>
              <w:rPr>
                <w:b/>
                <w:sz w:val="20"/>
                <w:szCs w:val="20"/>
              </w:rPr>
            </w:pPr>
            <w:r>
              <w:rPr>
                <w:sz w:val="20"/>
                <w:szCs w:val="20"/>
                <w:lang w:eastAsia="en-US"/>
              </w:rPr>
              <w:t xml:space="preserve">Комиссия взимается ежемесячно авансом в первый рабочий день календарного месяца, с учетом региональных праздничных дней, единой суммой (одним платежом) исходя из количества банковских счетов и телефонных номеров, подключенных к Сервису</w:t>
            </w:r>
            <w:r>
              <w:rPr>
                <w:sz w:val="20"/>
                <w:szCs w:val="20"/>
              </w:rPr>
              <w:t xml:space="preserve">.</w:t>
            </w:r>
            <w:r>
              <w:rPr>
                <w:b/>
                <w:sz w:val="20"/>
                <w:szCs w:val="20"/>
              </w:rPr>
            </w:r>
            <w:r>
              <w:rPr>
                <w:b/>
                <w:sz w:val="20"/>
                <w:szCs w:val="20"/>
              </w:rPr>
            </w:r>
          </w:p>
          <w:p>
            <w:pPr>
              <w:pStyle w:val="1135"/>
              <w:jc w:val="both"/>
              <w:spacing w:before="120"/>
              <w:tabs>
                <w:tab w:val="left" w:pos="708" w:leader="none"/>
                <w:tab w:val="center" w:pos="4677" w:leader="none"/>
                <w:tab w:val="right" w:pos="9355" w:leader="none"/>
              </w:tabs>
              <w:rPr>
                <w:sz w:val="20"/>
                <w:szCs w:val="20"/>
                <w:lang w:eastAsia="en-US"/>
              </w:rPr>
            </w:pPr>
            <w:r>
              <w:rPr>
                <w:sz w:val="20"/>
                <w:szCs w:val="20"/>
                <w:lang w:eastAsia="en-US"/>
              </w:rPr>
              <w:t xml:space="preserve">При подключении Сервиса до 15-го числа календарного месяца комиссия за текущий месяц взимается </w:t>
              <w:br w:type="textWrapping" w:clear="all"/>
              <w:t xml:space="preserve">в размере 100%. При подключении Сервиса с 15-го числа календарного месяца и позднее, комиссия </w:t>
              <w:br w:type="textWrapping" w:clear="all"/>
              <w:t xml:space="preserve">за текущий месяц взимается в размере 50% от расчетной величины. </w:t>
            </w:r>
            <w:r>
              <w:rPr>
                <w:sz w:val="20"/>
                <w:szCs w:val="20"/>
                <w:lang w:eastAsia="en-US"/>
              </w:rPr>
            </w:r>
            <w:r>
              <w:rPr>
                <w:sz w:val="20"/>
                <w:szCs w:val="20"/>
                <w:lang w:eastAsia="en-US"/>
              </w:rPr>
            </w:r>
          </w:p>
          <w:p>
            <w:pPr>
              <w:pStyle w:val="1135"/>
              <w:jc w:val="both"/>
              <w:spacing w:before="120"/>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независимо </w:t>
              <w:br w:type="textWrapping" w:clear="all"/>
              <w:t xml:space="preserve">от наличия операций по счету Клиента, подключенного к Сервису (не пересчитывается/ не возмещается при отсутствии операций по счету).».</w:t>
            </w:r>
            <w:r>
              <w:rPr>
                <w:sz w:val="20"/>
                <w:szCs w:val="20"/>
                <w:lang w:eastAsia="en-US"/>
              </w:rPr>
            </w:r>
            <w:r>
              <w:rPr>
                <w:sz w:val="20"/>
                <w:szCs w:val="20"/>
                <w:lang w:eastAsia="en-US"/>
              </w:rPr>
            </w:r>
          </w:p>
        </w:tc>
      </w:tr>
      <w:tr>
        <w:tblPrEx/>
        <w:trPr>
          <w:trHeight w:val="1125"/>
        </w:trPr>
        <w:tc>
          <w:tcPr>
            <w:tcW w:w="876" w:type="dxa"/>
            <w:vAlign w:val="top"/>
            <w:vMerge w:val="restart"/>
            <w:textDirection w:val="lrTb"/>
            <w:noWrap w:val="false"/>
          </w:tcPr>
          <w:p>
            <w:pPr>
              <w:jc w:val="center"/>
              <w:spacing w:before="0" w:beforeAutospacing="0" w:after="0" w:line="240" w:lineRule="auto"/>
              <w:rPr>
                <w:rFonts w:ascii="Times New Roman" w:hAnsi="Times New Roman"/>
                <w:sz w:val="20"/>
                <w:szCs w:val="20"/>
              </w:rPr>
            </w:pPr>
            <w:r>
              <w:rPr>
                <w:rFonts w:ascii="Times New Roman" w:hAnsi="Times New Roman"/>
                <w:sz w:val="20"/>
                <w:szCs w:val="20"/>
              </w:rPr>
              <w:t xml:space="preserve">7.10.</w:t>
            </w:r>
            <w:r>
              <w:rPr>
                <w:rFonts w:ascii="Times New Roman" w:hAnsi="Times New Roman"/>
                <w:sz w:val="20"/>
                <w:szCs w:val="20"/>
              </w:rPr>
            </w:r>
            <w:r>
              <w:rPr>
                <w:rFonts w:ascii="Times New Roman" w:hAnsi="Times New Roman"/>
                <w:sz w:val="20"/>
                <w:szCs w:val="20"/>
              </w:rPr>
            </w:r>
          </w:p>
        </w:tc>
        <w:tc>
          <w:tcPr>
            <w:tcW w:w="2854" w:type="dxa"/>
            <w:vAlign w:val="top"/>
            <w:vMerge w:val="restart"/>
            <w:textDirection w:val="lrTb"/>
            <w:noWrap w:val="false"/>
          </w:tcPr>
          <w:p>
            <w:pPr>
              <w:spacing w:before="0" w:beforeAutospacing="0" w:after="0" w:line="240" w:lineRule="auto"/>
              <w:rPr>
                <w:rFonts w:ascii="Times New Roman" w:hAnsi="Times New Roman"/>
                <w:sz w:val="20"/>
                <w:szCs w:val="20"/>
              </w:rPr>
            </w:pPr>
            <w:r>
              <w:rPr>
                <w:rFonts w:ascii="Times New Roman" w:hAnsi="Times New Roman"/>
                <w:sz w:val="20"/>
                <w:szCs w:val="20"/>
              </w:rPr>
              <w:t xml:space="preserve">Комиссионное вознаграждение (абонентская плата) за предоставление услуги </w:t>
            </w:r>
            <w:r>
              <w:rPr>
                <w:rFonts w:ascii="Times New Roman" w:hAnsi="Times New Roman"/>
                <w:sz w:val="20"/>
                <w:szCs w:val="20"/>
              </w:rPr>
              <w:t xml:space="preserve">«Контроль за платежами.Акцепт»</w:t>
            </w:r>
            <w:r>
              <w:rPr>
                <w:rFonts w:ascii="Times New Roman" w:hAnsi="Times New Roman"/>
                <w:sz w:val="20"/>
                <w:szCs w:val="20"/>
              </w:rPr>
            </w:r>
            <w:r>
              <w:rPr>
                <w:rFonts w:ascii="Times New Roman" w:hAnsi="Times New Roman"/>
                <w:sz w:val="20"/>
                <w:szCs w:val="20"/>
              </w:rPr>
            </w:r>
          </w:p>
        </w:tc>
        <w:tc>
          <w:tcPr>
            <w:gridSpan w:val="2"/>
            <w:tcW w:w="2407" w:type="dxa"/>
            <w:vAlign w:val="top"/>
            <w:vMerge w:val="restart"/>
            <w:textDirection w:val="lrTb"/>
            <w:noWrap w:val="false"/>
          </w:tcPr>
          <w:p>
            <w:pPr>
              <w:jc w:val="center"/>
              <w:spacing w:before="0" w:beforeAutospacing="0" w:after="0" w:line="240" w:lineRule="auto"/>
              <w:rPr>
                <w:rFonts w:ascii="Times New Roman" w:hAnsi="Times New Roman"/>
                <w:sz w:val="20"/>
                <w:szCs w:val="20"/>
              </w:rPr>
            </w:pPr>
            <w:r>
              <w:rPr>
                <w:rFonts w:ascii="Times New Roman" w:hAnsi="Times New Roman"/>
                <w:sz w:val="20"/>
                <w:szCs w:val="20"/>
              </w:rPr>
              <w:t xml:space="preserve">1 000 руб. </w:t>
            </w:r>
            <w:r>
              <w:rPr>
                <w:rFonts w:ascii="Times New Roman" w:hAnsi="Times New Roman"/>
                <w:sz w:val="20"/>
                <w:szCs w:val="20"/>
              </w:rPr>
              <w:t xml:space="preserve">в месяц</w:t>
            </w:r>
            <w:r>
              <w:rPr>
                <w:rFonts w:ascii="Times New Roman" w:hAnsi="Times New Roman"/>
                <w:sz w:val="20"/>
                <w:szCs w:val="20"/>
              </w:rPr>
              <w:t xml:space="preserve"> за каждый банковский счет/ транзитный валютный счет Контролируемой организации</w:t>
            </w:r>
            <w:r>
              <w:rPr>
                <w:rFonts w:ascii="Times New Roman" w:hAnsi="Times New Roman"/>
                <w:sz w:val="20"/>
                <w:szCs w:val="20"/>
              </w:rPr>
            </w:r>
            <w:r>
              <w:rPr>
                <w:rFonts w:ascii="Times New Roman" w:hAnsi="Times New Roman"/>
                <w:sz w:val="20"/>
                <w:szCs w:val="20"/>
              </w:rPr>
            </w:r>
          </w:p>
        </w:tc>
        <w:tc>
          <w:tcPr>
            <w:tcW w:w="3928" w:type="dxa"/>
            <w:vAlign w:val="top"/>
            <w:vMerge w:val="restart"/>
            <w:textDirection w:val="lrTb"/>
            <w:noWrap w:val="false"/>
          </w:tcPr>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eastAsia="Times New Roman"/>
                <w:bCs/>
                <w:sz w:val="20"/>
                <w:szCs w:val="20"/>
                <w:highlight w:val="none"/>
                <w:lang w:eastAsia="ru-RU"/>
              </w:rPr>
              <w:t xml:space="preserve">Услуга предоставляется </w:t>
            </w:r>
            <w:r>
              <w:rPr>
                <w:rFonts w:ascii="Times New Roman" w:hAnsi="Times New Roman" w:eastAsia="Times New Roman"/>
                <w:bCs/>
                <w:sz w:val="20"/>
                <w:szCs w:val="20"/>
                <w:highlight w:val="none"/>
                <w:lang w:eastAsia="ru-RU"/>
              </w:rPr>
              <w:t xml:space="preserve">Контролирующей организации.</w:t>
            </w:r>
            <w:r>
              <w:rPr>
                <w:rFonts w:ascii="Times New Roman" w:hAnsi="Times New Roman"/>
                <w:sz w:val="20"/>
                <w:szCs w:val="20"/>
                <w:highlight w:val="none"/>
              </w:rPr>
            </w:r>
            <w:r>
              <w:rPr>
                <w:rFonts w:ascii="Times New Roman" w:hAnsi="Times New Roman"/>
                <w:sz w:val="20"/>
                <w:szCs w:val="20"/>
                <w:highlight w:val="none"/>
              </w:rPr>
            </w:r>
          </w:p>
          <w:p>
            <w:pPr>
              <w:jc w:val="both"/>
              <w:spacing w:before="0" w:beforeAutospacing="0" w:after="0" w:line="240" w:lineRule="auto"/>
              <w:tabs>
                <w:tab w:val="left" w:pos="708" w:leader="none"/>
                <w:tab w:val="center" w:pos="4677" w:leader="none"/>
                <w:tab w:val="right" w:pos="9355" w:leader="none"/>
              </w:tabs>
              <w:rPr>
                <w:rFonts w:ascii="Times New Roman" w:hAnsi="Times New Roman" w:eastAsia="Times New Roman"/>
                <w:sz w:val="20"/>
                <w:szCs w:val="20"/>
                <w:highlight w:val="none"/>
              </w:rPr>
            </w:pPr>
            <w:r>
              <w:rPr>
                <w:rFonts w:ascii="Times New Roman" w:hAnsi="Times New Roman"/>
                <w:sz w:val="20"/>
                <w:szCs w:val="20"/>
                <w:highlight w:val="none"/>
              </w:rPr>
              <w:t xml:space="preserve">Комиссия взимается за каждый банковский счет/ транзитный валютный счет </w:t>
            </w:r>
            <w:r>
              <w:rPr>
                <w:rFonts w:ascii="Times New Roman" w:hAnsi="Times New Roman"/>
                <w:sz w:val="20"/>
                <w:szCs w:val="20"/>
                <w:highlight w:val="none"/>
              </w:rPr>
              <w:t xml:space="preserve">Контролируемой организации</w:t>
            </w:r>
            <w:r>
              <w:rPr>
                <w:rFonts w:ascii="Times New Roman" w:hAnsi="Times New Roman"/>
                <w:sz w:val="20"/>
                <w:szCs w:val="20"/>
                <w:highlight w:val="none"/>
              </w:rPr>
              <w:t xml:space="preserve">, </w:t>
            </w:r>
            <w:r>
              <w:rPr>
                <w:rFonts w:ascii="Times New Roman" w:hAnsi="Times New Roman"/>
                <w:sz w:val="20"/>
                <w:szCs w:val="20"/>
                <w:highlight w:val="none"/>
              </w:rPr>
              <w:t xml:space="preserve">по которому Контролирующей организации предоставляется услуга.</w:t>
            </w:r>
            <w:r>
              <w:rPr>
                <w:rFonts w:ascii="Times New Roman" w:hAnsi="Times New Roman"/>
                <w:sz w:val="20"/>
                <w:szCs w:val="20"/>
                <w:highlight w:val="none"/>
              </w:rPr>
              <w:t xml:space="preserve"> </w:t>
            </w:r>
            <w:r>
              <w:rPr>
                <w:rFonts w:ascii="Times New Roman" w:hAnsi="Times New Roman"/>
                <w:sz w:val="20"/>
                <w:szCs w:val="20"/>
                <w:highlight w:val="none"/>
              </w:rPr>
              <w:t xml:space="preserve">Расчетным периодом (месяцем) является календарный месяц. </w:t>
            </w:r>
            <w:r>
              <w:rPr>
                <w:rFonts w:ascii="Times New Roman" w:hAnsi="Times New Roman"/>
                <w:sz w:val="20"/>
                <w:szCs w:val="20"/>
                <w:highlight w:val="none"/>
              </w:rPr>
              <w:t xml:space="preserve">Комиссия взимается с Контролирующей организации** ежемесячно </w:t>
            </w:r>
            <w:r>
              <w:rPr>
                <w:rFonts w:ascii="Times New Roman" w:hAnsi="Times New Roman" w:eastAsia="Times New Roman"/>
                <w:bCs/>
                <w:sz w:val="20"/>
                <w:szCs w:val="20"/>
                <w:lang w:eastAsia="ru-RU"/>
              </w:rPr>
              <w:t xml:space="preserve">не ранее 25-го числа и не позднее последнего рабочего дня текущего ка</w:t>
            </w:r>
            <w:r>
              <w:rPr>
                <w:rFonts w:ascii="Times New Roman" w:hAnsi="Times New Roman" w:eastAsia="Times New Roman"/>
                <w:bCs/>
                <w:sz w:val="20"/>
                <w:szCs w:val="20"/>
                <w:lang w:eastAsia="ru-RU"/>
              </w:rPr>
              <w:t xml:space="preserve">лендарного месяца единой </w:t>
            </w:r>
            <w:r>
              <w:rPr>
                <w:rFonts w:ascii="Times New Roman" w:hAnsi="Times New Roman" w:eastAsia="Times New Roman"/>
                <w:bCs/>
                <w:sz w:val="20"/>
                <w:szCs w:val="20"/>
                <w:lang w:eastAsia="ru-RU"/>
              </w:rPr>
              <w:t xml:space="preserve">суммой (одним платежом) исходя из количества банковских счетов и транзитных валютных счетов Контролируемых организаций, подключенных к услуге</w:t>
            </w:r>
            <w:r>
              <w:rPr>
                <w:rFonts w:ascii="Times New Roman" w:hAnsi="Times New Roman" w:eastAsia="Times New Roman"/>
                <w:bCs/>
                <w:sz w:val="20"/>
                <w:szCs w:val="20"/>
                <w:lang w:eastAsia="ru-RU"/>
              </w:rPr>
              <w:t xml:space="preserve">. Комиссия за конкретный банковский счет/ транзитный валютный счет взимается</w:t>
            </w:r>
            <w:r>
              <w:rPr>
                <w:rFonts w:ascii="Times New Roman" w:hAnsi="Times New Roman" w:eastAsia="Times New Roman"/>
                <w:bCs/>
                <w:sz w:val="20"/>
                <w:szCs w:val="20"/>
                <w:lang w:eastAsia="ru-RU"/>
              </w:rPr>
              <w:t xml:space="preserve"> начиная с календарного месяца, следующего за календарным месяцем подключения к услуге </w:t>
            </w:r>
            <w:r>
              <w:rPr>
                <w:rFonts w:ascii="Times New Roman" w:hAnsi="Times New Roman" w:eastAsia="Times New Roman"/>
                <w:bCs/>
                <w:sz w:val="20"/>
                <w:szCs w:val="20"/>
                <w:lang w:eastAsia="ru-RU"/>
              </w:rPr>
              <w:t xml:space="preserve">такого банковского счета/ транзитного валютного счета </w:t>
            </w:r>
            <w:r>
              <w:rPr>
                <w:rFonts w:ascii="Times New Roman" w:hAnsi="Times New Roman" w:eastAsia="Times New Roman"/>
                <w:bCs/>
                <w:sz w:val="20"/>
                <w:szCs w:val="20"/>
                <w:lang w:eastAsia="ru-RU"/>
              </w:rPr>
              <w:t xml:space="preserve">Контролируем</w:t>
            </w:r>
            <w:r>
              <w:rPr>
                <w:rFonts w:ascii="Times New Roman" w:hAnsi="Times New Roman" w:eastAsia="Times New Roman"/>
                <w:bCs/>
                <w:sz w:val="20"/>
                <w:szCs w:val="20"/>
                <w:lang w:eastAsia="ru-RU"/>
              </w:rPr>
              <w:t xml:space="preserve">ой</w:t>
            </w:r>
            <w:r>
              <w:rPr>
                <w:rFonts w:ascii="Times New Roman" w:hAnsi="Times New Roman" w:eastAsia="Times New Roman"/>
                <w:bCs/>
                <w:sz w:val="20"/>
                <w:szCs w:val="20"/>
                <w:lang w:eastAsia="ru-RU"/>
              </w:rPr>
              <w:t xml:space="preserve"> организаци</w:t>
            </w:r>
            <w:r>
              <w:rPr>
                <w:rFonts w:ascii="Times New Roman" w:hAnsi="Times New Roman" w:eastAsia="Times New Roman"/>
                <w:bCs/>
                <w:sz w:val="20"/>
                <w:szCs w:val="20"/>
                <w:lang w:eastAsia="ru-RU"/>
              </w:rPr>
              <w:t xml:space="preserve">и</w:t>
            </w:r>
            <w:r>
              <w:rPr>
                <w:rFonts w:ascii="Times New Roman" w:hAnsi="Times New Roman" w:eastAsia="Times New Roman"/>
                <w:bCs/>
                <w:sz w:val="20"/>
                <w:szCs w:val="20"/>
                <w:lang w:eastAsia="ru-RU"/>
              </w:rPr>
              <w:t xml:space="preserve">.</w:t>
            </w:r>
            <w:r>
              <w:rPr>
                <w:rFonts w:ascii="Times New Roman" w:hAnsi="Times New Roman" w:eastAsia="Times New Roman"/>
                <w:sz w:val="20"/>
                <w:szCs w:val="20"/>
                <w:highlight w:val="none"/>
              </w:rPr>
            </w:r>
            <w:r>
              <w:rPr>
                <w:rFonts w:ascii="Times New Roman" w:hAnsi="Times New Roman" w:eastAsia="Times New Roman"/>
                <w:sz w:val="20"/>
                <w:szCs w:val="20"/>
                <w:highlight w:val="none"/>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rPr>
            </w:pPr>
            <w:r>
              <w:rPr>
                <w:rFonts w:ascii="Times New Roman" w:hAnsi="Times New Roman"/>
                <w:sz w:val="20"/>
                <w:szCs w:val="20"/>
                <w:highlight w:val="none"/>
              </w:rPr>
              <w:t xml:space="preserve">Комиссия </w:t>
            </w:r>
            <w:r>
              <w:rPr>
                <w:rFonts w:ascii="Times New Roman" w:hAnsi="Times New Roman"/>
                <w:sz w:val="20"/>
                <w:szCs w:val="20"/>
                <w:highlight w:val="none"/>
              </w:rPr>
              <w:t xml:space="preserve">является абонентской платой и </w:t>
            </w:r>
            <w:r>
              <w:rPr>
                <w:rFonts w:ascii="Times New Roman" w:hAnsi="Times New Roman"/>
                <w:sz w:val="20"/>
                <w:szCs w:val="20"/>
                <w:highlight w:val="none"/>
              </w:rPr>
              <w:t xml:space="preserve">взимается независимо от наличия операций по банковск</w:t>
            </w:r>
            <w:r>
              <w:rPr>
                <w:rFonts w:ascii="Times New Roman" w:hAnsi="Times New Roman"/>
                <w:sz w:val="20"/>
                <w:szCs w:val="20"/>
                <w:highlight w:val="none"/>
              </w:rPr>
              <w:t xml:space="preserve">ому</w:t>
            </w:r>
            <w:r>
              <w:rPr>
                <w:rFonts w:ascii="Times New Roman" w:hAnsi="Times New Roman"/>
                <w:sz w:val="20"/>
                <w:szCs w:val="20"/>
                <w:highlight w:val="none"/>
              </w:rPr>
              <w:t xml:space="preserve"> счет</w:t>
            </w:r>
            <w:r>
              <w:rPr>
                <w:rFonts w:ascii="Times New Roman" w:hAnsi="Times New Roman"/>
                <w:sz w:val="20"/>
                <w:szCs w:val="20"/>
                <w:highlight w:val="none"/>
              </w:rPr>
              <w:t xml:space="preserve">у/ транзитному валютному счету</w:t>
            </w:r>
            <w:r>
              <w:rPr>
                <w:rFonts w:ascii="Times New Roman" w:hAnsi="Times New Roman"/>
                <w:sz w:val="20"/>
                <w:szCs w:val="20"/>
                <w:highlight w:val="none"/>
              </w:rPr>
              <w:t xml:space="preserve"> Контролируем</w:t>
            </w:r>
            <w:r>
              <w:rPr>
                <w:rFonts w:ascii="Times New Roman" w:hAnsi="Times New Roman"/>
                <w:sz w:val="20"/>
                <w:szCs w:val="20"/>
                <w:highlight w:val="none"/>
              </w:rPr>
              <w:t xml:space="preserve">ой</w:t>
            </w:r>
            <w:r>
              <w:rPr>
                <w:rFonts w:ascii="Times New Roman" w:hAnsi="Times New Roman"/>
                <w:sz w:val="20"/>
                <w:szCs w:val="20"/>
                <w:highlight w:val="none"/>
              </w:rPr>
              <w:t xml:space="preserve"> организаци</w:t>
            </w:r>
            <w:r>
              <w:rPr>
                <w:rFonts w:ascii="Times New Roman" w:hAnsi="Times New Roman"/>
                <w:sz w:val="20"/>
                <w:szCs w:val="20"/>
                <w:highlight w:val="none"/>
              </w:rPr>
              <w:t xml:space="preserve">и</w:t>
            </w:r>
            <w:r>
              <w:rPr>
                <w:rFonts w:ascii="Times New Roman" w:hAnsi="Times New Roman"/>
                <w:sz w:val="20"/>
                <w:szCs w:val="20"/>
                <w:highlight w:val="none"/>
              </w:rPr>
              <w:t xml:space="preserve">, подключенн</w:t>
            </w:r>
            <w:r>
              <w:rPr>
                <w:rFonts w:ascii="Times New Roman" w:hAnsi="Times New Roman"/>
                <w:sz w:val="20"/>
                <w:szCs w:val="20"/>
                <w:highlight w:val="none"/>
              </w:rPr>
              <w:t xml:space="preserve">ому</w:t>
            </w:r>
            <w:r>
              <w:rPr>
                <w:rFonts w:ascii="Times New Roman" w:hAnsi="Times New Roman"/>
                <w:sz w:val="20"/>
                <w:szCs w:val="20"/>
                <w:highlight w:val="none"/>
              </w:rPr>
              <w:t xml:space="preserve"> к услуге (не пересчитывается/ не возмещается при отсутствии операций по банковск</w:t>
            </w:r>
            <w:r>
              <w:rPr>
                <w:rFonts w:ascii="Times New Roman" w:hAnsi="Times New Roman"/>
                <w:sz w:val="20"/>
                <w:szCs w:val="20"/>
                <w:highlight w:val="none"/>
              </w:rPr>
              <w:t xml:space="preserve">ому</w:t>
            </w:r>
            <w:r>
              <w:rPr>
                <w:rFonts w:ascii="Times New Roman" w:hAnsi="Times New Roman"/>
                <w:sz w:val="20"/>
                <w:szCs w:val="20"/>
                <w:highlight w:val="none"/>
              </w:rPr>
              <w:t xml:space="preserve"> счет</w:t>
            </w:r>
            <w:r>
              <w:rPr>
                <w:rFonts w:ascii="Times New Roman" w:hAnsi="Times New Roman"/>
                <w:sz w:val="20"/>
                <w:szCs w:val="20"/>
                <w:highlight w:val="none"/>
              </w:rPr>
              <w:t xml:space="preserve">у/ транзитному валютному счету</w:t>
            </w:r>
            <w:r>
              <w:rPr>
                <w:rFonts w:ascii="Times New Roman" w:hAnsi="Times New Roman"/>
                <w:sz w:val="20"/>
                <w:szCs w:val="20"/>
                <w:highlight w:val="none"/>
              </w:rPr>
              <w:t xml:space="preserve"> Контролируем</w:t>
            </w:r>
            <w:r>
              <w:rPr>
                <w:rFonts w:ascii="Times New Roman" w:hAnsi="Times New Roman"/>
                <w:sz w:val="20"/>
                <w:szCs w:val="20"/>
                <w:highlight w:val="none"/>
              </w:rPr>
              <w:t xml:space="preserve">ой</w:t>
            </w:r>
            <w:r>
              <w:rPr>
                <w:rFonts w:ascii="Times New Roman" w:hAnsi="Times New Roman"/>
                <w:sz w:val="20"/>
                <w:szCs w:val="20"/>
                <w:highlight w:val="none"/>
              </w:rPr>
              <w:t xml:space="preserve"> организаци</w:t>
            </w:r>
            <w:r>
              <w:rPr>
                <w:rFonts w:ascii="Times New Roman" w:hAnsi="Times New Roman"/>
                <w:sz w:val="20"/>
                <w:szCs w:val="20"/>
                <w:highlight w:val="none"/>
              </w:rPr>
              <w:t xml:space="preserve">и</w:t>
            </w:r>
            <w:r>
              <w:rPr>
                <w:rFonts w:ascii="Times New Roman" w:hAnsi="Times New Roman"/>
                <w:sz w:val="20"/>
                <w:szCs w:val="20"/>
                <w:highlight w:val="none"/>
              </w:rPr>
              <w:t xml:space="preserve">). </w:t>
            </w:r>
            <w:r>
              <w:rPr>
                <w:rFonts w:ascii="Times New Roman" w:hAnsi="Times New Roman"/>
                <w:sz w:val="20"/>
                <w:szCs w:val="20"/>
              </w:rPr>
            </w:r>
            <w:r>
              <w:rPr>
                <w:rFonts w:ascii="Times New Roman" w:hAnsi="Times New Roman"/>
                <w:sz w:val="20"/>
                <w:szCs w:val="20"/>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0"/>
                <w:szCs w:val="20"/>
                <w:highlight w:val="none"/>
              </w:rPr>
            </w:r>
            <w:r>
              <w:rPr>
                <w:rFonts w:ascii="Times New Roman" w:hAnsi="Times New Roman"/>
                <w:sz w:val="20"/>
                <w:szCs w:val="20"/>
                <w:highlight w:val="none"/>
              </w:rPr>
              <w:t xml:space="preserve">В случае отключения услуги</w:t>
            </w:r>
            <w:r>
              <w:rPr>
                <w:rFonts w:ascii="Times New Roman" w:hAnsi="Times New Roman"/>
                <w:sz w:val="20"/>
                <w:szCs w:val="20"/>
                <w:highlight w:val="none"/>
              </w:rPr>
              <w:t xml:space="preserve"> комиссия </w:t>
            </w:r>
            <w:r>
              <w:rPr>
                <w:rFonts w:ascii="Times New Roman" w:hAnsi="Times New Roman"/>
                <w:sz w:val="20"/>
                <w:szCs w:val="20"/>
                <w:highlight w:val="none"/>
              </w:rPr>
              <w:t xml:space="preserve">за  календарный месяц, в котором отключается услуга, </w:t>
            </w:r>
            <w:r>
              <w:rPr>
                <w:rFonts w:ascii="Times New Roman" w:hAnsi="Times New Roman"/>
                <w:sz w:val="20"/>
                <w:szCs w:val="20"/>
                <w:highlight w:val="none"/>
              </w:rPr>
              <w:t xml:space="preserve">взимается пропорционально количеству рабочих дней </w:t>
            </w:r>
            <w:r>
              <w:rPr>
                <w:rFonts w:ascii="Times New Roman" w:hAnsi="Times New Roman"/>
                <w:sz w:val="20"/>
                <w:szCs w:val="20"/>
                <w:highlight w:val="none"/>
              </w:rPr>
              <w:t xml:space="preserve">предоставления</w:t>
            </w:r>
            <w:r>
              <w:rPr>
                <w:rFonts w:ascii="Times New Roman" w:hAnsi="Times New Roman"/>
                <w:sz w:val="20"/>
                <w:szCs w:val="20"/>
                <w:highlight w:val="none"/>
              </w:rPr>
              <w:t xml:space="preserve"> услуги в этом месяце</w:t>
            </w:r>
            <w:r>
              <w:rPr>
                <w:rFonts w:ascii="Times New Roman" w:hAnsi="Times New Roman"/>
                <w:sz w:val="20"/>
                <w:szCs w:val="20"/>
                <w:highlight w:val="none"/>
              </w:rPr>
              <w:t xml:space="preserve"> (включая день отключения услуги)</w:t>
            </w:r>
            <w:r>
              <w:rPr>
                <w:rFonts w:ascii="Times New Roman" w:hAnsi="Times New Roman"/>
                <w:sz w:val="20"/>
                <w:szCs w:val="20"/>
                <w:highlight w:val="none"/>
              </w:rPr>
              <w:t xml:space="preserve">.</w:t>
            </w:r>
            <w:r>
              <w:rPr>
                <w:rFonts w:ascii="Times New Roman" w:hAnsi="Times New Roman"/>
                <w:sz w:val="20"/>
                <w:szCs w:val="20"/>
                <w:highlight w:val="none"/>
              </w:rPr>
            </w:r>
            <w:r>
              <w:rPr>
                <w:rFonts w:ascii="Times New Roman" w:hAnsi="Times New Roman"/>
                <w:sz w:val="20"/>
                <w:szCs w:val="20"/>
                <w:highlight w:val="none"/>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0"/>
                <w:szCs w:val="20"/>
                <w:highlight w:val="none"/>
              </w:rPr>
              <w:t xml:space="preserve">Предоставление услуги приостанавливается</w:t>
            </w:r>
            <w:r>
              <w:rPr>
                <w:rFonts w:ascii="Times New Roman" w:hAnsi="Times New Roman"/>
                <w:sz w:val="20"/>
                <w:szCs w:val="20"/>
                <w:highlight w:val="none"/>
              </w:rPr>
              <w:t xml:space="preserve"> </w:t>
            </w:r>
            <w:r>
              <w:rPr>
                <w:rFonts w:ascii="Times New Roman" w:hAnsi="Times New Roman"/>
                <w:sz w:val="20"/>
                <w:szCs w:val="20"/>
                <w:highlight w:val="none"/>
              </w:rPr>
              <w:t xml:space="preserve">без  предварительного уведомления Банком  Контролирующей организации и/или Контролируемых организаций</w:t>
            </w:r>
            <w:r>
              <w:rPr>
                <w:rFonts w:ascii="Times New Roman" w:hAnsi="Times New Roman"/>
                <w:sz w:val="20"/>
                <w:szCs w:val="20"/>
                <w:highlight w:val="none"/>
              </w:rPr>
              <w:t xml:space="preserve"> в дату взимания комиссии, в которую </w:t>
            </w:r>
            <w:r>
              <w:rPr>
                <w:rFonts w:ascii="Times New Roman" w:hAnsi="Times New Roman"/>
                <w:sz w:val="20"/>
                <w:szCs w:val="20"/>
                <w:highlight w:val="none"/>
              </w:rPr>
              <w:t xml:space="preserve">услуги Банка не были оплачены за все банковские счета и транзитные валютные счета Контролируемых организаций в полном объеме</w:t>
            </w:r>
            <w:r>
              <w:rPr>
                <w:rFonts w:ascii="Times New Roman" w:hAnsi="Times New Roman"/>
                <w:sz w:val="20"/>
                <w:szCs w:val="20"/>
                <w:highlight w:val="none"/>
              </w:rPr>
              <w:t xml:space="preserve">.</w:t>
            </w:r>
            <w:r>
              <w:rPr>
                <w:rFonts w:ascii="Times New Roman" w:hAnsi="Times New Roman"/>
                <w:sz w:val="20"/>
                <w:szCs w:val="20"/>
                <w:highlight w:val="none"/>
              </w:rPr>
              <w:t xml:space="preserve"> </w:t>
            </w:r>
            <w:r>
              <w:rPr>
                <w:rFonts w:ascii="Times New Roman" w:hAnsi="Times New Roman"/>
                <w:sz w:val="20"/>
                <w:szCs w:val="20"/>
                <w:highlight w:val="none"/>
              </w:rPr>
              <w:t xml:space="preserve">Услуга приостанавливается </w:t>
            </w:r>
            <w:r>
              <w:rPr>
                <w:rFonts w:ascii="Times New Roman" w:hAnsi="Times New Roman"/>
                <w:sz w:val="20"/>
                <w:szCs w:val="20"/>
                <w:highlight w:val="none"/>
              </w:rPr>
              <w:t xml:space="preserve">в отношении всех банковск</w:t>
            </w:r>
            <w:r>
              <w:rPr>
                <w:rFonts w:ascii="Times New Roman" w:hAnsi="Times New Roman"/>
                <w:sz w:val="20"/>
                <w:szCs w:val="20"/>
                <w:highlight w:val="none"/>
              </w:rPr>
              <w:t xml:space="preserve">их счетов и транзитных валютных счетов Контролируемых организаций, подключенных к услуге</w:t>
            </w:r>
            <w:r>
              <w:rPr>
                <w:rFonts w:ascii="Times New Roman" w:hAnsi="Times New Roman"/>
                <w:sz w:val="20"/>
                <w:szCs w:val="20"/>
                <w:highlight w:val="none"/>
              </w:rPr>
              <w:t xml:space="preserve">.</w:t>
            </w:r>
            <w:r>
              <w:rPr>
                <w:rFonts w:ascii="Times New Roman" w:hAnsi="Times New Roman"/>
                <w:sz w:val="20"/>
                <w:szCs w:val="20"/>
                <w:highlight w:val="none"/>
              </w:rPr>
              <w:t xml:space="preserve"> </w:t>
            </w:r>
            <w:r>
              <w:rPr>
                <w:rFonts w:ascii="Times New Roman" w:hAnsi="Times New Roman"/>
                <w:sz w:val="20"/>
                <w:szCs w:val="20"/>
                <w:highlight w:val="none"/>
              </w:rPr>
              <w:t xml:space="preserve"> </w:t>
            </w:r>
            <w:r>
              <w:rPr>
                <w:rFonts w:ascii="Times New Roman" w:hAnsi="Times New Roman"/>
                <w:sz w:val="20"/>
                <w:szCs w:val="20"/>
                <w:highlight w:val="none"/>
              </w:rPr>
              <w:t xml:space="preserve">Услуга </w:t>
            </w:r>
            <w:r>
              <w:rPr>
                <w:rFonts w:ascii="Times New Roman" w:hAnsi="Times New Roman"/>
                <w:sz w:val="20"/>
                <w:szCs w:val="20"/>
                <w:highlight w:val="none"/>
              </w:rPr>
              <w:t xml:space="preserve">возобновляется  в дату оплаты Контролирующей организацией  начисленной комиссии</w:t>
            </w:r>
            <w:r>
              <w:rPr>
                <w:rFonts w:ascii="Times New Roman" w:hAnsi="Times New Roman"/>
                <w:sz w:val="20"/>
                <w:szCs w:val="20"/>
                <w:highlight w:val="none"/>
              </w:rPr>
              <w:t xml:space="preserve"> в полном объеме за все банковские счета и транзитные валютные счета Контролируемых организаций</w:t>
            </w:r>
            <w:r>
              <w:rPr>
                <w:rFonts w:ascii="Times New Roman" w:hAnsi="Times New Roman"/>
                <w:sz w:val="20"/>
                <w:szCs w:val="20"/>
                <w:highlight w:val="none"/>
              </w:rPr>
              <w:t xml:space="preserve"> (оплата возможна при условии отсутствия задолженности по оплате комиссии по п. 7.3 настоящих тарифов)</w:t>
            </w:r>
            <w:r>
              <w:rPr>
                <w:rFonts w:ascii="Times New Roman" w:hAnsi="Times New Roman"/>
                <w:sz w:val="20"/>
                <w:szCs w:val="20"/>
                <w:highlight w:val="none"/>
              </w:rPr>
              <w:t xml:space="preserve">.</w:t>
            </w:r>
            <w:r>
              <w:rPr>
                <w:rFonts w:ascii="Times New Roman" w:hAnsi="Times New Roman"/>
                <w:sz w:val="20"/>
                <w:szCs w:val="20"/>
                <w:highlight w:val="none"/>
              </w:rPr>
            </w:r>
            <w:r>
              <w:rPr>
                <w:rFonts w:ascii="Times New Roman" w:hAnsi="Times New Roman"/>
                <w:sz w:val="20"/>
                <w:szCs w:val="20"/>
                <w:highlight w:val="none"/>
              </w:rPr>
            </w:r>
          </w:p>
          <w:p>
            <w:pPr>
              <w:jc w:val="both"/>
              <w:spacing w:before="4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0"/>
                <w:szCs w:val="20"/>
                <w:highlight w:val="none"/>
              </w:rPr>
              <w:t xml:space="preserve">Комиссионное вознаграждение не взимается за </w:t>
            </w:r>
            <w:r>
              <w:rPr>
                <w:rFonts w:ascii="Times New Roman" w:hAnsi="Times New Roman"/>
                <w:sz w:val="20"/>
                <w:szCs w:val="20"/>
                <w:highlight w:val="none"/>
              </w:rPr>
              <w:t xml:space="preserve">расчетный месяц, в котором </w:t>
            </w:r>
            <w:r>
              <w:rPr>
                <w:rFonts w:ascii="Times New Roman" w:hAnsi="Times New Roman"/>
                <w:sz w:val="20"/>
                <w:szCs w:val="20"/>
                <w:highlight w:val="none"/>
              </w:rPr>
              <w:t xml:space="preserve">оказание услуги было приостановлено в течение всего месяца. </w:t>
            </w:r>
            <w:r>
              <w:rPr>
                <w:rFonts w:ascii="Times New Roman" w:hAnsi="Times New Roman"/>
                <w:sz w:val="20"/>
                <w:szCs w:val="20"/>
                <w:highlight w:val="none"/>
              </w:rPr>
            </w:r>
            <w:r>
              <w:rPr>
                <w:rFonts w:ascii="Times New Roman" w:hAnsi="Times New Roman"/>
                <w:sz w:val="20"/>
                <w:szCs w:val="20"/>
                <w:highlight w:val="none"/>
              </w:rPr>
            </w:r>
          </w:p>
          <w:p>
            <w:pPr>
              <w:jc w:val="both"/>
              <w:spacing w:before="4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0"/>
                <w:szCs w:val="20"/>
                <w:highlight w:val="none"/>
              </w:rPr>
              <w:t xml:space="preserve">За расчетный месяц, в котором возобновлено предоставление услуги, комиссионное вознаграждение взимается в полном объеме вне зависимости от даты возобновления.</w:t>
            </w:r>
            <w:r>
              <w:rPr>
                <w:rFonts w:ascii="Times New Roman" w:hAnsi="Times New Roman"/>
                <w:sz w:val="20"/>
                <w:szCs w:val="20"/>
                <w:highlight w:val="none"/>
              </w:rPr>
            </w:r>
            <w:r>
              <w:rPr>
                <w:rFonts w:ascii="Times New Roman" w:hAnsi="Times New Roman"/>
                <w:sz w:val="20"/>
                <w:szCs w:val="20"/>
                <w:highlight w:val="none"/>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0"/>
                <w:szCs w:val="20"/>
                <w:highlight w:val="none"/>
              </w:rPr>
              <w:t xml:space="preserve">Услуга облагается НДС, сумма которого взимается дополнительно.</w:t>
            </w:r>
            <w:r>
              <w:rPr>
                <w:rFonts w:ascii="Times New Roman" w:hAnsi="Times New Roman"/>
                <w:sz w:val="20"/>
                <w:szCs w:val="20"/>
                <w:highlight w:val="none"/>
              </w:rPr>
            </w:r>
            <w:r>
              <w:rPr>
                <w:rFonts w:ascii="Times New Roman" w:hAnsi="Times New Roman"/>
                <w:sz w:val="20"/>
                <w:szCs w:val="20"/>
                <w:highlight w:val="none"/>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0"/>
                <w:szCs w:val="20"/>
                <w:highlight w:val="none"/>
              </w:rPr>
              <w:t xml:space="preserve">В случае если в рамках услуги контроль за платежами осуществляется уполномоченным работником клиента в отношении платежей по банковским счетам/ транзитным валютным счетам самого клиента, комиссия взимается непосредственно с данного клиента.</w:t>
            </w:r>
            <w:r>
              <w:rPr>
                <w:rFonts w:ascii="Times New Roman" w:hAnsi="Times New Roman"/>
                <w:sz w:val="20"/>
                <w:szCs w:val="20"/>
                <w:highlight w:val="none"/>
              </w:rPr>
            </w:r>
            <w:r>
              <w:rPr>
                <w:rFonts w:ascii="Times New Roman" w:hAnsi="Times New Roman"/>
                <w:sz w:val="20"/>
                <w:szCs w:val="20"/>
                <w:highlight w:val="none"/>
              </w:rPr>
            </w:r>
          </w:p>
        </w:tc>
      </w:tr>
      <w:tr>
        <w:tblPrEx/>
        <w:trPr>
          <w:trHeight w:val="1125"/>
        </w:trPr>
        <w:tc>
          <w:tcPr>
            <w:tcW w:w="876" w:type="dxa"/>
            <w:vAlign w:val="top"/>
            <w:vMerge w:val="restart"/>
            <w:textDirection w:val="lrTb"/>
            <w:noWrap w:val="false"/>
          </w:tcPr>
          <w:p>
            <w:pPr>
              <w:jc w:val="center"/>
              <w:spacing w:before="0" w:beforeAutospacing="0" w:after="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t xml:space="preserve">7.11.</w:t>
            </w:r>
            <w:r>
              <w:rPr>
                <w:rFonts w:ascii="Times New Roman" w:hAnsi="Times New Roman"/>
                <w:sz w:val="20"/>
                <w:szCs w:val="20"/>
              </w:rPr>
            </w:r>
            <w:r>
              <w:rPr>
                <w:rFonts w:ascii="Times New Roman" w:hAnsi="Times New Roman"/>
                <w:sz w:val="20"/>
                <w:szCs w:val="20"/>
              </w:rPr>
            </w:r>
          </w:p>
        </w:tc>
        <w:tc>
          <w:tcPr>
            <w:tcW w:w="2854" w:type="dxa"/>
            <w:vAlign w:val="top"/>
            <w:vMerge w:val="restart"/>
            <w:textDirection w:val="lrTb"/>
            <w:noWrap w:val="false"/>
          </w:tcPr>
          <w:p>
            <w:pPr>
              <w:spacing w:before="0" w:beforeAutospacing="0" w:after="0" w:line="240" w:lineRule="auto"/>
              <w:rPr>
                <w:rFonts w:ascii="Times New Roman" w:hAnsi="Times New Roman"/>
                <w:sz w:val="20"/>
                <w:szCs w:val="20"/>
                <w:highlight w:val="none"/>
              </w:rPr>
            </w:pPr>
            <w:r>
              <w:rPr>
                <w:rFonts w:ascii="Times New Roman" w:hAnsi="Times New Roman"/>
                <w:sz w:val="20"/>
                <w:szCs w:val="20"/>
              </w:rPr>
              <w:t xml:space="preserve">Комиссионное вознаграждение (абонентская плата) за предоставление услуги «Контроль за платежами.Выписка»</w:t>
            </w:r>
            <w:r>
              <w:rPr>
                <w:rFonts w:ascii="Times New Roman" w:hAnsi="Times New Roman"/>
                <w:sz w:val="20"/>
                <w:szCs w:val="20"/>
                <w:highlight w:val="none"/>
              </w:rPr>
            </w:r>
            <w:r>
              <w:rPr>
                <w:rFonts w:ascii="Times New Roman" w:hAnsi="Times New Roman"/>
                <w:sz w:val="20"/>
                <w:szCs w:val="20"/>
                <w:highlight w:val="none"/>
              </w:rPr>
            </w:r>
          </w:p>
        </w:tc>
        <w:tc>
          <w:tcPr>
            <w:gridSpan w:val="2"/>
            <w:tcW w:w="2407" w:type="dxa"/>
            <w:vAlign w:val="top"/>
            <w:vMerge w:val="restart"/>
            <w:textDirection w:val="lrTb"/>
            <w:noWrap w:val="false"/>
          </w:tcPr>
          <w:p>
            <w:pPr>
              <w:jc w:val="center"/>
              <w:spacing w:before="0" w:beforeAutospacing="0" w:after="0" w:line="240" w:lineRule="auto"/>
              <w:rPr>
                <w:rFonts w:ascii="Times New Roman" w:hAnsi="Times New Roman"/>
                <w:sz w:val="20"/>
                <w:szCs w:val="20"/>
              </w:rPr>
            </w:pPr>
            <w:r>
              <w:rPr>
                <w:rFonts w:ascii="Times New Roman" w:hAnsi="Times New Roman"/>
                <w:sz w:val="20"/>
                <w:szCs w:val="20"/>
              </w:rPr>
              <w:t xml:space="preserve">600 руб. в месяц за каждый банковский счет/ транзитный валютный счет Контролируемой организации</w:t>
            </w:r>
            <w:r>
              <w:rPr>
                <w:rFonts w:ascii="Times New Roman" w:hAnsi="Times New Roman"/>
                <w:sz w:val="20"/>
                <w:szCs w:val="20"/>
              </w:rPr>
            </w:r>
            <w:r>
              <w:rPr>
                <w:rFonts w:ascii="Times New Roman" w:hAnsi="Times New Roman"/>
                <w:sz w:val="20"/>
                <w:szCs w:val="20"/>
              </w:rPr>
            </w:r>
          </w:p>
        </w:tc>
        <w:tc>
          <w:tcPr>
            <w:tcW w:w="3928" w:type="dxa"/>
            <w:vAlign w:val="top"/>
            <w:vMerge w:val="restart"/>
            <w:textDirection w:val="lrTb"/>
            <w:noWrap w:val="false"/>
          </w:tcPr>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0"/>
                <w:szCs w:val="20"/>
                <w:highlight w:val="none"/>
              </w:rPr>
              <w:t xml:space="preserve">Услуга предоставляется Контролирующей организации</w:t>
            </w:r>
            <w:r>
              <w:rPr>
                <w:rFonts w:ascii="Times New Roman" w:hAnsi="Times New Roman"/>
                <w:sz w:val="20"/>
                <w:szCs w:val="20"/>
                <w:highlight w:val="none"/>
              </w:rPr>
              <w:t xml:space="preserve">. Комиссия взимается за ка</w:t>
            </w:r>
            <w:r>
              <w:rPr>
                <w:rFonts w:ascii="Times New Roman" w:hAnsi="Times New Roman"/>
                <w:sz w:val="20"/>
                <w:szCs w:val="20"/>
                <w:highlight w:val="none"/>
              </w:rPr>
              <w:t xml:space="preserve">ждый банковский счет/ транзитный валютный счет Контролируемой организации, по которому Контролирующей организации предоставляется услуга. Расчетным периодом (месяцем) является календарный месяц. Комиссия взимается с Контролирующей организации** ежемесячно </w:t>
            </w:r>
            <w:r>
              <w:rPr>
                <w:rFonts w:ascii="Times New Roman" w:hAnsi="Times New Roman" w:eastAsia="Times New Roman"/>
                <w:bCs/>
                <w:sz w:val="20"/>
                <w:szCs w:val="20"/>
                <w:lang w:eastAsia="ru-RU"/>
              </w:rPr>
              <w:t xml:space="preserve">не ранее 25-го числа и не позднее последнего рабочего дня текущего ка</w:t>
            </w:r>
            <w:r>
              <w:rPr>
                <w:rFonts w:ascii="Times New Roman" w:hAnsi="Times New Roman" w:eastAsia="Times New Roman"/>
                <w:bCs/>
                <w:sz w:val="20"/>
                <w:szCs w:val="20"/>
                <w:lang w:eastAsia="ru-RU"/>
              </w:rPr>
              <w:t xml:space="preserve">лендарного </w:t>
            </w:r>
            <w:r>
              <w:rPr>
                <w:rFonts w:ascii="Times New Roman" w:hAnsi="Times New Roman" w:eastAsia="Times New Roman"/>
                <w:bCs/>
                <w:sz w:val="20"/>
                <w:szCs w:val="20"/>
                <w:lang w:eastAsia="ru-RU"/>
              </w:rPr>
              <w:t xml:space="preserve">месяца единой </w:t>
            </w:r>
            <w:r>
              <w:rPr>
                <w:rFonts w:ascii="Times New Roman" w:hAnsi="Times New Roman" w:eastAsia="Times New Roman"/>
                <w:bCs/>
                <w:sz w:val="20"/>
                <w:szCs w:val="20"/>
                <w:lang w:eastAsia="ru-RU"/>
              </w:rPr>
              <w:t xml:space="preserve">суммой (одним платежом) исходя из количества </w:t>
            </w:r>
            <w:r>
              <w:rPr>
                <w:rFonts w:ascii="Times New Roman" w:hAnsi="Times New Roman" w:eastAsia="Times New Roman"/>
                <w:bCs/>
                <w:sz w:val="20"/>
                <w:szCs w:val="20"/>
                <w:lang w:eastAsia="ru-RU"/>
              </w:rPr>
              <w:t xml:space="preserve">банковских счетов и транзитных валютных счетов Контролируемых организаций, подключен</w:t>
            </w:r>
            <w:r>
              <w:rPr>
                <w:rFonts w:ascii="Times New Roman" w:hAnsi="Times New Roman" w:eastAsia="Times New Roman"/>
                <w:bCs/>
                <w:sz w:val="20"/>
                <w:szCs w:val="20"/>
                <w:lang w:eastAsia="ru-RU"/>
              </w:rPr>
              <w:t xml:space="preserve">ных к услуге. Комиссия за конкретный банковский счет/ транзитный валютный счет взимается начиная с календарного месяца, следующего за календарным месяцем подключения к услуге такого банковского счета/ транзитного валютного счета Контролируемой организации.</w:t>
            </w:r>
            <w:r>
              <w:rPr>
                <w:rFonts w:ascii="Times New Roman" w:hAnsi="Times New Roman"/>
                <w:sz w:val="20"/>
                <w:szCs w:val="20"/>
                <w:highlight w:val="none"/>
              </w:rPr>
            </w:r>
            <w:r>
              <w:rPr>
                <w:rFonts w:ascii="Times New Roman" w:hAnsi="Times New Roman"/>
                <w:sz w:val="20"/>
                <w:szCs w:val="20"/>
                <w:highlight w:val="none"/>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0"/>
                <w:szCs w:val="20"/>
                <w:highlight w:val="none"/>
              </w:rPr>
              <w:t xml:space="preserve">Комис</w:t>
            </w:r>
            <w:r>
              <w:rPr>
                <w:rFonts w:ascii="Times New Roman" w:hAnsi="Times New Roman"/>
                <w:sz w:val="20"/>
                <w:szCs w:val="20"/>
                <w:highlight w:val="none"/>
              </w:rPr>
              <w:t xml:space="preserve">сия является абонентской платой и взимается независимо от </w:t>
            </w:r>
            <w:r>
              <w:rPr>
                <w:rFonts w:ascii="Times New Roman" w:hAnsi="Times New Roman"/>
                <w:sz w:val="20"/>
                <w:szCs w:val="20"/>
                <w:highlight w:val="none"/>
              </w:rPr>
              <w:t xml:space="preserve">наличия операций по банковскому счету/ транзитному валютному счету Контролируемой организации, подключенному к услуге (не пересчитывается/ не возмещается при отсутствии операций по банковскому счету/ транзитному валютному счету Контролируемой организации).</w:t>
            </w:r>
            <w:r>
              <w:rPr>
                <w:rFonts w:ascii="Times New Roman" w:hAnsi="Times New Roman"/>
                <w:sz w:val="20"/>
                <w:szCs w:val="20"/>
                <w:highlight w:val="none"/>
              </w:rPr>
            </w:r>
            <w:r>
              <w:rPr>
                <w:rFonts w:ascii="Times New Roman" w:hAnsi="Times New Roman"/>
                <w:sz w:val="20"/>
                <w:szCs w:val="20"/>
                <w:highlight w:val="none"/>
              </w:rPr>
            </w:r>
          </w:p>
          <w:p>
            <w:pPr>
              <w:jc w:val="both"/>
              <w:spacing w:before="0" w:beforeAutospacing="0" w:after="0" w:line="240" w:lineRule="auto"/>
              <w:tabs>
                <w:tab w:val="left" w:pos="708" w:leader="none"/>
                <w:tab w:val="center" w:pos="4677" w:leader="none"/>
                <w:tab w:val="right" w:pos="9355" w:leader="none"/>
              </w:tabs>
              <w:rPr>
                <w:sz w:val="20"/>
                <w:szCs w:val="20"/>
              </w:rPr>
            </w:pPr>
            <w:r>
              <w:rPr>
                <w:rFonts w:ascii="Times New Roman" w:hAnsi="Times New Roman"/>
                <w:sz w:val="20"/>
                <w:szCs w:val="20"/>
              </w:rPr>
              <w:t xml:space="preserve">В случае отключения услуги комиссия за календарный месяц, в котором отключается услуга, взимается пропорционально количеству рабочих дней предоставления услуги в этом месяце (включая день отключения услуги).</w:t>
            </w:r>
            <w:r>
              <w:rPr>
                <w:sz w:val="20"/>
                <w:szCs w:val="20"/>
              </w:rPr>
            </w:r>
            <w:r>
              <w:rPr>
                <w:sz w:val="20"/>
                <w:szCs w:val="20"/>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rPr>
            </w:pPr>
            <w:r>
              <w:rPr>
                <w:rFonts w:ascii="Times New Roman" w:hAnsi="Times New Roman"/>
                <w:sz w:val="20"/>
                <w:szCs w:val="20"/>
              </w:rPr>
              <w:t xml:space="preserve">При предоставлении услуги в соответствии с п. 7.10 настоящих тарифов комиссия по п. 7.11 настоящих тарифов не взимается</w:t>
            </w:r>
            <w:r>
              <w:rPr>
                <w:rFonts w:ascii="Times New Roman" w:hAnsi="Times New Roman"/>
                <w:sz w:val="20"/>
                <w:szCs w:val="20"/>
              </w:rPr>
              <w:t xml:space="preserve">.</w:t>
            </w:r>
            <w:r>
              <w:rPr>
                <w:rFonts w:ascii="Times New Roman" w:hAnsi="Times New Roman"/>
                <w:sz w:val="20"/>
                <w:szCs w:val="20"/>
              </w:rPr>
            </w:r>
            <w:r>
              <w:rPr>
                <w:rFonts w:ascii="Times New Roman" w:hAnsi="Times New Roman"/>
                <w:sz w:val="20"/>
                <w:szCs w:val="20"/>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0"/>
                <w:szCs w:val="20"/>
                <w:highlight w:val="none"/>
              </w:rPr>
              <w:t xml:space="preserve">Предоставление услуги приостанавливается </w:t>
            </w:r>
            <w:r>
              <w:rPr>
                <w:rFonts w:ascii="Times New Roman" w:hAnsi="Times New Roman"/>
                <w:sz w:val="20"/>
                <w:szCs w:val="20"/>
                <w:highlight w:val="none"/>
              </w:rPr>
              <w:t xml:space="preserve">без  предварительного уведомления Банком  Контролирующей организации и/или Контролируемых организаций</w:t>
            </w:r>
            <w:r>
              <w:rPr>
                <w:rFonts w:ascii="Times New Roman" w:hAnsi="Times New Roman"/>
                <w:sz w:val="20"/>
                <w:szCs w:val="20"/>
                <w:highlight w:val="none"/>
              </w:rPr>
              <w:t xml:space="preserve"> в дату взимания комиссии, в которую услуги Банка не были оплачены за все банковские с</w:t>
            </w:r>
            <w:r>
              <w:rPr>
                <w:rFonts w:ascii="Times New Roman" w:hAnsi="Times New Roman"/>
                <w:sz w:val="20"/>
                <w:szCs w:val="20"/>
                <w:highlight w:val="none"/>
              </w:rPr>
              <w:t xml:space="preserve">чета и </w:t>
            </w:r>
            <w:r>
              <w:rPr>
                <w:rFonts w:ascii="Times New Roman" w:hAnsi="Times New Roman"/>
                <w:sz w:val="20"/>
                <w:szCs w:val="20"/>
                <w:highlight w:val="none"/>
              </w:rPr>
              <w:t xml:space="preserve">т</w:t>
            </w:r>
            <w:r>
              <w:rPr>
                <w:rFonts w:ascii="Times New Roman" w:hAnsi="Times New Roman"/>
                <w:sz w:val="20"/>
                <w:szCs w:val="20"/>
                <w:highlight w:val="none"/>
              </w:rPr>
              <w:t xml:space="preserve">ранзитные валютные счета </w:t>
            </w:r>
            <w:r>
              <w:rPr>
                <w:rFonts w:ascii="Times New Roman" w:hAnsi="Times New Roman"/>
                <w:sz w:val="20"/>
                <w:szCs w:val="20"/>
                <w:highlight w:val="none"/>
              </w:rPr>
              <w:t xml:space="preserve">Контролируемых организаций в полном объеме</w:t>
            </w:r>
            <w:r>
              <w:rPr>
                <w:rFonts w:ascii="Times New Roman" w:hAnsi="Times New Roman"/>
                <w:sz w:val="20"/>
                <w:szCs w:val="20"/>
                <w:highlight w:val="none"/>
              </w:rPr>
              <w:t xml:space="preserve">. Услуга приостанавливается </w:t>
            </w:r>
            <w:r>
              <w:rPr>
                <w:rFonts w:ascii="Times New Roman" w:hAnsi="Times New Roman"/>
                <w:sz w:val="20"/>
                <w:szCs w:val="20"/>
                <w:highlight w:val="none"/>
              </w:rPr>
              <w:t xml:space="preserve">в отношении всех банковск</w:t>
            </w:r>
            <w:r>
              <w:rPr>
                <w:rFonts w:ascii="Times New Roman" w:hAnsi="Times New Roman"/>
                <w:sz w:val="20"/>
                <w:szCs w:val="20"/>
                <w:highlight w:val="none"/>
              </w:rPr>
              <w:t xml:space="preserve">их счетов и транзитных вал</w:t>
            </w:r>
            <w:r>
              <w:rPr>
                <w:rFonts w:ascii="Times New Roman" w:hAnsi="Times New Roman"/>
                <w:sz w:val="20"/>
                <w:szCs w:val="20"/>
                <w:highlight w:val="none"/>
              </w:rPr>
              <w:t xml:space="preserve">ютных счет</w:t>
            </w:r>
            <w:r>
              <w:rPr>
                <w:rFonts w:ascii="Times New Roman" w:hAnsi="Times New Roman"/>
                <w:sz w:val="20"/>
                <w:szCs w:val="20"/>
                <w:highlight w:val="none"/>
              </w:rPr>
              <w:t xml:space="preserve">ов Контролируемых организаций, подключенных к услуге.  Услуга возобновляется в дату оплаты Контролирующей организацией  начисленной комиссии в полном объеме за все банковские счета и транзитные валютные счета Контролируемых организаций (</w:t>
            </w:r>
            <w:r>
              <w:rPr>
                <w:rFonts w:ascii="Times New Roman" w:hAnsi="Times New Roman"/>
                <w:sz w:val="20"/>
                <w:szCs w:val="20"/>
                <w:highlight w:val="none"/>
              </w:rPr>
              <w:t xml:space="preserve">оплата возможна при условии отсутствия задолженности по оплате комиссии по п. 7.3 настоящих тарифов)</w:t>
            </w:r>
            <w:r>
              <w:rPr>
                <w:rFonts w:ascii="Times New Roman" w:hAnsi="Times New Roman"/>
                <w:sz w:val="20"/>
                <w:szCs w:val="20"/>
                <w:highlight w:val="none"/>
              </w:rPr>
              <w:t xml:space="preserve">.</w:t>
            </w:r>
            <w:r>
              <w:rPr>
                <w:rFonts w:ascii="Times New Roman" w:hAnsi="Times New Roman"/>
                <w:sz w:val="20"/>
                <w:szCs w:val="20"/>
                <w:highlight w:val="none"/>
              </w:rPr>
            </w:r>
            <w:r>
              <w:rPr>
                <w:rFonts w:ascii="Times New Roman" w:hAnsi="Times New Roman"/>
                <w:sz w:val="20"/>
                <w:szCs w:val="20"/>
                <w:highlight w:val="none"/>
              </w:rPr>
            </w:r>
          </w:p>
          <w:p>
            <w:pPr>
              <w:jc w:val="both"/>
              <w:spacing w:before="40" w:after="0" w:line="240" w:lineRule="auto"/>
              <w:tabs>
                <w:tab w:val="left" w:pos="708" w:leader="none"/>
                <w:tab w:val="center" w:pos="4677" w:leader="none"/>
                <w:tab w:val="right" w:pos="9355" w:leader="none"/>
              </w:tabs>
              <w:rPr>
                <w:sz w:val="20"/>
                <w:szCs w:val="20"/>
              </w:rPr>
            </w:pPr>
            <w:r>
              <w:rPr>
                <w:rFonts w:ascii="Times New Roman" w:hAnsi="Times New Roman"/>
                <w:sz w:val="20"/>
                <w:szCs w:val="20"/>
                <w:highlight w:val="none"/>
              </w:rPr>
              <w:t xml:space="preserve">Комиссионное вознаграждение не взимается за расчетный месяц, в котором оказание услуги было приостановлено в течение всего месяца.</w:t>
            </w:r>
            <w:r>
              <w:rPr>
                <w:sz w:val="20"/>
                <w:szCs w:val="20"/>
              </w:rPr>
            </w:r>
            <w:r>
              <w:rPr>
                <w:sz w:val="20"/>
                <w:szCs w:val="20"/>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0"/>
                <w:szCs w:val="20"/>
                <w:highlight w:val="none"/>
              </w:rPr>
              <w:t xml:space="preserve">За расчетный месяц, в котором возобновлено предоставление услуги, комиссионное вознаграждение взимается в полном объеме вне зависимости от даты возобновлени</w:t>
            </w:r>
            <w:r>
              <w:rPr>
                <w:rFonts w:ascii="Times New Roman" w:hAnsi="Times New Roman"/>
                <w:sz w:val="20"/>
                <w:szCs w:val="20"/>
                <w:highlight w:val="none"/>
              </w:rPr>
              <w:t xml:space="preserve">я.</w:t>
            </w:r>
            <w:r>
              <w:rPr>
                <w:rFonts w:ascii="Times New Roman" w:hAnsi="Times New Roman"/>
                <w:sz w:val="20"/>
                <w:szCs w:val="20"/>
                <w:highlight w:val="none"/>
              </w:rPr>
            </w:r>
            <w:r>
              <w:rPr>
                <w:rFonts w:ascii="Times New Roman" w:hAnsi="Times New Roman"/>
                <w:sz w:val="20"/>
                <w:szCs w:val="20"/>
                <w:highlight w:val="none"/>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0"/>
                <w:szCs w:val="20"/>
                <w:highlight w:val="none"/>
              </w:rPr>
              <w:t xml:space="preserve">Услуга облагается НДС, сумма которого взимается дополнительно.</w:t>
            </w:r>
            <w:r>
              <w:rPr>
                <w:rFonts w:ascii="Times New Roman" w:hAnsi="Times New Roman"/>
                <w:sz w:val="20"/>
                <w:szCs w:val="20"/>
                <w:highlight w:val="none"/>
              </w:rPr>
            </w:r>
            <w:r>
              <w:rPr>
                <w:rFonts w:ascii="Times New Roman" w:hAnsi="Times New Roman"/>
                <w:sz w:val="20"/>
                <w:szCs w:val="20"/>
                <w:highlight w:val="none"/>
              </w:rPr>
            </w:r>
          </w:p>
        </w:tc>
      </w:tr>
    </w:tbl>
    <w:p>
      <w:pPr>
        <w:pStyle w:val="1135"/>
        <w:jc w:val="both"/>
        <w:rPr>
          <w:bCs/>
          <w:iCs/>
          <w:sz w:val="20"/>
          <w:szCs w:val="20"/>
        </w:rPr>
      </w:pPr>
      <w:r>
        <w:rPr>
          <w:bCs/>
          <w:iCs/>
          <w:sz w:val="20"/>
          <w:szCs w:val="20"/>
        </w:rPr>
      </w:r>
      <w:r>
        <w:rPr>
          <w:bCs/>
          <w:iCs/>
          <w:sz w:val="20"/>
          <w:szCs w:val="20"/>
        </w:rPr>
      </w:r>
      <w:r>
        <w:rPr>
          <w:bCs/>
          <w:iCs/>
          <w:sz w:val="20"/>
          <w:szCs w:val="20"/>
        </w:rPr>
      </w:r>
    </w:p>
    <w:p>
      <w:pPr>
        <w:pStyle w:val="1135"/>
        <w:spacing w:line="276" w:lineRule="auto"/>
        <w:rPr>
          <w:bCs/>
          <w:i/>
          <w:iCs/>
          <w:sz w:val="16"/>
          <w:szCs w:val="16"/>
          <w:u w:val="single"/>
        </w:rPr>
      </w:pPr>
      <w:r>
        <w:rPr>
          <w:bCs/>
          <w:i/>
          <w:iCs/>
          <w:sz w:val="16"/>
          <w:szCs w:val="16"/>
          <w:u w:val="single"/>
        </w:rPr>
        <w:t xml:space="preserve">Примечание:</w:t>
      </w:r>
      <w:r>
        <w:rPr>
          <w:bCs/>
          <w:i/>
          <w:iCs/>
          <w:sz w:val="16"/>
          <w:szCs w:val="16"/>
          <w:u w:val="single"/>
        </w:rPr>
      </w:r>
      <w:r>
        <w:rPr>
          <w:bCs/>
          <w:i/>
          <w:iCs/>
          <w:sz w:val="16"/>
          <w:szCs w:val="16"/>
          <w:u w:val="single"/>
        </w:rPr>
      </w:r>
    </w:p>
    <w:p>
      <w:pPr>
        <w:pStyle w:val="1135"/>
        <w:jc w:val="both"/>
        <w:spacing w:before="40" w:line="276" w:lineRule="auto"/>
        <w:rPr>
          <w:bCs/>
          <w:i/>
          <w:iCs/>
          <w:color w:val="000000"/>
          <w:sz w:val="16"/>
          <w:szCs w:val="16"/>
        </w:rPr>
      </w:pPr>
      <w:r>
        <w:rPr>
          <w:bCs/>
          <w:i/>
          <w:sz w:val="16"/>
          <w:szCs w:val="16"/>
        </w:rPr>
        <w:t xml:space="preserve">Без взимания комиссии в Банке обслуживаются</w:t>
      </w:r>
      <w:r>
        <w:rPr>
          <w:bCs/>
          <w:i/>
          <w:iCs/>
          <w:color w:val="000000"/>
          <w:sz w:val="16"/>
          <w:szCs w:val="16"/>
        </w:rPr>
        <w:t xml:space="preserve">:</w:t>
      </w:r>
      <w:r>
        <w:rPr>
          <w:bCs/>
          <w:i/>
          <w:iCs/>
          <w:color w:val="000000"/>
          <w:sz w:val="16"/>
          <w:szCs w:val="16"/>
        </w:rPr>
      </w:r>
      <w:r>
        <w:rPr>
          <w:bCs/>
          <w:i/>
          <w:iCs/>
          <w:color w:val="000000"/>
          <w:sz w:val="16"/>
          <w:szCs w:val="16"/>
        </w:rPr>
      </w:r>
    </w:p>
    <w:p>
      <w:pPr>
        <w:pStyle w:val="1135"/>
        <w:jc w:val="both"/>
        <w:spacing w:line="276" w:lineRule="auto"/>
        <w:tabs>
          <w:tab w:val="left" w:pos="1134" w:leader="none"/>
        </w:tabs>
        <w:rPr>
          <w:bCs/>
          <w:i/>
          <w:sz w:val="16"/>
          <w:szCs w:val="16"/>
        </w:rPr>
      </w:pPr>
      <w:r>
        <w:rPr>
          <w:bCs/>
          <w:i/>
          <w:sz w:val="16"/>
          <w:szCs w:val="16"/>
        </w:rPr>
        <w:t xml:space="preserve">- отдельные счета головного исполнителя;</w:t>
      </w:r>
      <w:r>
        <w:rPr>
          <w:bCs/>
          <w:i/>
          <w:sz w:val="16"/>
          <w:szCs w:val="16"/>
        </w:rPr>
      </w:r>
      <w:r>
        <w:rPr>
          <w:bCs/>
          <w:i/>
          <w:sz w:val="16"/>
          <w:szCs w:val="16"/>
        </w:rPr>
      </w:r>
    </w:p>
    <w:p>
      <w:pPr>
        <w:pStyle w:val="1135"/>
        <w:jc w:val="both"/>
        <w:spacing w:line="276" w:lineRule="auto"/>
        <w:tabs>
          <w:tab w:val="left" w:pos="1134" w:leader="none"/>
        </w:tabs>
        <w:rPr>
          <w:bCs/>
          <w:i/>
          <w:sz w:val="16"/>
          <w:szCs w:val="16"/>
        </w:rPr>
      </w:pPr>
      <w:r>
        <w:rPr>
          <w:bCs/>
          <w:i/>
          <w:sz w:val="16"/>
          <w:szCs w:val="16"/>
        </w:rPr>
        <w:t xml:space="preserve">- отдельные счета исполнителя государственного оборонного заказа;</w:t>
      </w:r>
      <w:r>
        <w:rPr>
          <w:bCs/>
          <w:i/>
          <w:sz w:val="16"/>
          <w:szCs w:val="16"/>
        </w:rPr>
      </w:r>
      <w:r>
        <w:rPr>
          <w:bCs/>
          <w:i/>
          <w:sz w:val="16"/>
          <w:szCs w:val="16"/>
        </w:rPr>
      </w:r>
    </w:p>
    <w:p>
      <w:pPr>
        <w:pStyle w:val="1135"/>
        <w:jc w:val="both"/>
        <w:spacing w:line="276" w:lineRule="auto"/>
        <w:tabs>
          <w:tab w:val="left" w:pos="1134" w:leader="none"/>
        </w:tabs>
        <w:rPr>
          <w:bCs/>
          <w:i/>
          <w:sz w:val="16"/>
          <w:szCs w:val="16"/>
        </w:rPr>
      </w:pPr>
      <w:r>
        <w:rPr>
          <w:bCs/>
          <w:i/>
          <w:sz w:val="16"/>
          <w:szCs w:val="16"/>
        </w:rPr>
        <w:t xml:space="preserve">- специальные банковские счета для размещения саморегулируемыми организациями средств компенсационного фонда;</w:t>
      </w:r>
      <w:r>
        <w:rPr>
          <w:bCs/>
          <w:i/>
          <w:sz w:val="16"/>
          <w:szCs w:val="16"/>
        </w:rPr>
      </w:r>
      <w:r>
        <w:rPr>
          <w:bCs/>
          <w:i/>
          <w:sz w:val="16"/>
          <w:szCs w:val="16"/>
        </w:rPr>
      </w:r>
    </w:p>
    <w:p>
      <w:pPr>
        <w:pStyle w:val="1135"/>
        <w:jc w:val="both"/>
        <w:spacing w:line="276" w:lineRule="auto"/>
        <w:tabs>
          <w:tab w:val="left" w:pos="1134" w:leader="none"/>
        </w:tabs>
        <w:rPr>
          <w:bCs/>
          <w:i/>
          <w:sz w:val="16"/>
          <w:szCs w:val="16"/>
        </w:rPr>
      </w:pPr>
      <w:r>
        <w:rPr>
          <w:bCs/>
          <w:i/>
          <w:sz w:val="16"/>
          <w:szCs w:val="16"/>
        </w:rPr>
        <w:t xml:space="preserve">- специальные банковские счета для размещения саморегулируемыми организациями средств компенсационного фонда возмещения вреда;</w:t>
      </w:r>
      <w:r>
        <w:rPr>
          <w:bCs/>
          <w:i/>
          <w:sz w:val="16"/>
          <w:szCs w:val="16"/>
        </w:rPr>
      </w:r>
      <w:r>
        <w:rPr>
          <w:bCs/>
          <w:i/>
          <w:sz w:val="16"/>
          <w:szCs w:val="16"/>
        </w:rPr>
      </w:r>
    </w:p>
    <w:p>
      <w:pPr>
        <w:pStyle w:val="1135"/>
        <w:jc w:val="both"/>
        <w:spacing w:line="276" w:lineRule="auto"/>
        <w:tabs>
          <w:tab w:val="left" w:pos="1134" w:leader="none"/>
        </w:tabs>
        <w:rPr>
          <w:bCs/>
          <w:i/>
          <w:sz w:val="16"/>
          <w:szCs w:val="16"/>
        </w:rPr>
      </w:pPr>
      <w:r>
        <w:rPr>
          <w:bCs/>
          <w:i/>
          <w:sz w:val="16"/>
          <w:szCs w:val="16"/>
        </w:rPr>
        <w:t xml:space="preserve">- специальные банковские счета для размещения саморегулируемыми организациями средств компенсационного фонда обеспечения договорных обязательств;</w:t>
      </w:r>
      <w:r>
        <w:rPr>
          <w:bCs/>
          <w:i/>
          <w:sz w:val="16"/>
          <w:szCs w:val="16"/>
        </w:rPr>
      </w:r>
      <w:r>
        <w:rPr>
          <w:bCs/>
          <w:i/>
          <w:sz w:val="16"/>
          <w:szCs w:val="16"/>
        </w:rPr>
      </w:r>
    </w:p>
    <w:p>
      <w:pPr>
        <w:pStyle w:val="1135"/>
        <w:jc w:val="both"/>
        <w:spacing w:line="276" w:lineRule="auto"/>
        <w:tabs>
          <w:tab w:val="left" w:pos="1134" w:leader="none"/>
        </w:tabs>
        <w:rPr>
          <w:bCs/>
          <w:i/>
          <w:sz w:val="16"/>
          <w:szCs w:val="16"/>
        </w:rPr>
      </w:pPr>
      <w:r>
        <w:rPr>
          <w:bCs/>
          <w:i/>
          <w:sz w:val="16"/>
          <w:szCs w:val="16"/>
        </w:rPr>
        <w:t xml:space="preserve">- публичные депозитные счета.</w:t>
      </w:r>
      <w:r>
        <w:rPr>
          <w:bCs/>
          <w:i/>
          <w:sz w:val="16"/>
          <w:szCs w:val="16"/>
        </w:rPr>
      </w:r>
      <w:r>
        <w:rPr>
          <w:bCs/>
          <w:i/>
          <w:sz w:val="16"/>
          <w:szCs w:val="16"/>
        </w:rPr>
      </w:r>
    </w:p>
    <w:p>
      <w:pPr>
        <w:pStyle w:val="1135"/>
        <w:jc w:val="both"/>
        <w:spacing w:line="276" w:lineRule="auto"/>
        <w:tabs>
          <w:tab w:val="left" w:pos="1134" w:leader="none"/>
        </w:tabs>
        <w:rPr>
          <w:bCs/>
          <w:i/>
          <w:sz w:val="16"/>
          <w:szCs w:val="16"/>
        </w:rPr>
      </w:pPr>
      <w:r>
        <w:rPr>
          <w:bCs/>
          <w:i/>
          <w:sz w:val="16"/>
          <w:szCs w:val="16"/>
        </w:rPr>
      </w:r>
      <w:r>
        <w:rPr>
          <w:bCs/>
          <w:i/>
          <w:sz w:val="16"/>
          <w:szCs w:val="16"/>
        </w:rPr>
      </w:r>
      <w:r>
        <w:rPr>
          <w:bCs/>
          <w:i/>
          <w:sz w:val="16"/>
          <w:szCs w:val="16"/>
        </w:rPr>
      </w:r>
    </w:p>
    <w:p>
      <w:pPr>
        <w:pStyle w:val="1135"/>
        <w:jc w:val="both"/>
        <w:spacing w:line="276" w:lineRule="auto"/>
        <w:tabs>
          <w:tab w:val="left" w:pos="1134" w:leader="none"/>
        </w:tabs>
        <w:rPr>
          <w:bCs/>
          <w:i/>
          <w:sz w:val="16"/>
          <w:szCs w:val="16"/>
        </w:rPr>
      </w:pPr>
      <w:r>
        <w:rPr>
          <w:bCs/>
          <w:i/>
          <w:sz w:val="16"/>
          <w:szCs w:val="16"/>
        </w:rPr>
        <w:t xml:space="preserve">Применяется при предоставлении услуг, указанных в разделе 7 «Дистанционное банковское обслуживание (ДБО)» настоящих тарифов</w:t>
      </w:r>
      <w:r>
        <w:rPr>
          <w:bCs/>
          <w:i/>
          <w:iCs/>
          <w:color w:val="000000"/>
          <w:sz w:val="16"/>
          <w:szCs w:val="16"/>
        </w:rPr>
        <w:t xml:space="preserve">»</w:t>
      </w:r>
      <w:r>
        <w:rPr>
          <w:bCs/>
          <w:iCs/>
          <w:color w:val="000000"/>
        </w:rPr>
        <w:t xml:space="preserve">.</w:t>
      </w:r>
      <w:r>
        <w:rPr>
          <w:bCs/>
          <w:i/>
          <w:sz w:val="16"/>
          <w:szCs w:val="16"/>
        </w:rPr>
      </w:r>
      <w:r>
        <w:rPr>
          <w:bCs/>
          <w:i/>
          <w:sz w:val="16"/>
          <w:szCs w:val="16"/>
        </w:rPr>
      </w:r>
    </w:p>
    <w:p>
      <w:pPr>
        <w:pStyle w:val="1135"/>
        <w:jc w:val="both"/>
        <w:spacing w:before="40" w:line="276" w:lineRule="auto"/>
        <w:tabs>
          <w:tab w:val="left" w:pos="284" w:leader="none"/>
          <w:tab w:val="left" w:pos="1134" w:leader="none"/>
        </w:tabs>
        <w:rPr>
          <w:bCs/>
          <w:i/>
          <w:iCs/>
          <w:sz w:val="16"/>
          <w:szCs w:val="16"/>
        </w:rPr>
      </w:pPr>
      <w:r>
        <w:rPr>
          <w:bCs/>
          <w:i/>
          <w:iCs/>
          <w:sz w:val="16"/>
          <w:szCs w:val="16"/>
        </w:rPr>
        <w:t xml:space="preserve">1.</w:t>
        <w:tab/>
        <w:t xml:space="preserve">Плата за услуги Банка взимается в момент оказания услуги, если конкретным пунктом тарифов не предусмотрено иное.</w:t>
      </w:r>
      <w:r>
        <w:rPr>
          <w:bCs/>
          <w:i/>
          <w:iCs/>
          <w:sz w:val="16"/>
          <w:szCs w:val="16"/>
        </w:rPr>
      </w:r>
      <w:r>
        <w:rPr>
          <w:bCs/>
          <w:i/>
          <w:iCs/>
          <w:sz w:val="16"/>
          <w:szCs w:val="16"/>
        </w:rPr>
      </w:r>
    </w:p>
    <w:p>
      <w:pPr>
        <w:pStyle w:val="1135"/>
        <w:jc w:val="both"/>
        <w:spacing w:line="276" w:lineRule="auto"/>
        <w:tabs>
          <w:tab w:val="left" w:pos="1134" w:leader="none"/>
        </w:tabs>
        <w:rPr>
          <w:i/>
          <w:sz w:val="16"/>
          <w:szCs w:val="16"/>
        </w:rPr>
      </w:pPr>
      <w:r>
        <w:rPr>
          <w:bCs/>
          <w:i/>
          <w:iCs/>
          <w:sz w:val="16"/>
          <w:szCs w:val="16"/>
        </w:rPr>
        <w:t xml:space="preserve">2.</w:t>
      </w:r>
      <w:r>
        <w:rPr>
          <w:bCs/>
          <w:i/>
          <w:iCs/>
          <w:sz w:val="16"/>
          <w:szCs w:val="16"/>
        </w:rPr>
        <w:t xml:space="preserve"> </w:t>
      </w:r>
      <w:r>
        <w:rPr>
          <w:bCs/>
          <w:i/>
          <w:iCs/>
          <w:sz w:val="16"/>
          <w:szCs w:val="16"/>
        </w:rPr>
        <w:t xml:space="preserve">Дистанционное банковское о</w:t>
      </w:r>
      <w:r>
        <w:rPr>
          <w:bCs/>
          <w:i/>
          <w:iCs/>
          <w:color w:val="000000"/>
          <w:sz w:val="16"/>
          <w:szCs w:val="16"/>
        </w:rPr>
        <w:t xml:space="preserve">бслуживание </w:t>
      </w:r>
      <w:r>
        <w:rPr>
          <w:bCs/>
          <w:i/>
          <w:iCs/>
          <w:sz w:val="16"/>
          <w:szCs w:val="16"/>
        </w:rPr>
        <w:t xml:space="preserve">бюджетных учреждений/казенных учреждений/автономных учреждений, унитарных предприятий, основанных на праве хозяйственного ведения, и унитарных предприятий, основанных на праве оперативного управления, осуществляется бесплатно</w:t>
      </w:r>
      <w:r>
        <w:rPr>
          <w:bCs/>
          <w:i/>
          <w:iCs/>
          <w:color w:val="000000"/>
          <w:sz w:val="16"/>
          <w:szCs w:val="16"/>
        </w:rPr>
        <w:t xml:space="preserve">. </w:t>
      </w:r>
      <w:r>
        <w:rPr>
          <w:bCs/>
          <w:i/>
          <w:sz w:val="16"/>
          <w:szCs w:val="16"/>
        </w:rPr>
        <w:t xml:space="preserve">Применяется при предоставлении услуг, указанных </w:t>
        <w:br w:type="textWrapping" w:clear="all"/>
        <w:t xml:space="preserve">в разделе 7 «Дистанционное банковское обслуживание (ДБО)» настоящих тарифов.</w:t>
      </w:r>
      <w:r>
        <w:rPr>
          <w:bCs/>
          <w:i/>
          <w:iCs/>
          <w:color w:val="000000"/>
          <w:sz w:val="16"/>
          <w:szCs w:val="16"/>
        </w:rPr>
        <w:t xml:space="preserve">».</w:t>
      </w:r>
      <w:r>
        <w:rPr>
          <w:i/>
          <w:sz w:val="16"/>
          <w:szCs w:val="16"/>
        </w:rPr>
      </w:r>
      <w:r>
        <w:rPr>
          <w:i/>
          <w:sz w:val="16"/>
          <w:szCs w:val="16"/>
        </w:rPr>
      </w:r>
    </w:p>
    <w:p>
      <w:pPr>
        <w:pStyle w:val="1135"/>
        <w:ind w:right="21"/>
        <w:jc w:val="both"/>
        <w:spacing w:before="40" w:line="276" w:lineRule="auto"/>
        <w:tabs>
          <w:tab w:val="left" w:pos="284" w:leader="none"/>
          <w:tab w:val="left" w:pos="1134" w:leader="none"/>
        </w:tabs>
        <w:rPr>
          <w:bCs/>
          <w:i/>
          <w:iCs/>
          <w:sz w:val="16"/>
          <w:szCs w:val="16"/>
        </w:rPr>
      </w:pPr>
      <w:r>
        <w:rPr>
          <w:bCs/>
          <w:i/>
          <w:iCs/>
          <w:sz w:val="16"/>
          <w:szCs w:val="16"/>
        </w:rPr>
        <w:t xml:space="preserve">3.</w:t>
        <w:tab/>
        <w:t xml:space="preserve">В случае если на момент оказания услуги клиент не имеет счетов, открыт</w:t>
      </w:r>
      <w:r>
        <w:rPr>
          <w:bCs/>
          <w:i/>
          <w:iCs/>
          <w:sz w:val="16"/>
          <w:szCs w:val="16"/>
        </w:rPr>
        <w:t xml:space="preserve">ых в АО «Россельхозбанк», с которых Банком может быть удержана комиссия, клиент производит оплату комиссии безналичным переводом со своих счетов, открытых в других банках, в течение 5 рабочих дней с момента подачи в Банк соответствующего запроса/заявления.</w:t>
      </w:r>
      <w:r>
        <w:rPr>
          <w:bCs/>
          <w:i/>
          <w:iCs/>
          <w:sz w:val="16"/>
          <w:szCs w:val="16"/>
        </w:rPr>
      </w:r>
      <w:r>
        <w:rPr>
          <w:bCs/>
          <w:i/>
          <w:iCs/>
          <w:sz w:val="16"/>
          <w:szCs w:val="16"/>
        </w:rPr>
      </w:r>
    </w:p>
    <w:p>
      <w:pPr>
        <w:pStyle w:val="1135"/>
        <w:jc w:val="both"/>
        <w:spacing w:line="276" w:lineRule="auto"/>
        <w:tabs>
          <w:tab w:val="left" w:pos="1134" w:leader="none"/>
        </w:tabs>
        <w:rPr>
          <w:i/>
          <w:sz w:val="16"/>
          <w:szCs w:val="16"/>
        </w:rPr>
      </w:pPr>
      <w:r>
        <w:rPr>
          <w:bCs/>
          <w:i/>
          <w:iCs/>
          <w:sz w:val="16"/>
          <w:szCs w:val="16"/>
        </w:rPr>
        <w:t xml:space="preserve">4. </w:t>
      </w:r>
      <w:r>
        <w:rPr>
          <w:i/>
          <w:sz w:val="16"/>
          <w:szCs w:val="16"/>
        </w:rPr>
        <w:t xml:space="preserve">По операциям, совершаемым через «Мобильный банк»/«Мобильное приложение «Свой Бизнес Мобайл», установлены следующие лимиты:».</w:t>
      </w:r>
      <w:r>
        <w:rPr>
          <w:i/>
          <w:sz w:val="16"/>
          <w:szCs w:val="16"/>
        </w:rPr>
      </w:r>
      <w:r>
        <w:rPr>
          <w:i/>
          <w:sz w:val="16"/>
          <w:szCs w:val="16"/>
        </w:rPr>
      </w:r>
    </w:p>
    <w:p>
      <w:pPr>
        <w:pStyle w:val="1135"/>
        <w:ind w:right="21"/>
        <w:jc w:val="both"/>
        <w:spacing w:before="40" w:line="276" w:lineRule="auto"/>
        <w:tabs>
          <w:tab w:val="left" w:pos="284" w:leader="none"/>
          <w:tab w:val="left" w:pos="1134" w:leader="none"/>
        </w:tabs>
        <w:rPr>
          <w:bCs/>
          <w:i/>
          <w:iCs/>
          <w:sz w:val="16"/>
          <w:szCs w:val="16"/>
        </w:rPr>
      </w:pPr>
      <w:r>
        <w:rPr>
          <w:bCs/>
          <w:i/>
          <w:iCs/>
          <w:sz w:val="16"/>
          <w:szCs w:val="16"/>
        </w:rPr>
        <w:t xml:space="preserve">- лимит на единовременную операцию – 5 000 000 (Пять миллионов) рублей;</w:t>
      </w:r>
      <w:r>
        <w:rPr>
          <w:bCs/>
          <w:i/>
          <w:iCs/>
          <w:sz w:val="16"/>
          <w:szCs w:val="16"/>
        </w:rPr>
      </w:r>
      <w:r>
        <w:rPr>
          <w:bCs/>
          <w:i/>
          <w:iCs/>
          <w:sz w:val="16"/>
          <w:szCs w:val="16"/>
        </w:rPr>
      </w:r>
    </w:p>
    <w:p>
      <w:pPr>
        <w:pStyle w:val="1135"/>
        <w:ind w:right="21"/>
        <w:jc w:val="both"/>
        <w:spacing w:before="40" w:line="276" w:lineRule="auto"/>
        <w:tabs>
          <w:tab w:val="left" w:pos="284" w:leader="none"/>
          <w:tab w:val="left" w:pos="1134" w:leader="none"/>
        </w:tabs>
        <w:rPr>
          <w:bCs/>
          <w:i/>
          <w:iCs/>
          <w:sz w:val="16"/>
          <w:szCs w:val="16"/>
        </w:rPr>
      </w:pPr>
      <w:r>
        <w:rPr>
          <w:bCs/>
          <w:i/>
          <w:iCs/>
          <w:sz w:val="16"/>
          <w:szCs w:val="16"/>
        </w:rPr>
        <w:t xml:space="preserve">- лимит на совершение операций в течение суток - 10 000 000 (Десять миллионов) рублей. Сутки – с 0:00 до 24:00 по московскому времени.</w:t>
      </w:r>
      <w:r>
        <w:rPr>
          <w:bCs/>
          <w:i/>
          <w:iCs/>
          <w:sz w:val="16"/>
          <w:szCs w:val="16"/>
        </w:rPr>
      </w:r>
      <w:r>
        <w:rPr>
          <w:bCs/>
          <w:i/>
          <w:iCs/>
          <w:sz w:val="16"/>
          <w:szCs w:val="16"/>
        </w:rPr>
      </w:r>
    </w:p>
    <w:p>
      <w:pPr>
        <w:pStyle w:val="1135"/>
        <w:ind w:right="21"/>
        <w:jc w:val="both"/>
        <w:spacing w:before="40" w:line="276" w:lineRule="auto"/>
        <w:tabs>
          <w:tab w:val="left" w:pos="284" w:leader="none"/>
          <w:tab w:val="left" w:pos="1134" w:leader="none"/>
        </w:tabs>
        <w:rPr>
          <w:bCs/>
          <w:i/>
          <w:iCs/>
          <w:sz w:val="16"/>
          <w:szCs w:val="16"/>
        </w:rPr>
      </w:pPr>
      <w:r>
        <w:rPr>
          <w:bCs/>
          <w:i/>
          <w:iCs/>
          <w:sz w:val="16"/>
          <w:szCs w:val="16"/>
        </w:rPr>
        <w:t xml:space="preserve">При проведении операций в иностранной валюте сумма операции определяется по курсу Банка России на дату проведения операции. </w:t>
      </w:r>
      <w:r>
        <w:rPr>
          <w:bCs/>
          <w:i/>
          <w:iCs/>
          <w:sz w:val="16"/>
          <w:szCs w:val="16"/>
        </w:rPr>
      </w:r>
      <w:r>
        <w:rPr>
          <w:bCs/>
          <w:i/>
          <w:iCs/>
          <w:sz w:val="16"/>
          <w:szCs w:val="16"/>
        </w:rPr>
      </w:r>
    </w:p>
    <w:p>
      <w:pPr>
        <w:pStyle w:val="1135"/>
        <w:ind w:right="21"/>
        <w:jc w:val="both"/>
        <w:spacing w:line="276" w:lineRule="auto"/>
        <w:tabs>
          <w:tab w:val="left" w:pos="284" w:leader="none"/>
          <w:tab w:val="left" w:pos="1134" w:leader="none"/>
        </w:tabs>
        <w:rPr>
          <w:i/>
          <w:iCs/>
          <w:sz w:val="16"/>
          <w:szCs w:val="16"/>
          <w:highlight w:val="none"/>
        </w:rPr>
      </w:pPr>
      <w:r>
        <w:rPr>
          <w:bCs/>
          <w:i/>
          <w:iCs/>
          <w:sz w:val="16"/>
          <w:szCs w:val="16"/>
        </w:rPr>
        <w:t xml:space="preserve">Лимит на единовременную операцию и лимит на совершение операций в течение суток (кумулятивный лимит) распространяются только на операции по переводу денежных средств на счета, не принадлежащие клиенту.</w:t>
      </w:r>
      <w:r>
        <w:rPr>
          <w:i/>
          <w:iCs/>
          <w:sz w:val="16"/>
          <w:szCs w:val="16"/>
          <w:highlight w:val="none"/>
        </w:rPr>
      </w:r>
      <w:r>
        <w:rPr>
          <w:i/>
          <w:iCs/>
          <w:sz w:val="16"/>
          <w:szCs w:val="16"/>
          <w:highlight w:val="none"/>
        </w:rPr>
      </w:r>
    </w:p>
    <w:p>
      <w:pPr>
        <w:ind w:right="21"/>
        <w:jc w:val="both"/>
        <w:spacing w:line="276" w:lineRule="auto"/>
        <w:tabs>
          <w:tab w:val="left" w:pos="284" w:leader="none"/>
          <w:tab w:val="left" w:pos="1134" w:leader="none"/>
        </w:tabs>
        <w:rPr>
          <w:bCs/>
          <w:i/>
          <w:sz w:val="16"/>
          <w:szCs w:val="16"/>
        </w:rPr>
      </w:pPr>
      <w:r>
        <w:rPr>
          <w:bCs/>
          <w:i/>
          <w:iCs/>
          <w:sz w:val="16"/>
          <w:szCs w:val="16"/>
          <w:highlight w:val="none"/>
        </w:rPr>
        <w:t xml:space="preserve">5. </w:t>
      </w:r>
      <w:r>
        <w:rPr>
          <w:rFonts w:eastAsia="Calibri"/>
          <w:color w:val="000000"/>
          <w:sz w:val="22"/>
          <w:szCs w:val="22"/>
          <w:highlight w:val="none"/>
          <w:lang w:eastAsia="en-US"/>
        </w:rPr>
        <w:t xml:space="preserve"> </w:t>
      </w:r>
      <w:r>
        <w:rPr>
          <w:rFonts w:eastAsia="Calibri"/>
          <w:i/>
          <w:iCs/>
          <w:color w:val="000000"/>
          <w:sz w:val="16"/>
          <w:szCs w:val="16"/>
          <w:highlight w:val="none"/>
          <w:lang w:eastAsia="en-US"/>
        </w:rPr>
        <w:t xml:space="preserve">Термины «Контролирующая организация» и «Контролируемая организация» применяются в значениях, определенных </w:t>
      </w:r>
      <w:r>
        <w:rPr>
          <w:b w:val="0"/>
          <w:bCs w:val="0"/>
          <w:i/>
          <w:iCs/>
          <w:sz w:val="16"/>
          <w:szCs w:val="16"/>
          <w:highlight w:val="none"/>
        </w:rPr>
        <w:t xml:space="preserve">Условиями дистанционного банковского обслуживания юридических лиц и индивидуальных предпринимателей в АО «Россельхозбанк» с использованием информационной системы «Цифровой канал обслуживания юридических лиц «Свой бизнес»/</w:t>
      </w:r>
      <w:r>
        <w:rPr>
          <w:b w:val="0"/>
          <w:bCs w:val="0"/>
          <w:i/>
          <w:iCs/>
          <w:sz w:val="16"/>
          <w:szCs w:val="16"/>
          <w:highlight w:val="none"/>
        </w:rPr>
        <w:t xml:space="preserve"> Условиями </w:t>
      </w:r>
      <w:r>
        <w:rPr>
          <w:b w:val="0"/>
          <w:bCs w:val="0"/>
          <w:i/>
          <w:iCs/>
          <w:sz w:val="16"/>
          <w:szCs w:val="16"/>
          <w:highlight w:val="none"/>
        </w:rPr>
        <w:t xml:space="preserve">дистанционного банковского обслуживания юридических лиц и индивидуальных предпринимателей в АО «Россельхозбанк» с использованием информационной системы «Цифровой канал обслуживания юридических лиц «Свой бизнес» </w:t>
      </w:r>
      <w:r>
        <w:rPr>
          <w:b w:val="0"/>
          <w:bCs w:val="0"/>
          <w:i/>
          <w:iCs/>
          <w:sz w:val="16"/>
          <w:szCs w:val="16"/>
          <w:highlight w:val="none"/>
        </w:rPr>
        <w:t xml:space="preserve">в рамках Единого сервисного договора</w:t>
      </w:r>
      <w:r>
        <w:rPr>
          <w:b w:val="0"/>
          <w:bCs w:val="0"/>
          <w:i/>
          <w:iCs/>
          <w:sz w:val="16"/>
          <w:szCs w:val="16"/>
          <w:highlight w:val="none"/>
        </w:rPr>
        <w:t xml:space="preserve"> (Приложение 2.2 к </w:t>
      </w:r>
      <w:r>
        <w:rPr>
          <w:b w:val="0"/>
          <w:bCs w:val="0"/>
          <w:i/>
          <w:iCs/>
          <w:color w:val="000000"/>
          <w:sz w:val="16"/>
          <w:szCs w:val="16"/>
          <w:highlight w:val="none"/>
        </w:rPr>
        <w:t xml:space="preserve">к Единому сер</w:t>
      </w:r>
      <w:r>
        <w:rPr>
          <w:b w:val="0"/>
          <w:bCs w:val="0"/>
          <w:i/>
          <w:iCs/>
          <w:color w:val="000000"/>
          <w:sz w:val="16"/>
          <w:szCs w:val="16"/>
          <w:highlight w:val="none"/>
        </w:rPr>
        <w:t xml:space="preserve">висному договору банковского обслуживания юридических лиц (за исключением кредитных организаций), индивидуальных предпринимателей и физических лиц, занимающихся в установленном законодательством Российской Федер</w:t>
      </w:r>
      <w:r>
        <w:rPr>
          <w:b w:val="0"/>
          <w:bCs w:val="0"/>
          <w:i/>
          <w:iCs/>
          <w:color w:val="000000"/>
          <w:sz w:val="16"/>
          <w:szCs w:val="16"/>
          <w:highlight w:val="none"/>
        </w:rPr>
        <w:t xml:space="preserve">ации частной практикой, в АО «Россельхозбанк»</w:t>
      </w:r>
      <w:r>
        <w:rPr>
          <w:b w:val="0"/>
          <w:bCs w:val="0"/>
          <w:i/>
          <w:iCs/>
          <w:sz w:val="16"/>
          <w:szCs w:val="16"/>
          <w:highlight w:val="none"/>
        </w:rPr>
        <w:t xml:space="preserve">).</w:t>
      </w:r>
      <w:r>
        <w:rPr>
          <w:rFonts w:ascii="Times New Roman" w:hAnsi="Times New Roman" w:eastAsia="Times New Roman"/>
          <w:bCs/>
          <w:i/>
          <w:iCs/>
          <w:sz w:val="16"/>
          <w:szCs w:val="16"/>
          <w:lang w:eastAsia="ru-RU"/>
        </w:rPr>
        <w:t xml:space="preserve"> Применяется при предоставлении услуг, указанных в п.п. 7.10, 7.11 раздела 7 «Дистанционное банковское обслуживание (ДБО)» настоящих тарифов.</w:t>
      </w:r>
      <w:r>
        <w:rPr>
          <w:bCs/>
          <w:i/>
          <w:sz w:val="16"/>
          <w:szCs w:val="16"/>
        </w:rPr>
      </w:r>
      <w:r>
        <w:rPr>
          <w:bCs/>
          <w:i/>
          <w:sz w:val="16"/>
          <w:szCs w:val="16"/>
        </w:rPr>
      </w:r>
    </w:p>
    <w:p>
      <w:pPr>
        <w:pStyle w:val="1135"/>
        <w:ind w:right="21"/>
        <w:jc w:val="both"/>
        <w:spacing w:line="276" w:lineRule="auto"/>
        <w:tabs>
          <w:tab w:val="left" w:pos="284" w:leader="none"/>
          <w:tab w:val="left" w:pos="1134" w:leader="none"/>
        </w:tabs>
        <w:rPr>
          <w:bCs/>
          <w:i/>
          <w:iCs/>
          <w:sz w:val="16"/>
          <w:szCs w:val="16"/>
        </w:rPr>
      </w:pPr>
      <w:r>
        <w:rPr>
          <w:bCs/>
          <w:i/>
          <w:iCs/>
          <w:sz w:val="16"/>
          <w:szCs w:val="16"/>
        </w:rPr>
      </w:r>
      <w:r>
        <w:rPr>
          <w:bCs/>
          <w:i/>
          <w:iCs/>
          <w:sz w:val="16"/>
          <w:szCs w:val="16"/>
        </w:rPr>
      </w:r>
      <w:r>
        <w:rPr>
          <w:bCs/>
          <w:i/>
          <w:iCs/>
          <w:sz w:val="16"/>
          <w:szCs w:val="16"/>
        </w:rPr>
      </w:r>
    </w:p>
    <w:p>
      <w:pPr>
        <w:pStyle w:val="1175"/>
        <w:jc w:val="both"/>
        <w:spacing w:line="276" w:lineRule="auto"/>
        <w:rPr>
          <w:i/>
          <w:sz w:val="16"/>
          <w:szCs w:val="16"/>
        </w:rPr>
      </w:pPr>
      <w:r>
        <w:rPr>
          <w:i/>
          <w:sz w:val="16"/>
          <w:szCs w:val="16"/>
        </w:rPr>
        <w:t xml:space="preserve">*Под обязательствами перед АО</w:t>
      </w:r>
      <w:r>
        <w:rPr>
          <w:i/>
          <w:sz w:val="16"/>
          <w:szCs w:val="16"/>
          <w:lang w:val="ru-RU"/>
        </w:rPr>
        <w:t xml:space="preserve"> </w:t>
      </w:r>
      <w:r>
        <w:rPr>
          <w:i/>
          <w:sz w:val="16"/>
          <w:szCs w:val="16"/>
        </w:rPr>
        <w:t xml:space="preserve">«Россельхозбанк»</w:t>
      </w:r>
      <w:r>
        <w:rPr>
          <w:i/>
          <w:sz w:val="16"/>
          <w:szCs w:val="16"/>
          <w:lang w:val="ru-RU"/>
        </w:rPr>
        <w:t xml:space="preserve"> по кредитным сделкам</w:t>
      </w:r>
      <w:r>
        <w:rPr>
          <w:i/>
          <w:sz w:val="16"/>
          <w:szCs w:val="16"/>
        </w:rPr>
        <w:t xml:space="preserve"> понима</w:t>
      </w:r>
      <w:r>
        <w:rPr>
          <w:i/>
          <w:sz w:val="16"/>
          <w:szCs w:val="16"/>
          <w:lang w:val="ru-RU"/>
        </w:rPr>
        <w:t xml:space="preserve">ю</w:t>
      </w:r>
      <w:r>
        <w:rPr>
          <w:i/>
          <w:sz w:val="16"/>
          <w:szCs w:val="16"/>
        </w:rPr>
        <w:t xml:space="preserve">тся:</w:t>
      </w:r>
      <w:r>
        <w:rPr>
          <w:i/>
          <w:sz w:val="16"/>
          <w:szCs w:val="16"/>
        </w:rPr>
      </w:r>
      <w:r>
        <w:rPr>
          <w:i/>
          <w:sz w:val="16"/>
          <w:szCs w:val="16"/>
        </w:rPr>
      </w:r>
    </w:p>
    <w:p>
      <w:pPr>
        <w:pStyle w:val="1175"/>
        <w:spacing w:line="276" w:lineRule="auto"/>
        <w:rPr>
          <w:i/>
          <w:sz w:val="16"/>
          <w:szCs w:val="16"/>
        </w:rPr>
      </w:pPr>
      <w:r>
        <w:rPr>
          <w:i/>
          <w:sz w:val="16"/>
          <w:szCs w:val="16"/>
        </w:rPr>
        <w:t xml:space="preserve">- неисполненные обязательства по кредитны</w:t>
      </w:r>
      <w:r>
        <w:rPr>
          <w:i/>
          <w:sz w:val="16"/>
          <w:szCs w:val="16"/>
          <w:lang w:val="ru-RU"/>
        </w:rPr>
        <w:t xml:space="preserve">м</w:t>
      </w:r>
      <w:r>
        <w:rPr>
          <w:i/>
          <w:sz w:val="16"/>
          <w:szCs w:val="16"/>
        </w:rPr>
        <w:t xml:space="preserve"> договор</w:t>
      </w:r>
      <w:r>
        <w:rPr>
          <w:i/>
          <w:sz w:val="16"/>
          <w:szCs w:val="16"/>
          <w:lang w:val="ru-RU"/>
        </w:rPr>
        <w:t xml:space="preserve">ам</w:t>
      </w:r>
      <w:r>
        <w:rPr>
          <w:i/>
          <w:sz w:val="16"/>
          <w:szCs w:val="16"/>
        </w:rPr>
        <w:t xml:space="preserve">, договор</w:t>
      </w:r>
      <w:r>
        <w:rPr>
          <w:i/>
          <w:sz w:val="16"/>
          <w:szCs w:val="16"/>
          <w:lang w:val="ru-RU"/>
        </w:rPr>
        <w:t xml:space="preserve">ам</w:t>
      </w:r>
      <w:r>
        <w:rPr>
          <w:i/>
          <w:sz w:val="16"/>
          <w:szCs w:val="16"/>
        </w:rPr>
        <w:t xml:space="preserve"> об открытии кредитной линии</w:t>
      </w:r>
      <w:r>
        <w:rPr>
          <w:i/>
          <w:sz w:val="16"/>
          <w:szCs w:val="16"/>
          <w:lang w:val="ru-RU"/>
        </w:rPr>
        <w:t xml:space="preserve"> (в том числе прекратившим свое действие)</w:t>
      </w:r>
      <w:r>
        <w:rPr>
          <w:i/>
          <w:sz w:val="16"/>
          <w:szCs w:val="16"/>
        </w:rPr>
        <w:t xml:space="preserve">;</w:t>
      </w:r>
      <w:r>
        <w:rPr>
          <w:i/>
          <w:sz w:val="16"/>
          <w:szCs w:val="16"/>
        </w:rPr>
      </w:r>
      <w:r>
        <w:rPr>
          <w:i/>
          <w:sz w:val="16"/>
          <w:szCs w:val="16"/>
        </w:rPr>
      </w:r>
    </w:p>
    <w:p>
      <w:pPr>
        <w:pStyle w:val="1135"/>
        <w:spacing w:line="276" w:lineRule="auto"/>
        <w:tabs>
          <w:tab w:val="left" w:pos="1134" w:leader="none"/>
        </w:tabs>
        <w:rPr>
          <w:bCs/>
          <w:i/>
          <w:sz w:val="16"/>
          <w:szCs w:val="16"/>
          <w:highlight w:val="none"/>
        </w:rPr>
      </w:pPr>
      <w:r>
        <w:rPr>
          <w:i/>
          <w:sz w:val="16"/>
          <w:szCs w:val="16"/>
        </w:rPr>
        <w:t xml:space="preserve">- обязательства по договорам и соглашениям, заключенным в обеспечение обязательств перед АО «Россельхозбанк» по вышеуказанным договорам, в том числе </w:t>
        <w:br w:type="textWrapping" w:clear="all"/>
        <w:t xml:space="preserve">по договорам залога, договорам поручительства (в том числе прекратившим свое действие).</w:t>
      </w:r>
      <w:r>
        <w:rPr>
          <w:bCs/>
          <w:i/>
          <w:sz w:val="16"/>
          <w:szCs w:val="16"/>
          <w:highlight w:val="none"/>
        </w:rPr>
      </w:r>
      <w:r>
        <w:rPr>
          <w:bCs/>
          <w:i/>
          <w:sz w:val="16"/>
          <w:szCs w:val="16"/>
          <w:highlight w:val="none"/>
        </w:rPr>
      </w:r>
    </w:p>
    <w:p>
      <w:pPr>
        <w:spacing w:line="276" w:lineRule="auto"/>
        <w:tabs>
          <w:tab w:val="left" w:pos="1134" w:leader="none"/>
        </w:tabs>
        <w:rPr>
          <w:bCs/>
          <w:i/>
          <w:sz w:val="16"/>
          <w:szCs w:val="16"/>
        </w:rPr>
      </w:pPr>
      <w:r>
        <w:rPr>
          <w:i/>
          <w:iCs/>
          <w:sz w:val="16"/>
          <w:szCs w:val="16"/>
          <w:highlight w:val="none"/>
        </w:rPr>
      </w:r>
      <w:r>
        <w:rPr>
          <w:rFonts w:eastAsia="Calibri"/>
          <w:i/>
          <w:iCs/>
          <w:color w:val="000000"/>
          <w:sz w:val="16"/>
          <w:szCs w:val="16"/>
          <w:highlight w:val="none"/>
          <w:lang w:eastAsia="en-US"/>
        </w:rPr>
        <w:t xml:space="preserve">** </w:t>
      </w:r>
      <w:r>
        <w:rPr>
          <w:rFonts w:ascii="Times New Roman" w:hAnsi="Times New Roman" w:eastAsia="Times New Roman"/>
          <w:bCs/>
          <w:i/>
          <w:iCs/>
          <w:sz w:val="16"/>
          <w:szCs w:val="16"/>
          <w:highlight w:val="none"/>
          <w:lang w:eastAsia="ru-RU"/>
        </w:rPr>
        <w:t xml:space="preserve">Комиссия не взимается в случае если Контролирующая организация является специализированным депозитарием</w:t>
      </w:r>
      <w:r>
        <w:rPr>
          <w:rFonts w:ascii="Times New Roman" w:hAnsi="Times New Roman" w:eastAsia="Times New Roman"/>
          <w:bCs/>
          <w:i/>
          <w:iCs/>
          <w:sz w:val="16"/>
          <w:szCs w:val="16"/>
          <w:highlight w:val="none"/>
          <w:lang w:eastAsia="ru-RU"/>
        </w:rPr>
        <w:t xml:space="preserve">, осуществляющим контроль</w:t>
      </w:r>
      <w:r>
        <w:rPr>
          <w:rFonts w:ascii="Times New Roman" w:hAnsi="Times New Roman" w:eastAsia="Times New Roman"/>
          <w:bCs/>
          <w:i/>
          <w:iCs/>
          <w:sz w:val="16"/>
          <w:szCs w:val="16"/>
          <w:highlight w:val="none"/>
          <w:lang w:eastAsia="ru-RU"/>
        </w:rPr>
        <w:t xml:space="preserve"> </w:t>
      </w:r>
      <w:r>
        <w:rPr>
          <w:rFonts w:ascii="Times New Roman" w:hAnsi="Times New Roman" w:eastAsia="Times New Roman"/>
          <w:bCs/>
          <w:i/>
          <w:iCs/>
          <w:sz w:val="16"/>
          <w:szCs w:val="16"/>
          <w:highlight w:val="none"/>
          <w:lang w:eastAsia="ru-RU"/>
        </w:rPr>
        <w:t xml:space="preserve">за платежами </w:t>
      </w:r>
      <w:r>
        <w:rPr>
          <w:rFonts w:ascii="Times New Roman" w:hAnsi="Times New Roman" w:eastAsia="Times New Roman"/>
          <w:bCs/>
          <w:i/>
          <w:iCs/>
          <w:sz w:val="16"/>
          <w:szCs w:val="16"/>
          <w:highlight w:val="none"/>
          <w:lang w:eastAsia="ru-RU"/>
        </w:rPr>
        <w:t xml:space="preserve">в соответствии с Федеральным законом от 29.11.2001 № 156-ФЗ </w:t>
      </w:r>
      <w:r>
        <w:rPr>
          <w:rFonts w:ascii="Times New Roman" w:hAnsi="Times New Roman" w:eastAsia="Times New Roman"/>
          <w:bCs/>
          <w:i/>
          <w:iCs/>
          <w:sz w:val="16"/>
          <w:szCs w:val="16"/>
          <w:highlight w:val="none"/>
          <w:lang w:eastAsia="ru-RU"/>
        </w:rPr>
        <w:t xml:space="preserve">«Об инвестиционных фондах»</w:t>
      </w:r>
      <w:r>
        <w:rPr>
          <w:rFonts w:eastAsia="Calibri"/>
          <w:i/>
          <w:iCs/>
          <w:color w:val="000000"/>
          <w:sz w:val="16"/>
          <w:szCs w:val="16"/>
          <w:highlight w:val="none"/>
          <w:lang w:eastAsia="en-US"/>
        </w:rPr>
        <w:t xml:space="preserve"> или </w:t>
      </w:r>
      <w:r>
        <w:rPr>
          <w:rFonts w:eastAsia="Calibri"/>
          <w:i/>
          <w:iCs/>
          <w:color w:val="000000"/>
          <w:sz w:val="16"/>
          <w:szCs w:val="16"/>
          <w:lang w:eastAsia="en-US"/>
        </w:rPr>
        <w:t xml:space="preserve">Федеральным законом </w:t>
      </w:r>
      <w:r>
        <w:rPr>
          <w:i/>
          <w:iCs/>
          <w:sz w:val="16"/>
          <w:szCs w:val="16"/>
        </w:rPr>
        <w:t xml:space="preserve">от 07.05.1998 №</w:t>
      </w:r>
      <w:r>
        <w:rPr>
          <w:i/>
          <w:iCs/>
          <w:sz w:val="16"/>
          <w:szCs w:val="16"/>
        </w:rPr>
        <w:t xml:space="preserve"> </w:t>
      </w:r>
      <w:r>
        <w:rPr>
          <w:i/>
          <w:iCs/>
          <w:sz w:val="16"/>
          <w:szCs w:val="16"/>
        </w:rPr>
        <w:t xml:space="preserve">75-ФЗ «О негосударственных пенсионных фондах»,</w:t>
      </w:r>
      <w:r>
        <w:rPr>
          <w:rFonts w:eastAsia="Calibri"/>
          <w:i/>
          <w:iCs/>
          <w:color w:val="000000"/>
          <w:sz w:val="16"/>
          <w:szCs w:val="16"/>
          <w:highlight w:val="none"/>
          <w:lang w:eastAsia="en-US"/>
        </w:rPr>
        <w:t xml:space="preserve"> </w:t>
      </w:r>
      <w:r>
        <w:rPr>
          <w:rFonts w:eastAsia="Calibri"/>
          <w:i/>
          <w:iCs/>
          <w:color w:val="000000"/>
          <w:sz w:val="16"/>
          <w:szCs w:val="16"/>
          <w:highlight w:val="none"/>
          <w:lang w:eastAsia="en-US"/>
        </w:rPr>
        <w:t xml:space="preserve">либо иным лицом, осуществляющим контроль за платежами в силу требований законодательства Российской Федерации</w:t>
      </w:r>
      <w:r>
        <w:rPr>
          <w:rFonts w:eastAsia="Calibri"/>
          <w:i/>
          <w:iCs/>
          <w:color w:val="000000"/>
          <w:sz w:val="16"/>
          <w:szCs w:val="16"/>
          <w:highlight w:val="none"/>
          <w:lang w:eastAsia="en-US"/>
        </w:rPr>
        <w:t xml:space="preserve">.</w:t>
      </w:r>
      <w:r>
        <w:rPr>
          <w:bCs/>
          <w:i/>
          <w:sz w:val="16"/>
          <w:szCs w:val="16"/>
        </w:rPr>
      </w:r>
      <w:r>
        <w:rPr>
          <w:bCs/>
          <w:i/>
          <w:sz w:val="16"/>
          <w:szCs w:val="16"/>
        </w:rPr>
      </w:r>
    </w:p>
    <w:p>
      <w:pPr>
        <w:pStyle w:val="1139"/>
      </w:pPr>
      <w:r>
        <w:t xml:space="preserve">8.</w:t>
      </w:r>
      <w:r>
        <w:t xml:space="preserve"> </w:t>
      </w:r>
      <w:r>
        <w:t xml:space="preserve">Хранение</w:t>
      </w:r>
      <w:r>
        <w:t xml:space="preserve"> </w:t>
      </w:r>
      <w:r>
        <w:t xml:space="preserve">ценностей</w:t>
      </w:r>
      <w:r>
        <w:t xml:space="preserve"> </w:t>
      </w:r>
      <w:r>
        <w:t xml:space="preserve">клиентов</w:t>
      </w:r>
      <w:r>
        <w:t xml:space="preserve"> </w:t>
      </w:r>
      <w:r>
        <w:t xml:space="preserve">в</w:t>
      </w:r>
      <w:r>
        <w:t xml:space="preserve"> </w:t>
      </w:r>
      <w:r>
        <w:t xml:space="preserve">хранилище</w:t>
      </w:r>
      <w:r>
        <w:t xml:space="preserve"> </w:t>
      </w:r>
      <w:r>
        <w:t xml:space="preserve">ценностей</w:t>
      </w:r>
      <w:r>
        <w:t xml:space="preserve"> </w:t>
      </w:r>
      <w:r>
        <w:t xml:space="preserve">Банка</w:t>
      </w:r>
      <w:r/>
    </w:p>
    <w:p>
      <w:pPr>
        <w:pStyle w:val="1135"/>
        <w:jc w:val="center"/>
        <w:rPr>
          <w:sz w:val="20"/>
          <w:szCs w:val="20"/>
        </w:rPr>
      </w:pPr>
      <w:r>
        <w:rPr>
          <w:sz w:val="20"/>
          <w:szCs w:val="20"/>
        </w:rPr>
        <w:t xml:space="preserve">(с</w:t>
      </w:r>
      <w:r>
        <w:rPr>
          <w:sz w:val="20"/>
          <w:szCs w:val="20"/>
        </w:rPr>
        <w:t xml:space="preserve"> </w:t>
      </w:r>
      <w:r>
        <w:rPr>
          <w:sz w:val="20"/>
          <w:szCs w:val="20"/>
        </w:rPr>
        <w:t xml:space="preserve">учетом</w:t>
      </w:r>
      <w:r>
        <w:rPr>
          <w:sz w:val="20"/>
          <w:szCs w:val="20"/>
        </w:rPr>
        <w:t xml:space="preserve"> </w:t>
      </w:r>
      <w:r>
        <w:rPr>
          <w:sz w:val="20"/>
          <w:szCs w:val="20"/>
        </w:rPr>
        <w:t xml:space="preserve">НДС)</w:t>
      </w:r>
      <w:r>
        <w:rPr>
          <w:sz w:val="20"/>
          <w:szCs w:val="20"/>
        </w:rPr>
      </w:r>
      <w:r>
        <w:rPr>
          <w:sz w:val="20"/>
          <w:szCs w:val="20"/>
        </w:rPr>
      </w:r>
    </w:p>
    <w:p>
      <w:pPr>
        <w:pStyle w:val="1135"/>
      </w:pPr>
      <w: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0"/>
        <w:gridCol w:w="3969"/>
        <w:gridCol w:w="1985"/>
        <w:gridCol w:w="35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35"/>
              <w:jc w:val="center"/>
              <w:rPr>
                <w:b/>
                <w:sz w:val="20"/>
                <w:szCs w:val="20"/>
              </w:rPr>
            </w:pPr>
            <w:r>
              <w:rPr>
                <w:b/>
                <w:sz w:val="20"/>
                <w:szCs w:val="20"/>
              </w:rPr>
              <w:t xml:space="preserve">№ п/п</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35"/>
              <w:jc w:val="center"/>
              <w:rPr>
                <w:b/>
                <w:sz w:val="20"/>
                <w:szCs w:val="20"/>
              </w:rPr>
            </w:pPr>
            <w:r>
              <w:rPr>
                <w:b/>
                <w:sz w:val="20"/>
                <w:szCs w:val="20"/>
              </w:rPr>
              <w:t xml:space="preserve">Наименование услуги</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35"/>
              <w:jc w:val="center"/>
              <w:rPr>
                <w:b/>
                <w:sz w:val="20"/>
                <w:szCs w:val="20"/>
              </w:rPr>
            </w:pPr>
            <w:r>
              <w:rPr>
                <w:b/>
                <w:sz w:val="20"/>
                <w:szCs w:val="20"/>
              </w:rPr>
              <w:t xml:space="preserve">Тариф</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35"/>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35"/>
              <w:jc w:val="center"/>
              <w:rPr>
                <w:sz w:val="20"/>
                <w:szCs w:val="20"/>
              </w:rPr>
            </w:pPr>
            <w:r>
              <w:rPr>
                <w:sz w:val="20"/>
                <w:szCs w:val="20"/>
              </w:rPr>
              <w:t xml:space="preserve">8.1.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35"/>
              <w:rPr>
                <w:sz w:val="20"/>
                <w:szCs w:val="20"/>
              </w:rPr>
            </w:pPr>
            <w:r>
              <w:rPr>
                <w:sz w:val="20"/>
                <w:szCs w:val="20"/>
              </w:rPr>
              <w:t xml:space="preserve">До 10 мест</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35"/>
              <w:jc w:val="center"/>
              <w:rPr>
                <w:sz w:val="20"/>
                <w:szCs w:val="20"/>
              </w:rPr>
            </w:pPr>
            <w:r>
              <w:rPr>
                <w:sz w:val="20"/>
                <w:szCs w:val="20"/>
              </w:rPr>
              <w:t xml:space="preserve">5</w:t>
            </w:r>
            <w:r>
              <w:rPr>
                <w:sz w:val="20"/>
                <w:szCs w:val="20"/>
              </w:rPr>
              <w:t xml:space="preserve">5</w:t>
            </w:r>
            <w:r>
              <w:rPr>
                <w:sz w:val="20"/>
                <w:szCs w:val="20"/>
              </w:rPr>
              <w:t xml:space="preserve"> долл. США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35"/>
              <w:rPr>
                <w:sz w:val="20"/>
                <w:szCs w:val="20"/>
              </w:rPr>
            </w:pPr>
            <w:r>
              <w:rPr>
                <w:sz w:val="20"/>
                <w:szCs w:val="20"/>
              </w:rPr>
              <w:t xml:space="preserve">По отдельному договору хранения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35"/>
              <w:jc w:val="center"/>
              <w:rPr>
                <w:sz w:val="20"/>
                <w:szCs w:val="20"/>
              </w:rPr>
            </w:pPr>
            <w:r>
              <w:rPr>
                <w:sz w:val="20"/>
                <w:szCs w:val="20"/>
              </w:rPr>
              <w:t xml:space="preserve">8.2.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35"/>
              <w:rPr>
                <w:sz w:val="20"/>
                <w:szCs w:val="20"/>
              </w:rPr>
            </w:pPr>
            <w:r>
              <w:rPr>
                <w:sz w:val="20"/>
                <w:szCs w:val="20"/>
              </w:rPr>
              <w:t xml:space="preserve">От 11 мест до 20 мест </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35"/>
              <w:jc w:val="center"/>
              <w:rPr>
                <w:sz w:val="20"/>
                <w:szCs w:val="20"/>
              </w:rPr>
            </w:pPr>
            <w:r>
              <w:rPr>
                <w:sz w:val="20"/>
                <w:szCs w:val="20"/>
              </w:rPr>
              <w:t xml:space="preserve">10</w:t>
            </w:r>
            <w:r>
              <w:rPr>
                <w:sz w:val="20"/>
                <w:szCs w:val="20"/>
              </w:rPr>
              <w:t xml:space="preserve">5</w:t>
            </w:r>
            <w:r>
              <w:rPr>
                <w:sz w:val="20"/>
                <w:szCs w:val="20"/>
              </w:rPr>
              <w:t xml:space="preserve"> долл. США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35"/>
              <w:rPr>
                <w:sz w:val="20"/>
                <w:szCs w:val="20"/>
              </w:rPr>
            </w:pPr>
            <w:r>
              <w:rPr>
                <w:sz w:val="20"/>
                <w:szCs w:val="20"/>
              </w:rPr>
              <w:t xml:space="preserve">По отдельному договору хранения </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35"/>
              <w:jc w:val="center"/>
              <w:rPr>
                <w:sz w:val="20"/>
                <w:szCs w:val="20"/>
              </w:rPr>
            </w:pPr>
            <w:r>
              <w:rPr>
                <w:sz w:val="20"/>
                <w:szCs w:val="20"/>
              </w:rPr>
              <w:t xml:space="preserve">8.3.</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35"/>
              <w:rPr>
                <w:sz w:val="20"/>
                <w:szCs w:val="20"/>
              </w:rPr>
            </w:pPr>
            <w:r>
              <w:rPr>
                <w:sz w:val="20"/>
                <w:szCs w:val="20"/>
              </w:rPr>
              <w:t xml:space="preserve">От 21 места до 30 мест</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35"/>
              <w:jc w:val="center"/>
              <w:rPr>
                <w:sz w:val="20"/>
                <w:szCs w:val="20"/>
              </w:rPr>
            </w:pPr>
            <w:r>
              <w:rPr>
                <w:sz w:val="20"/>
                <w:szCs w:val="20"/>
              </w:rPr>
              <w:t xml:space="preserve">15</w:t>
            </w:r>
            <w:r>
              <w:rPr>
                <w:sz w:val="20"/>
                <w:szCs w:val="20"/>
              </w:rPr>
              <w:t xml:space="preserve">5</w:t>
            </w:r>
            <w:r>
              <w:rPr>
                <w:sz w:val="20"/>
                <w:szCs w:val="20"/>
              </w:rPr>
              <w:t xml:space="preserve"> долл. США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35"/>
              <w:rPr>
                <w:sz w:val="20"/>
                <w:szCs w:val="20"/>
              </w:rPr>
            </w:pPr>
            <w:r>
              <w:rPr>
                <w:sz w:val="20"/>
                <w:szCs w:val="20"/>
              </w:rPr>
              <w:t xml:space="preserve">По отдельному договору хранения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35"/>
              <w:jc w:val="center"/>
              <w:rPr>
                <w:sz w:val="20"/>
                <w:szCs w:val="20"/>
              </w:rPr>
            </w:pPr>
            <w:r>
              <w:rPr>
                <w:sz w:val="20"/>
                <w:szCs w:val="20"/>
              </w:rPr>
              <w:t xml:space="preserve">8.4.</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35"/>
              <w:rPr>
                <w:sz w:val="20"/>
                <w:szCs w:val="20"/>
              </w:rPr>
            </w:pPr>
            <w:r>
              <w:rPr>
                <w:sz w:val="20"/>
                <w:szCs w:val="20"/>
              </w:rPr>
              <w:t xml:space="preserve">От 31 места до 40 мест</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35"/>
              <w:jc w:val="center"/>
              <w:rPr>
                <w:sz w:val="20"/>
                <w:szCs w:val="20"/>
              </w:rPr>
            </w:pPr>
            <w:r>
              <w:rPr>
                <w:sz w:val="20"/>
                <w:szCs w:val="20"/>
              </w:rPr>
              <w:t xml:space="preserve">20</w:t>
            </w:r>
            <w:r>
              <w:rPr>
                <w:sz w:val="20"/>
                <w:szCs w:val="20"/>
              </w:rPr>
              <w:t xml:space="preserve">5</w:t>
            </w:r>
            <w:r>
              <w:rPr>
                <w:sz w:val="20"/>
                <w:szCs w:val="20"/>
              </w:rPr>
              <w:t xml:space="preserve"> долл. США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35"/>
              <w:rPr>
                <w:sz w:val="20"/>
                <w:szCs w:val="20"/>
              </w:rPr>
            </w:pPr>
            <w:r>
              <w:rPr>
                <w:sz w:val="20"/>
                <w:szCs w:val="20"/>
              </w:rPr>
              <w:t xml:space="preserve">По отдельному договору хранения</w:t>
            </w:r>
            <w:r>
              <w:rPr>
                <w:sz w:val="20"/>
                <w:szCs w:val="20"/>
              </w:rPr>
            </w:r>
            <w:r>
              <w:rPr>
                <w:sz w:val="20"/>
                <w:szCs w:val="20"/>
              </w:rPr>
            </w:r>
          </w:p>
        </w:tc>
      </w:tr>
    </w:tbl>
    <w:p>
      <w:pPr>
        <w:pStyle w:val="1139"/>
        <w:rPr>
          <w:lang w:val="ru-RU"/>
        </w:rPr>
      </w:pPr>
      <w:r>
        <w:rPr>
          <w:lang w:val="ru-RU"/>
        </w:rPr>
      </w:r>
      <w:r>
        <w:rPr>
          <w:lang w:val="ru-RU"/>
        </w:rPr>
      </w:r>
      <w:r>
        <w:rPr>
          <w:lang w:val="ru-RU"/>
        </w:rPr>
      </w:r>
    </w:p>
    <w:p>
      <w:pPr>
        <w:pStyle w:val="1135"/>
        <w:ind w:left="360"/>
        <w:rPr>
          <w:rFonts w:eastAsia="Calibri"/>
          <w:b/>
          <w:sz w:val="22"/>
          <w:szCs w:val="22"/>
          <w:lang w:eastAsia="en-US"/>
        </w:rPr>
      </w:pPr>
      <w:r>
        <w:rPr>
          <w:rFonts w:eastAsia="Calibri"/>
          <w:b/>
          <w:sz w:val="22"/>
          <w:szCs w:val="22"/>
          <w:lang w:eastAsia="en-US"/>
        </w:rPr>
        <w:t xml:space="preserve">9. Операции по предоставлению клиентам в аренду индивидуальных сейфовых ячеек</w:t>
      </w:r>
      <w:r>
        <w:rPr>
          <w:rFonts w:eastAsia="Calibri"/>
          <w:b/>
          <w:sz w:val="22"/>
          <w:szCs w:val="22"/>
          <w:lang w:eastAsia="en-US"/>
        </w:rPr>
      </w:r>
      <w:r>
        <w:rPr>
          <w:rFonts w:eastAsia="Calibri"/>
          <w:b/>
          <w:sz w:val="22"/>
          <w:szCs w:val="22"/>
          <w:lang w:eastAsia="en-US"/>
        </w:rPr>
      </w:r>
    </w:p>
    <w:p>
      <w:pPr>
        <w:pStyle w:val="1135"/>
        <w:ind w:left="360"/>
        <w:rPr>
          <w:rFonts w:eastAsia="Calibri"/>
          <w:b/>
          <w:lang w:eastAsia="en-US"/>
        </w:rPr>
      </w:pPr>
      <w:r>
        <w:rPr>
          <w:rFonts w:eastAsia="Calibri"/>
          <w:b/>
          <w:lang w:eastAsia="en-US"/>
        </w:rPr>
      </w:r>
      <w:r>
        <w:rPr>
          <w:rFonts w:eastAsia="Calibri"/>
          <w:b/>
          <w:lang w:eastAsia="en-US"/>
        </w:rPr>
      </w:r>
      <w:r>
        <w:rPr>
          <w:rFonts w:eastAsia="Calibri"/>
          <w:b/>
          <w:lang w:eastAsia="en-US"/>
        </w:rPr>
      </w:r>
    </w:p>
    <w:tbl>
      <w:tblPr>
        <w:tblW w:w="1003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993"/>
        <w:gridCol w:w="3402"/>
        <w:gridCol w:w="2268"/>
        <w:gridCol w:w="336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Pr>
        <w:tc>
          <w:tcPr>
            <w:tcBorders>
              <w:top w:val="single" w:color="000000" w:sz="4" w:space="0"/>
              <w:left w:val="single" w:color="000000" w:sz="4" w:space="0"/>
              <w:bottom w:val="single" w:color="000000" w:sz="4" w:space="0"/>
              <w:right w:val="single" w:color="000000" w:sz="4" w:space="0"/>
            </w:tcBorders>
            <w:tcW w:w="993" w:type="dxa"/>
            <w:vAlign w:val="center"/>
            <w:textDirection w:val="lrTb"/>
            <w:noWrap w:val="false"/>
          </w:tcPr>
          <w:p>
            <w:pPr>
              <w:pStyle w:val="1135"/>
              <w:jc w:val="center"/>
              <w:rPr>
                <w:rFonts w:eastAsia="Calibri"/>
                <w:b/>
                <w:bCs/>
                <w:sz w:val="20"/>
                <w:szCs w:val="20"/>
                <w:lang w:eastAsia="en-US"/>
              </w:rPr>
            </w:pPr>
            <w:r>
              <w:rPr>
                <w:rFonts w:eastAsia="Calibri"/>
                <w:b/>
                <w:bCs/>
                <w:sz w:val="20"/>
                <w:szCs w:val="20"/>
                <w:lang w:eastAsia="en-US"/>
              </w:rPr>
              <w:t xml:space="preserve">№  п/п</w:t>
            </w:r>
            <w:r>
              <w:rPr>
                <w:rFonts w:eastAsia="Calibri"/>
                <w:b/>
                <w:bCs/>
                <w:sz w:val="20"/>
                <w:szCs w:val="20"/>
                <w:lang w:eastAsia="en-US"/>
              </w:rPr>
            </w:r>
            <w:r>
              <w:rPr>
                <w:rFonts w:eastAsia="Calibri"/>
                <w:b/>
                <w:bCs/>
                <w:sz w:val="20"/>
                <w:szCs w:val="20"/>
                <w:lang w:eastAsia="en-US"/>
              </w:rPr>
            </w:r>
          </w:p>
        </w:tc>
        <w:tc>
          <w:tcPr>
            <w:tcBorders>
              <w:top w:val="single" w:color="000000" w:sz="4" w:space="0"/>
              <w:left w:val="single" w:color="000000" w:sz="4" w:space="0"/>
              <w:bottom w:val="single" w:color="000000" w:sz="4" w:space="0"/>
              <w:right w:val="single" w:color="000000" w:sz="4" w:space="0"/>
            </w:tcBorders>
            <w:tcW w:w="3402" w:type="dxa"/>
            <w:vAlign w:val="center"/>
            <w:textDirection w:val="lrTb"/>
            <w:noWrap w:val="false"/>
          </w:tcPr>
          <w:p>
            <w:pPr>
              <w:pStyle w:val="1135"/>
              <w:jc w:val="center"/>
              <w:rPr>
                <w:rFonts w:eastAsia="Calibri"/>
                <w:b/>
                <w:bCs/>
                <w:sz w:val="20"/>
                <w:szCs w:val="20"/>
                <w:lang w:eastAsia="en-US"/>
              </w:rPr>
            </w:pPr>
            <w:r>
              <w:rPr>
                <w:rFonts w:eastAsia="Calibri"/>
                <w:b/>
                <w:bCs/>
                <w:sz w:val="20"/>
                <w:szCs w:val="20"/>
                <w:lang w:eastAsia="en-US"/>
              </w:rPr>
              <w:t xml:space="preserve">Наименование услуги</w:t>
            </w:r>
            <w:r>
              <w:rPr>
                <w:rFonts w:eastAsia="Calibri"/>
                <w:b/>
                <w:bCs/>
                <w:sz w:val="20"/>
                <w:szCs w:val="20"/>
                <w:lang w:eastAsia="en-US"/>
              </w:rPr>
            </w:r>
            <w:r>
              <w:rPr>
                <w:rFonts w:eastAsia="Calibri"/>
                <w:b/>
                <w:bCs/>
                <w:sz w:val="20"/>
                <w:szCs w:val="20"/>
                <w:lang w:eastAsia="en-US"/>
              </w:rPr>
            </w:r>
          </w:p>
        </w:tc>
        <w:tc>
          <w:tcPr>
            <w:tcBorders>
              <w:top w:val="single" w:color="000000" w:sz="4" w:space="0"/>
              <w:left w:val="single" w:color="000000" w:sz="4" w:space="0"/>
              <w:bottom w:val="single" w:color="000000" w:sz="4" w:space="0"/>
              <w:right w:val="single" w:color="000000" w:sz="4" w:space="0"/>
            </w:tcBorders>
            <w:tcW w:w="2268" w:type="dxa"/>
            <w:vAlign w:val="center"/>
            <w:textDirection w:val="lrTb"/>
            <w:noWrap w:val="false"/>
          </w:tcPr>
          <w:p>
            <w:pPr>
              <w:pStyle w:val="1135"/>
              <w:jc w:val="center"/>
              <w:rPr>
                <w:rFonts w:eastAsia="Calibri"/>
                <w:b/>
                <w:bCs/>
                <w:sz w:val="20"/>
                <w:szCs w:val="20"/>
                <w:lang w:eastAsia="en-US"/>
              </w:rPr>
            </w:pPr>
            <w:r>
              <w:rPr>
                <w:rFonts w:eastAsia="Calibri"/>
                <w:b/>
                <w:bCs/>
                <w:sz w:val="20"/>
                <w:szCs w:val="20"/>
                <w:lang w:eastAsia="en-US"/>
              </w:rPr>
              <w:t xml:space="preserve">Тариф</w:t>
            </w:r>
            <w:r>
              <w:rPr>
                <w:rFonts w:eastAsia="Calibri"/>
                <w:b/>
                <w:bCs/>
                <w:sz w:val="20"/>
                <w:szCs w:val="20"/>
                <w:lang w:eastAsia="en-US"/>
              </w:rPr>
            </w:r>
            <w:r>
              <w:rPr>
                <w:rFonts w:eastAsia="Calibri"/>
                <w:b/>
                <w:bCs/>
                <w:sz w:val="20"/>
                <w:szCs w:val="20"/>
                <w:lang w:eastAsia="en-US"/>
              </w:rPr>
            </w:r>
          </w:p>
        </w:tc>
        <w:tc>
          <w:tcPr>
            <w:tcBorders>
              <w:top w:val="single" w:color="000000" w:sz="4" w:space="0"/>
              <w:left w:val="single" w:color="000000" w:sz="4" w:space="0"/>
              <w:bottom w:val="single" w:color="000000" w:sz="4" w:space="0"/>
              <w:right w:val="single" w:color="000000" w:sz="4" w:space="0"/>
            </w:tcBorders>
            <w:tcW w:w="3367" w:type="dxa"/>
            <w:vAlign w:val="center"/>
            <w:textDirection w:val="lrTb"/>
            <w:noWrap w:val="false"/>
          </w:tcPr>
          <w:p>
            <w:pPr>
              <w:pStyle w:val="1135"/>
              <w:jc w:val="center"/>
              <w:rPr>
                <w:rFonts w:eastAsia="Calibri"/>
                <w:sz w:val="20"/>
                <w:szCs w:val="20"/>
                <w:lang w:eastAsia="en-US"/>
              </w:rPr>
            </w:pPr>
            <w:r>
              <w:rPr>
                <w:rFonts w:eastAsia="Calibri"/>
                <w:b/>
                <w:bCs/>
                <w:sz w:val="20"/>
                <w:szCs w:val="20"/>
                <w:lang w:eastAsia="en-US"/>
              </w:rPr>
              <w:t xml:space="preserve">Примечание</w:t>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35"/>
              <w:jc w:val="center"/>
              <w:spacing w:before="120" w:after="120"/>
              <w:rPr>
                <w:rFonts w:eastAsia="Calibri"/>
                <w:bCs/>
                <w:sz w:val="20"/>
                <w:szCs w:val="20"/>
                <w:lang w:eastAsia="en-US"/>
              </w:rPr>
            </w:pPr>
            <w:r>
              <w:rPr>
                <w:rFonts w:eastAsia="Calibri"/>
                <w:bCs/>
                <w:sz w:val="20"/>
                <w:szCs w:val="20"/>
                <w:lang w:eastAsia="en-US"/>
              </w:rPr>
              <w:t xml:space="preserve">9.1.</w:t>
            </w:r>
            <w:r>
              <w:rPr>
                <w:rFonts w:eastAsia="Calibri"/>
                <w:bCs/>
                <w:sz w:val="20"/>
                <w:szCs w:val="20"/>
                <w:lang w:eastAsia="en-US"/>
              </w:rPr>
            </w:r>
            <w:r>
              <w:rPr>
                <w:rFonts w:eastAsia="Calibri"/>
                <w:bCs/>
                <w:sz w:val="20"/>
                <w:szCs w:val="20"/>
                <w:lang w:eastAsia="en-US"/>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135"/>
              <w:jc w:val="both"/>
              <w:spacing w:before="120" w:after="120"/>
              <w:rPr>
                <w:rFonts w:eastAsia="Calibri"/>
                <w:bCs/>
                <w:sz w:val="20"/>
                <w:szCs w:val="20"/>
                <w:lang w:eastAsia="en-US"/>
              </w:rPr>
            </w:pPr>
            <w:r>
              <w:rPr>
                <w:rFonts w:eastAsia="Calibri"/>
                <w:bCs/>
                <w:sz w:val="20"/>
                <w:szCs w:val="20"/>
                <w:lang w:eastAsia="en-US"/>
              </w:rPr>
              <w:t xml:space="preserve">Предоставление в аренду индивидуальных сейфовых ячеек</w:t>
            </w:r>
            <w:r>
              <w:rPr>
                <w:rFonts w:eastAsia="Calibri"/>
                <w:bCs/>
                <w:sz w:val="20"/>
                <w:szCs w:val="20"/>
                <w:lang w:eastAsia="en-US"/>
              </w:rPr>
            </w:r>
            <w:r>
              <w:rPr>
                <w:rFonts w:eastAsia="Calibri"/>
                <w:bCs/>
                <w:sz w:val="20"/>
                <w:szCs w:val="20"/>
                <w:lang w:eastAsia="en-US"/>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135"/>
              <w:jc w:val="center"/>
              <w:rPr>
                <w:rFonts w:eastAsia="Calibri"/>
                <w:bCs/>
                <w:sz w:val="20"/>
                <w:szCs w:val="20"/>
                <w:lang w:eastAsia="en-US"/>
              </w:rPr>
            </w:pPr>
            <w:r>
              <w:rPr>
                <w:rFonts w:eastAsia="Calibri"/>
                <w:bCs/>
                <w:sz w:val="20"/>
                <w:szCs w:val="20"/>
                <w:lang w:eastAsia="en-US"/>
              </w:rPr>
            </w:r>
            <w:r>
              <w:rPr>
                <w:rFonts w:eastAsia="Calibri"/>
                <w:bCs/>
                <w:sz w:val="20"/>
                <w:szCs w:val="20"/>
                <w:lang w:eastAsia="en-US"/>
              </w:rPr>
            </w:r>
            <w:r>
              <w:rPr>
                <w:rFonts w:eastAsia="Calibri"/>
                <w:bCs/>
                <w:sz w:val="20"/>
                <w:szCs w:val="20"/>
                <w:lang w:eastAsia="en-US"/>
              </w:rPr>
            </w:r>
          </w:p>
        </w:tc>
        <w:tc>
          <w:tcPr>
            <w:tcBorders>
              <w:top w:val="single" w:color="000000" w:sz="4" w:space="0"/>
              <w:left w:val="single" w:color="000000" w:sz="4" w:space="0"/>
              <w:right w:val="single" w:color="000000" w:sz="4" w:space="0"/>
            </w:tcBorders>
            <w:tcW w:w="3367" w:type="dxa"/>
            <w:vAlign w:val="top"/>
            <w:vMerge w:val="restart"/>
            <w:textDirection w:val="lrTb"/>
            <w:noWrap w:val="false"/>
          </w:tcPr>
          <w:p>
            <w:pPr>
              <w:pStyle w:val="1135"/>
              <w:jc w:val="both"/>
              <w:spacing w:before="120"/>
              <w:rPr>
                <w:rFonts w:eastAsia="Calibri"/>
                <w:bCs/>
                <w:sz w:val="20"/>
                <w:szCs w:val="20"/>
                <w:lang w:eastAsia="en-US"/>
              </w:rPr>
            </w:pPr>
            <w:r>
              <w:rPr>
                <w:rFonts w:eastAsia="Calibri"/>
                <w:bCs/>
                <w:sz w:val="20"/>
                <w:szCs w:val="20"/>
                <w:lang w:eastAsia="en-US"/>
              </w:rPr>
              <w:t xml:space="preserve">Тариф включает НДС (дополнительно не взимается). </w:t>
            </w:r>
            <w:r>
              <w:rPr>
                <w:rFonts w:eastAsia="Calibri"/>
                <w:bCs/>
                <w:sz w:val="20"/>
                <w:szCs w:val="20"/>
                <w:lang w:eastAsia="en-US"/>
              </w:rPr>
            </w:r>
            <w:r>
              <w:rPr>
                <w:rFonts w:eastAsia="Calibri"/>
                <w:bCs/>
                <w:sz w:val="20"/>
                <w:szCs w:val="20"/>
                <w:lang w:eastAsia="en-US"/>
              </w:rPr>
            </w:r>
          </w:p>
          <w:p>
            <w:pPr>
              <w:pStyle w:val="1135"/>
              <w:jc w:val="both"/>
              <w:rPr>
                <w:rFonts w:eastAsia="Calibri"/>
                <w:bCs/>
                <w:sz w:val="20"/>
                <w:szCs w:val="20"/>
                <w:lang w:eastAsia="en-US"/>
              </w:rPr>
            </w:pPr>
            <w:r>
              <w:rPr>
                <w:rFonts w:eastAsia="Calibri"/>
                <w:bCs/>
                <w:sz w:val="20"/>
                <w:szCs w:val="20"/>
                <w:lang w:eastAsia="en-US"/>
              </w:rPr>
              <w:t xml:space="preserve">Арендная плата уплачивается авансом за весь срок аренды в течение 3-х рабочих дней с даты заключения соответствующего договора аренды</w:t>
            </w:r>
            <w:r>
              <w:rPr>
                <w:rFonts w:eastAsia="Calibri"/>
                <w:bCs/>
                <w:sz w:val="20"/>
                <w:szCs w:val="20"/>
                <w:lang w:eastAsia="en-US"/>
              </w:rPr>
            </w:r>
            <w:r>
              <w:rPr>
                <w:rFonts w:eastAsia="Calibri"/>
                <w:bCs/>
                <w:sz w:val="20"/>
                <w:szCs w:val="20"/>
                <w:lang w:eastAsia="en-US"/>
              </w:rPr>
            </w:r>
          </w:p>
          <w:p>
            <w:pPr>
              <w:pStyle w:val="1135"/>
              <w:jc w:val="both"/>
              <w:rPr>
                <w:rFonts w:eastAsia="Calibri"/>
                <w:bCs/>
                <w:sz w:val="20"/>
                <w:szCs w:val="20"/>
                <w:lang w:eastAsia="en-US"/>
              </w:rPr>
            </w:pPr>
            <w:r>
              <w:rPr>
                <w:rFonts w:eastAsia="Calibri"/>
                <w:bCs/>
                <w:sz w:val="20"/>
                <w:szCs w:val="20"/>
                <w:lang w:eastAsia="en-US"/>
              </w:rPr>
            </w:r>
            <w:r>
              <w:rPr>
                <w:rFonts w:eastAsia="Calibri"/>
                <w:bCs/>
                <w:sz w:val="20"/>
                <w:szCs w:val="20"/>
                <w:lang w:eastAsia="en-US"/>
              </w:rPr>
            </w:r>
            <w:r>
              <w:rPr>
                <w:rFonts w:eastAsia="Calibri"/>
                <w:b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35"/>
              <w:jc w:val="center"/>
              <w:rPr>
                <w:rFonts w:eastAsia="Calibri"/>
                <w:bCs/>
                <w:sz w:val="20"/>
                <w:szCs w:val="20"/>
                <w:lang w:eastAsia="en-US"/>
              </w:rPr>
            </w:pPr>
            <w:r>
              <w:rPr>
                <w:rFonts w:eastAsia="Calibri"/>
                <w:bCs/>
                <w:sz w:val="20"/>
                <w:szCs w:val="20"/>
                <w:lang w:eastAsia="en-US"/>
              </w:rPr>
              <w:t xml:space="preserve">9.1.1.</w:t>
            </w:r>
            <w:r>
              <w:rPr>
                <w:rFonts w:eastAsia="Calibri"/>
                <w:bCs/>
                <w:sz w:val="20"/>
                <w:szCs w:val="20"/>
                <w:lang w:eastAsia="en-US"/>
              </w:rPr>
            </w:r>
            <w:r>
              <w:rPr>
                <w:rFonts w:eastAsia="Calibri"/>
                <w:bCs/>
                <w:sz w:val="20"/>
                <w:szCs w:val="20"/>
                <w:lang w:eastAsia="en-US"/>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135"/>
              <w:jc w:val="both"/>
              <w:rPr>
                <w:rFonts w:eastAsia="Calibri"/>
                <w:bCs/>
                <w:sz w:val="20"/>
                <w:szCs w:val="20"/>
                <w:lang w:eastAsia="en-US"/>
              </w:rPr>
            </w:pPr>
            <w:r>
              <w:rPr>
                <w:rFonts w:eastAsia="Calibri"/>
                <w:bCs/>
                <w:sz w:val="20"/>
                <w:szCs w:val="20"/>
                <w:lang w:eastAsia="en-US"/>
              </w:rPr>
              <w:t xml:space="preserve">Размер сейфовой ячейки </w:t>
              <w:br w:type="textWrapping" w:clear="all"/>
              <w:t xml:space="preserve">от 50 до 74 (по высоте, мм)</w:t>
            </w:r>
            <w:r>
              <w:rPr>
                <w:rFonts w:eastAsia="Calibri"/>
                <w:bCs/>
                <w:sz w:val="20"/>
                <w:szCs w:val="20"/>
                <w:lang w:eastAsia="en-US"/>
              </w:rPr>
            </w:r>
            <w:r>
              <w:rPr>
                <w:rFonts w:eastAsia="Calibri"/>
                <w:bCs/>
                <w:sz w:val="20"/>
                <w:szCs w:val="20"/>
                <w:lang w:eastAsia="en-US"/>
              </w:rPr>
            </w:r>
          </w:p>
          <w:p>
            <w:pPr>
              <w:pStyle w:val="1135"/>
              <w:jc w:val="both"/>
              <w:rPr>
                <w:rFonts w:eastAsia="Calibri"/>
                <w:sz w:val="20"/>
                <w:szCs w:val="20"/>
                <w:lang w:eastAsia="en-US"/>
              </w:rPr>
            </w:pPr>
            <w:r>
              <w:rPr>
                <w:rFonts w:eastAsia="Calibri"/>
                <w:sz w:val="20"/>
                <w:szCs w:val="20"/>
                <w:lang w:eastAsia="en-US"/>
              </w:rPr>
              <w:t xml:space="preserve">- на срок от 1 до 7 дней</w:t>
            </w:r>
            <w:r>
              <w:rPr>
                <w:rFonts w:eastAsia="Calibri"/>
                <w:sz w:val="20"/>
                <w:szCs w:val="20"/>
                <w:lang w:eastAsia="en-US"/>
              </w:rPr>
            </w:r>
            <w:r>
              <w:rPr>
                <w:rFonts w:eastAsia="Calibri"/>
                <w:sz w:val="20"/>
                <w:szCs w:val="20"/>
                <w:lang w:eastAsia="en-US"/>
              </w:rPr>
            </w:r>
          </w:p>
          <w:p>
            <w:pPr>
              <w:pStyle w:val="1135"/>
              <w:jc w:val="both"/>
              <w:rPr>
                <w:rFonts w:eastAsia="Calibri"/>
                <w:sz w:val="20"/>
                <w:szCs w:val="20"/>
                <w:lang w:eastAsia="en-US"/>
              </w:rPr>
            </w:pPr>
            <w:r>
              <w:rPr>
                <w:rFonts w:eastAsia="Calibri"/>
                <w:sz w:val="20"/>
                <w:szCs w:val="20"/>
                <w:lang w:eastAsia="en-US"/>
              </w:rPr>
              <w:t xml:space="preserve">- на срок от 8 до 14 дней</w:t>
            </w:r>
            <w:r>
              <w:rPr>
                <w:rFonts w:eastAsia="Calibri"/>
                <w:sz w:val="20"/>
                <w:szCs w:val="20"/>
                <w:lang w:eastAsia="en-US"/>
              </w:rPr>
            </w:r>
            <w:r>
              <w:rPr>
                <w:rFonts w:eastAsia="Calibri"/>
                <w:sz w:val="20"/>
                <w:szCs w:val="20"/>
                <w:lang w:eastAsia="en-US"/>
              </w:rPr>
            </w:r>
          </w:p>
          <w:p>
            <w:pPr>
              <w:pStyle w:val="1135"/>
              <w:jc w:val="both"/>
              <w:rPr>
                <w:rFonts w:eastAsia="Calibri"/>
                <w:sz w:val="20"/>
                <w:szCs w:val="20"/>
                <w:lang w:eastAsia="en-US"/>
              </w:rPr>
            </w:pPr>
            <w:r>
              <w:rPr>
                <w:rFonts w:eastAsia="Calibri"/>
                <w:sz w:val="20"/>
                <w:szCs w:val="20"/>
                <w:lang w:eastAsia="en-US"/>
              </w:rPr>
              <w:t xml:space="preserve">- на срок от 15 до 30 дней</w:t>
            </w:r>
            <w:r>
              <w:rPr>
                <w:rFonts w:eastAsia="Calibri"/>
                <w:sz w:val="20"/>
                <w:szCs w:val="20"/>
                <w:lang w:eastAsia="en-US"/>
              </w:rPr>
            </w:r>
            <w:r>
              <w:rPr>
                <w:rFonts w:eastAsia="Calibri"/>
                <w:sz w:val="20"/>
                <w:szCs w:val="20"/>
                <w:lang w:eastAsia="en-US"/>
              </w:rPr>
            </w:r>
          </w:p>
          <w:p>
            <w:pPr>
              <w:pStyle w:val="1135"/>
              <w:jc w:val="both"/>
              <w:rPr>
                <w:rFonts w:eastAsia="Calibri"/>
                <w:sz w:val="20"/>
                <w:szCs w:val="20"/>
                <w:lang w:eastAsia="en-US"/>
              </w:rPr>
            </w:pPr>
            <w:r>
              <w:rPr>
                <w:rFonts w:eastAsia="Calibri"/>
                <w:sz w:val="20"/>
                <w:szCs w:val="20"/>
                <w:lang w:eastAsia="en-US"/>
              </w:rPr>
              <w:t xml:space="preserve">- на срок от 31 до 90 дней</w:t>
            </w:r>
            <w:r>
              <w:rPr>
                <w:rFonts w:eastAsia="Calibri"/>
                <w:sz w:val="20"/>
                <w:szCs w:val="20"/>
                <w:lang w:eastAsia="en-US"/>
              </w:rPr>
            </w:r>
            <w:r>
              <w:rPr>
                <w:rFonts w:eastAsia="Calibri"/>
                <w:sz w:val="20"/>
                <w:szCs w:val="20"/>
                <w:lang w:eastAsia="en-US"/>
              </w:rPr>
            </w:r>
          </w:p>
          <w:p>
            <w:pPr>
              <w:pStyle w:val="1135"/>
              <w:jc w:val="both"/>
              <w:rPr>
                <w:rFonts w:eastAsia="Calibri"/>
                <w:sz w:val="20"/>
                <w:szCs w:val="20"/>
                <w:lang w:eastAsia="en-US"/>
              </w:rPr>
            </w:pPr>
            <w:r>
              <w:rPr>
                <w:rFonts w:eastAsia="Calibri"/>
                <w:sz w:val="20"/>
                <w:szCs w:val="20"/>
                <w:lang w:eastAsia="en-US"/>
              </w:rPr>
              <w:t xml:space="preserve">- на срок от 91 до 180 дней</w:t>
            </w:r>
            <w:r>
              <w:rPr>
                <w:rFonts w:eastAsia="Calibri"/>
                <w:sz w:val="20"/>
                <w:szCs w:val="20"/>
                <w:lang w:eastAsia="en-US"/>
              </w:rPr>
            </w:r>
            <w:r>
              <w:rPr>
                <w:rFonts w:eastAsia="Calibri"/>
                <w:sz w:val="20"/>
                <w:szCs w:val="20"/>
                <w:lang w:eastAsia="en-US"/>
              </w:rPr>
            </w:r>
          </w:p>
          <w:p>
            <w:pPr>
              <w:pStyle w:val="1135"/>
              <w:jc w:val="both"/>
              <w:spacing w:after="120"/>
              <w:rPr>
                <w:rFonts w:eastAsia="Calibri"/>
                <w:bCs/>
                <w:sz w:val="20"/>
                <w:szCs w:val="20"/>
                <w:lang w:eastAsia="en-US"/>
              </w:rPr>
            </w:pPr>
            <w:r>
              <w:rPr>
                <w:rFonts w:eastAsia="Calibri"/>
                <w:sz w:val="20"/>
                <w:szCs w:val="20"/>
                <w:lang w:eastAsia="en-US"/>
              </w:rPr>
              <w:t xml:space="preserve">- на срок от 181 до 365 дней</w:t>
            </w:r>
            <w:r>
              <w:rPr>
                <w:rFonts w:eastAsia="Calibri"/>
                <w:bCs/>
                <w:sz w:val="20"/>
                <w:szCs w:val="20"/>
                <w:lang w:eastAsia="en-US"/>
              </w:rPr>
            </w:r>
            <w:r>
              <w:rPr>
                <w:rFonts w:eastAsia="Calibri"/>
                <w:bCs/>
                <w:sz w:val="20"/>
                <w:szCs w:val="20"/>
                <w:lang w:eastAsia="en-US"/>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135"/>
              <w:jc w:val="center"/>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35"/>
              <w:jc w:val="center"/>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35"/>
              <w:jc w:val="center"/>
              <w:rPr>
                <w:rFonts w:eastAsia="Calibri"/>
                <w:sz w:val="20"/>
                <w:szCs w:val="20"/>
                <w:lang w:eastAsia="en-US"/>
              </w:rPr>
            </w:pPr>
            <w:r>
              <w:rPr>
                <w:rFonts w:eastAsia="Calibri"/>
                <w:sz w:val="20"/>
                <w:szCs w:val="20"/>
                <w:lang w:eastAsia="en-US"/>
              </w:rPr>
              <w:t xml:space="preserve">330 руб.</w:t>
            </w:r>
            <w:r>
              <w:rPr>
                <w:rFonts w:eastAsia="Calibri"/>
                <w:sz w:val="20"/>
                <w:szCs w:val="20"/>
                <w:lang w:eastAsia="en-US"/>
              </w:rPr>
            </w:r>
            <w:r>
              <w:rPr>
                <w:rFonts w:eastAsia="Calibri"/>
                <w:sz w:val="20"/>
                <w:szCs w:val="20"/>
                <w:lang w:eastAsia="en-US"/>
              </w:rPr>
            </w:r>
          </w:p>
          <w:p>
            <w:pPr>
              <w:pStyle w:val="1135"/>
              <w:jc w:val="center"/>
              <w:rPr>
                <w:rFonts w:eastAsia="Calibri"/>
                <w:sz w:val="20"/>
                <w:szCs w:val="20"/>
                <w:lang w:eastAsia="en-US"/>
              </w:rPr>
            </w:pPr>
            <w:r>
              <w:rPr>
                <w:rFonts w:eastAsia="Calibri"/>
                <w:sz w:val="20"/>
                <w:szCs w:val="20"/>
                <w:lang w:eastAsia="en-US"/>
              </w:rPr>
              <w:t xml:space="preserve">530 руб.</w:t>
            </w:r>
            <w:r>
              <w:rPr>
                <w:rFonts w:eastAsia="Calibri"/>
                <w:sz w:val="20"/>
                <w:szCs w:val="20"/>
                <w:lang w:eastAsia="en-US"/>
              </w:rPr>
            </w:r>
            <w:r>
              <w:rPr>
                <w:rFonts w:eastAsia="Calibri"/>
                <w:sz w:val="20"/>
                <w:szCs w:val="20"/>
                <w:lang w:eastAsia="en-US"/>
              </w:rPr>
            </w:r>
          </w:p>
          <w:p>
            <w:pPr>
              <w:pStyle w:val="1135"/>
              <w:jc w:val="center"/>
              <w:rPr>
                <w:rFonts w:eastAsia="Calibri"/>
                <w:sz w:val="20"/>
                <w:szCs w:val="20"/>
                <w:lang w:eastAsia="en-US"/>
              </w:rPr>
            </w:pPr>
            <w:r>
              <w:rPr>
                <w:rFonts w:eastAsia="Calibri"/>
                <w:sz w:val="20"/>
                <w:szCs w:val="20"/>
                <w:lang w:eastAsia="en-US"/>
              </w:rPr>
              <w:t xml:space="preserve">880 руб.</w:t>
            </w:r>
            <w:r>
              <w:rPr>
                <w:rFonts w:eastAsia="Calibri"/>
                <w:sz w:val="20"/>
                <w:szCs w:val="20"/>
                <w:lang w:eastAsia="en-US"/>
              </w:rPr>
            </w:r>
            <w:r>
              <w:rPr>
                <w:rFonts w:eastAsia="Calibri"/>
                <w:sz w:val="20"/>
                <w:szCs w:val="20"/>
                <w:lang w:eastAsia="en-US"/>
              </w:rPr>
            </w:r>
          </w:p>
          <w:p>
            <w:pPr>
              <w:pStyle w:val="1135"/>
              <w:jc w:val="center"/>
              <w:rPr>
                <w:rFonts w:eastAsia="Calibri"/>
                <w:sz w:val="20"/>
                <w:szCs w:val="20"/>
                <w:lang w:eastAsia="en-US"/>
              </w:rPr>
            </w:pPr>
            <w:r>
              <w:rPr>
                <w:rFonts w:eastAsia="Calibri"/>
                <w:sz w:val="20"/>
                <w:szCs w:val="20"/>
                <w:lang w:eastAsia="en-US"/>
              </w:rPr>
              <w:t xml:space="preserve">32 руб. в день</w:t>
            </w:r>
            <w:r>
              <w:rPr>
                <w:rFonts w:eastAsia="Calibri"/>
                <w:sz w:val="20"/>
                <w:szCs w:val="20"/>
                <w:lang w:eastAsia="en-US"/>
              </w:rPr>
            </w:r>
            <w:r>
              <w:rPr>
                <w:rFonts w:eastAsia="Calibri"/>
                <w:sz w:val="20"/>
                <w:szCs w:val="20"/>
                <w:lang w:eastAsia="en-US"/>
              </w:rPr>
            </w:r>
          </w:p>
          <w:p>
            <w:pPr>
              <w:pStyle w:val="1135"/>
              <w:jc w:val="center"/>
              <w:rPr>
                <w:rFonts w:eastAsia="Calibri"/>
                <w:sz w:val="20"/>
                <w:szCs w:val="20"/>
                <w:lang w:eastAsia="en-US"/>
              </w:rPr>
            </w:pPr>
            <w:r>
              <w:rPr>
                <w:rFonts w:eastAsia="Calibri"/>
                <w:sz w:val="20"/>
                <w:szCs w:val="20"/>
                <w:lang w:eastAsia="en-US"/>
              </w:rPr>
              <w:t xml:space="preserve">28 руб. в день</w:t>
            </w:r>
            <w:r>
              <w:rPr>
                <w:rFonts w:eastAsia="Calibri"/>
                <w:sz w:val="20"/>
                <w:szCs w:val="20"/>
                <w:lang w:eastAsia="en-US"/>
              </w:rPr>
            </w:r>
            <w:r>
              <w:rPr>
                <w:rFonts w:eastAsia="Calibri"/>
                <w:sz w:val="20"/>
                <w:szCs w:val="20"/>
                <w:lang w:eastAsia="en-US"/>
              </w:rPr>
            </w:r>
          </w:p>
          <w:p>
            <w:pPr>
              <w:pStyle w:val="1135"/>
              <w:jc w:val="center"/>
              <w:rPr>
                <w:rFonts w:eastAsia="Calibri"/>
                <w:sz w:val="20"/>
                <w:szCs w:val="20"/>
                <w:lang w:eastAsia="en-US"/>
              </w:rPr>
            </w:pPr>
            <w:r>
              <w:rPr>
                <w:rFonts w:eastAsia="Calibri"/>
                <w:sz w:val="20"/>
                <w:szCs w:val="20"/>
                <w:lang w:eastAsia="en-US"/>
              </w:rPr>
              <w:t xml:space="preserve">22 руб. в день</w:t>
            </w:r>
            <w:r>
              <w:rPr>
                <w:rFonts w:eastAsia="Calibri"/>
                <w:sz w:val="20"/>
                <w:szCs w:val="20"/>
                <w:lang w:eastAsia="en-US"/>
              </w:rPr>
            </w:r>
            <w:r>
              <w:rPr>
                <w:rFonts w:eastAsia="Calibri"/>
                <w:sz w:val="20"/>
                <w:szCs w:val="20"/>
                <w:lang w:eastAsia="en-US"/>
              </w:rPr>
            </w:r>
          </w:p>
        </w:tc>
        <w:tc>
          <w:tcPr>
            <w:tcBorders>
              <w:left w:val="single" w:color="000000" w:sz="4" w:space="0"/>
              <w:right w:val="single" w:color="000000" w:sz="4" w:space="0"/>
            </w:tcBorders>
            <w:tcW w:w="3367" w:type="dxa"/>
            <w:vAlign w:val="top"/>
            <w:vMerge w:val="continue"/>
            <w:textDirection w:val="lrTb"/>
            <w:noWrap w:val="false"/>
          </w:tcPr>
          <w:p>
            <w:pPr>
              <w:pStyle w:val="1135"/>
              <w:jc w:val="both"/>
              <w:rPr>
                <w:rFonts w:eastAsia="Calibri"/>
                <w:bCs/>
                <w:sz w:val="20"/>
                <w:szCs w:val="20"/>
                <w:lang w:eastAsia="en-US"/>
              </w:rPr>
            </w:pPr>
            <w:r>
              <w:rPr>
                <w:rFonts w:eastAsia="Calibri"/>
                <w:bCs/>
                <w:sz w:val="20"/>
                <w:szCs w:val="20"/>
                <w:lang w:eastAsia="en-US"/>
              </w:rPr>
            </w:r>
            <w:r>
              <w:rPr>
                <w:rFonts w:eastAsia="Calibri"/>
                <w:bCs/>
                <w:sz w:val="20"/>
                <w:szCs w:val="20"/>
                <w:lang w:eastAsia="en-US"/>
              </w:rPr>
            </w:r>
            <w:r>
              <w:rPr>
                <w:rFonts w:eastAsia="Calibri"/>
                <w:b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35"/>
              <w:jc w:val="center"/>
              <w:rPr>
                <w:rFonts w:eastAsia="Calibri"/>
                <w:bCs/>
                <w:sz w:val="20"/>
                <w:szCs w:val="20"/>
                <w:lang w:eastAsia="en-US"/>
              </w:rPr>
            </w:pPr>
            <w:r>
              <w:rPr>
                <w:rFonts w:eastAsia="Calibri"/>
                <w:bCs/>
                <w:sz w:val="20"/>
                <w:szCs w:val="20"/>
                <w:lang w:eastAsia="en-US"/>
              </w:rPr>
              <w:t xml:space="preserve">9.1.2.</w:t>
            </w:r>
            <w:r>
              <w:rPr>
                <w:rFonts w:eastAsia="Calibri"/>
                <w:bCs/>
                <w:sz w:val="20"/>
                <w:szCs w:val="20"/>
                <w:lang w:eastAsia="en-US"/>
              </w:rPr>
            </w:r>
            <w:r>
              <w:rPr>
                <w:rFonts w:eastAsia="Calibri"/>
                <w:bCs/>
                <w:sz w:val="20"/>
                <w:szCs w:val="20"/>
                <w:lang w:eastAsia="en-US"/>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135"/>
              <w:jc w:val="both"/>
              <w:rPr>
                <w:rFonts w:eastAsia="Calibri"/>
                <w:bCs/>
                <w:sz w:val="20"/>
                <w:szCs w:val="20"/>
                <w:lang w:eastAsia="en-US"/>
              </w:rPr>
            </w:pPr>
            <w:r>
              <w:rPr>
                <w:rFonts w:eastAsia="Calibri"/>
                <w:bCs/>
                <w:sz w:val="20"/>
                <w:szCs w:val="20"/>
                <w:lang w:eastAsia="en-US"/>
              </w:rPr>
              <w:t xml:space="preserve">Размер сейфовой ячейки </w:t>
              <w:br w:type="textWrapping" w:clear="all"/>
              <w:t xml:space="preserve">от 75 до 124 (по высоте, мм)</w:t>
            </w:r>
            <w:r>
              <w:rPr>
                <w:rFonts w:eastAsia="Calibri"/>
                <w:bCs/>
                <w:sz w:val="20"/>
                <w:szCs w:val="20"/>
                <w:lang w:eastAsia="en-US"/>
              </w:rPr>
            </w:r>
            <w:r>
              <w:rPr>
                <w:rFonts w:eastAsia="Calibri"/>
                <w:bCs/>
                <w:sz w:val="20"/>
                <w:szCs w:val="20"/>
                <w:lang w:eastAsia="en-US"/>
              </w:rPr>
            </w:r>
          </w:p>
          <w:p>
            <w:pPr>
              <w:pStyle w:val="1135"/>
              <w:jc w:val="both"/>
              <w:rPr>
                <w:rFonts w:eastAsia="Calibri"/>
                <w:sz w:val="20"/>
                <w:szCs w:val="20"/>
                <w:lang w:eastAsia="en-US"/>
              </w:rPr>
            </w:pPr>
            <w:r>
              <w:rPr>
                <w:rFonts w:eastAsia="Calibri"/>
                <w:sz w:val="20"/>
                <w:szCs w:val="20"/>
                <w:lang w:eastAsia="en-US"/>
              </w:rPr>
              <w:t xml:space="preserve">- на срок от 1 до 7 дней</w:t>
            </w:r>
            <w:r>
              <w:rPr>
                <w:rFonts w:eastAsia="Calibri"/>
                <w:sz w:val="20"/>
                <w:szCs w:val="20"/>
                <w:lang w:eastAsia="en-US"/>
              </w:rPr>
            </w:r>
            <w:r>
              <w:rPr>
                <w:rFonts w:eastAsia="Calibri"/>
                <w:sz w:val="20"/>
                <w:szCs w:val="20"/>
                <w:lang w:eastAsia="en-US"/>
              </w:rPr>
            </w:r>
          </w:p>
          <w:p>
            <w:pPr>
              <w:pStyle w:val="1135"/>
              <w:jc w:val="both"/>
              <w:rPr>
                <w:rFonts w:eastAsia="Calibri"/>
                <w:sz w:val="20"/>
                <w:szCs w:val="20"/>
                <w:lang w:eastAsia="en-US"/>
              </w:rPr>
            </w:pPr>
            <w:r>
              <w:rPr>
                <w:rFonts w:eastAsia="Calibri"/>
                <w:sz w:val="20"/>
                <w:szCs w:val="20"/>
                <w:lang w:eastAsia="en-US"/>
              </w:rPr>
              <w:t xml:space="preserve">- на срок от 8 до 14 дней</w:t>
            </w:r>
            <w:r>
              <w:rPr>
                <w:rFonts w:eastAsia="Calibri"/>
                <w:sz w:val="20"/>
                <w:szCs w:val="20"/>
                <w:lang w:eastAsia="en-US"/>
              </w:rPr>
            </w:r>
            <w:r>
              <w:rPr>
                <w:rFonts w:eastAsia="Calibri"/>
                <w:sz w:val="20"/>
                <w:szCs w:val="20"/>
                <w:lang w:eastAsia="en-US"/>
              </w:rPr>
            </w:r>
          </w:p>
          <w:p>
            <w:pPr>
              <w:pStyle w:val="1135"/>
              <w:jc w:val="both"/>
              <w:rPr>
                <w:rFonts w:eastAsia="Calibri"/>
                <w:sz w:val="20"/>
                <w:szCs w:val="20"/>
                <w:lang w:eastAsia="en-US"/>
              </w:rPr>
            </w:pPr>
            <w:r>
              <w:rPr>
                <w:rFonts w:eastAsia="Calibri"/>
                <w:sz w:val="20"/>
                <w:szCs w:val="20"/>
                <w:lang w:eastAsia="en-US"/>
              </w:rPr>
              <w:t xml:space="preserve">- на срок от 15 до 30 дней</w:t>
            </w:r>
            <w:r>
              <w:rPr>
                <w:rFonts w:eastAsia="Calibri"/>
                <w:sz w:val="20"/>
                <w:szCs w:val="20"/>
                <w:lang w:eastAsia="en-US"/>
              </w:rPr>
            </w:r>
            <w:r>
              <w:rPr>
                <w:rFonts w:eastAsia="Calibri"/>
                <w:sz w:val="20"/>
                <w:szCs w:val="20"/>
                <w:lang w:eastAsia="en-US"/>
              </w:rPr>
            </w:r>
          </w:p>
          <w:p>
            <w:pPr>
              <w:pStyle w:val="1135"/>
              <w:jc w:val="both"/>
              <w:rPr>
                <w:rFonts w:eastAsia="Calibri"/>
                <w:sz w:val="20"/>
                <w:szCs w:val="20"/>
                <w:lang w:eastAsia="en-US"/>
              </w:rPr>
            </w:pPr>
            <w:r>
              <w:rPr>
                <w:rFonts w:eastAsia="Calibri"/>
                <w:sz w:val="20"/>
                <w:szCs w:val="20"/>
                <w:lang w:eastAsia="en-US"/>
              </w:rPr>
              <w:t xml:space="preserve">- на срок от 31 до 90 дней</w:t>
            </w:r>
            <w:r>
              <w:rPr>
                <w:rFonts w:eastAsia="Calibri"/>
                <w:sz w:val="20"/>
                <w:szCs w:val="20"/>
                <w:lang w:eastAsia="en-US"/>
              </w:rPr>
            </w:r>
            <w:r>
              <w:rPr>
                <w:rFonts w:eastAsia="Calibri"/>
                <w:sz w:val="20"/>
                <w:szCs w:val="20"/>
                <w:lang w:eastAsia="en-US"/>
              </w:rPr>
            </w:r>
          </w:p>
          <w:p>
            <w:pPr>
              <w:pStyle w:val="1135"/>
              <w:jc w:val="both"/>
              <w:rPr>
                <w:rFonts w:eastAsia="Calibri"/>
                <w:sz w:val="20"/>
                <w:szCs w:val="20"/>
                <w:lang w:eastAsia="en-US"/>
              </w:rPr>
            </w:pPr>
            <w:r>
              <w:rPr>
                <w:rFonts w:eastAsia="Calibri"/>
                <w:sz w:val="20"/>
                <w:szCs w:val="20"/>
                <w:lang w:eastAsia="en-US"/>
              </w:rPr>
              <w:t xml:space="preserve">- на срок от 91 до 180 дней</w:t>
            </w:r>
            <w:r>
              <w:rPr>
                <w:rFonts w:eastAsia="Calibri"/>
                <w:sz w:val="20"/>
                <w:szCs w:val="20"/>
                <w:lang w:eastAsia="en-US"/>
              </w:rPr>
            </w:r>
            <w:r>
              <w:rPr>
                <w:rFonts w:eastAsia="Calibri"/>
                <w:sz w:val="20"/>
                <w:szCs w:val="20"/>
                <w:lang w:eastAsia="en-US"/>
              </w:rPr>
            </w:r>
          </w:p>
          <w:p>
            <w:pPr>
              <w:pStyle w:val="1135"/>
              <w:jc w:val="both"/>
              <w:spacing w:after="120"/>
              <w:rPr>
                <w:rFonts w:eastAsia="Calibri"/>
                <w:bCs/>
                <w:sz w:val="20"/>
                <w:szCs w:val="20"/>
                <w:lang w:eastAsia="en-US"/>
              </w:rPr>
            </w:pPr>
            <w:r>
              <w:rPr>
                <w:rFonts w:eastAsia="Calibri"/>
                <w:sz w:val="20"/>
                <w:szCs w:val="20"/>
                <w:lang w:eastAsia="en-US"/>
              </w:rPr>
              <w:t xml:space="preserve">- на срок от 181 до 365 дней</w:t>
            </w:r>
            <w:r>
              <w:rPr>
                <w:rFonts w:eastAsia="Calibri"/>
                <w:bCs/>
                <w:sz w:val="20"/>
                <w:szCs w:val="20"/>
                <w:lang w:eastAsia="en-US"/>
              </w:rPr>
            </w:r>
            <w:r>
              <w:rPr>
                <w:rFonts w:eastAsia="Calibri"/>
                <w:bCs/>
                <w:sz w:val="20"/>
                <w:szCs w:val="20"/>
                <w:lang w:eastAsia="en-US"/>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135"/>
              <w:jc w:val="center"/>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35"/>
              <w:jc w:val="center"/>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35"/>
              <w:jc w:val="center"/>
              <w:rPr>
                <w:rFonts w:eastAsia="Calibri"/>
                <w:sz w:val="20"/>
                <w:szCs w:val="20"/>
                <w:lang w:eastAsia="en-US"/>
              </w:rPr>
            </w:pPr>
            <w:r>
              <w:rPr>
                <w:rFonts w:eastAsia="Calibri"/>
                <w:sz w:val="20"/>
                <w:szCs w:val="20"/>
                <w:lang w:eastAsia="en-US"/>
              </w:rPr>
              <w:t xml:space="preserve">350 руб.</w:t>
            </w:r>
            <w:r>
              <w:rPr>
                <w:rFonts w:eastAsia="Calibri"/>
                <w:sz w:val="20"/>
                <w:szCs w:val="20"/>
                <w:lang w:eastAsia="en-US"/>
              </w:rPr>
            </w:r>
            <w:r>
              <w:rPr>
                <w:rFonts w:eastAsia="Calibri"/>
                <w:sz w:val="20"/>
                <w:szCs w:val="20"/>
                <w:lang w:eastAsia="en-US"/>
              </w:rPr>
            </w:r>
          </w:p>
          <w:p>
            <w:pPr>
              <w:pStyle w:val="1135"/>
              <w:jc w:val="center"/>
              <w:rPr>
                <w:rFonts w:eastAsia="Calibri"/>
                <w:sz w:val="20"/>
                <w:szCs w:val="20"/>
                <w:lang w:eastAsia="en-US"/>
              </w:rPr>
            </w:pPr>
            <w:r>
              <w:rPr>
                <w:rFonts w:eastAsia="Calibri"/>
                <w:sz w:val="20"/>
                <w:szCs w:val="20"/>
                <w:lang w:eastAsia="en-US"/>
              </w:rPr>
              <w:t xml:space="preserve">600 руб.</w:t>
            </w:r>
            <w:r>
              <w:rPr>
                <w:rFonts w:eastAsia="Calibri"/>
                <w:sz w:val="20"/>
                <w:szCs w:val="20"/>
                <w:lang w:eastAsia="en-US"/>
              </w:rPr>
            </w:r>
            <w:r>
              <w:rPr>
                <w:rFonts w:eastAsia="Calibri"/>
                <w:sz w:val="20"/>
                <w:szCs w:val="20"/>
                <w:lang w:eastAsia="en-US"/>
              </w:rPr>
            </w:r>
          </w:p>
          <w:p>
            <w:pPr>
              <w:pStyle w:val="1135"/>
              <w:jc w:val="center"/>
              <w:rPr>
                <w:rFonts w:eastAsia="Calibri"/>
                <w:sz w:val="20"/>
                <w:szCs w:val="20"/>
                <w:lang w:eastAsia="en-US"/>
              </w:rPr>
            </w:pPr>
            <w:r>
              <w:rPr>
                <w:rFonts w:eastAsia="Calibri"/>
                <w:sz w:val="20"/>
                <w:szCs w:val="20"/>
                <w:lang w:eastAsia="en-US"/>
              </w:rPr>
              <w:t xml:space="preserve">950 руб.</w:t>
            </w:r>
            <w:r>
              <w:rPr>
                <w:rFonts w:eastAsia="Calibri"/>
                <w:sz w:val="20"/>
                <w:szCs w:val="20"/>
                <w:lang w:eastAsia="en-US"/>
              </w:rPr>
            </w:r>
            <w:r>
              <w:rPr>
                <w:rFonts w:eastAsia="Calibri"/>
                <w:sz w:val="20"/>
                <w:szCs w:val="20"/>
                <w:lang w:eastAsia="en-US"/>
              </w:rPr>
            </w:r>
          </w:p>
          <w:p>
            <w:pPr>
              <w:pStyle w:val="1135"/>
              <w:jc w:val="center"/>
              <w:rPr>
                <w:rFonts w:eastAsia="Calibri"/>
                <w:sz w:val="20"/>
                <w:szCs w:val="20"/>
                <w:lang w:eastAsia="en-US"/>
              </w:rPr>
            </w:pPr>
            <w:r>
              <w:rPr>
                <w:rFonts w:eastAsia="Calibri"/>
                <w:sz w:val="20"/>
                <w:szCs w:val="20"/>
                <w:lang w:eastAsia="en-US"/>
              </w:rPr>
              <w:t xml:space="preserve">36 руб. в день</w:t>
            </w:r>
            <w:r>
              <w:rPr>
                <w:rFonts w:eastAsia="Calibri"/>
                <w:sz w:val="20"/>
                <w:szCs w:val="20"/>
                <w:lang w:eastAsia="en-US"/>
              </w:rPr>
            </w:r>
            <w:r>
              <w:rPr>
                <w:rFonts w:eastAsia="Calibri"/>
                <w:sz w:val="20"/>
                <w:szCs w:val="20"/>
                <w:lang w:eastAsia="en-US"/>
              </w:rPr>
            </w:r>
          </w:p>
          <w:p>
            <w:pPr>
              <w:pStyle w:val="1135"/>
              <w:jc w:val="center"/>
              <w:rPr>
                <w:rFonts w:eastAsia="Calibri"/>
                <w:sz w:val="20"/>
                <w:szCs w:val="20"/>
                <w:lang w:eastAsia="en-US"/>
              </w:rPr>
            </w:pPr>
            <w:r>
              <w:rPr>
                <w:rFonts w:eastAsia="Calibri"/>
                <w:sz w:val="20"/>
                <w:szCs w:val="20"/>
                <w:lang w:eastAsia="en-US"/>
              </w:rPr>
              <w:t xml:space="preserve">32 руб. в день</w:t>
            </w:r>
            <w:r>
              <w:rPr>
                <w:rFonts w:eastAsia="Calibri"/>
                <w:sz w:val="20"/>
                <w:szCs w:val="20"/>
                <w:lang w:eastAsia="en-US"/>
              </w:rPr>
            </w:r>
            <w:r>
              <w:rPr>
                <w:rFonts w:eastAsia="Calibri"/>
                <w:sz w:val="20"/>
                <w:szCs w:val="20"/>
                <w:lang w:eastAsia="en-US"/>
              </w:rPr>
            </w:r>
          </w:p>
          <w:p>
            <w:pPr>
              <w:pStyle w:val="1135"/>
              <w:jc w:val="center"/>
              <w:rPr>
                <w:rFonts w:eastAsia="Calibri"/>
                <w:bCs/>
                <w:sz w:val="20"/>
                <w:szCs w:val="20"/>
                <w:lang w:eastAsia="en-US"/>
              </w:rPr>
            </w:pPr>
            <w:r>
              <w:rPr>
                <w:rFonts w:eastAsia="Calibri"/>
                <w:sz w:val="20"/>
                <w:szCs w:val="20"/>
                <w:lang w:eastAsia="en-US"/>
              </w:rPr>
              <w:t xml:space="preserve">24 руб. в день</w:t>
            </w:r>
            <w:r>
              <w:rPr>
                <w:rFonts w:eastAsia="Calibri"/>
                <w:bCs/>
                <w:sz w:val="20"/>
                <w:szCs w:val="20"/>
                <w:lang w:eastAsia="en-US"/>
              </w:rPr>
            </w:r>
            <w:r>
              <w:rPr>
                <w:rFonts w:eastAsia="Calibri"/>
                <w:bCs/>
                <w:sz w:val="20"/>
                <w:szCs w:val="20"/>
                <w:lang w:eastAsia="en-US"/>
              </w:rPr>
            </w:r>
          </w:p>
        </w:tc>
        <w:tc>
          <w:tcPr>
            <w:tcBorders>
              <w:left w:val="single" w:color="000000" w:sz="4" w:space="0"/>
              <w:right w:val="single" w:color="000000" w:sz="4" w:space="0"/>
            </w:tcBorders>
            <w:tcW w:w="3367" w:type="dxa"/>
            <w:vAlign w:val="top"/>
            <w:vMerge w:val="continue"/>
            <w:textDirection w:val="lrTb"/>
            <w:noWrap w:val="false"/>
          </w:tcPr>
          <w:p>
            <w:pPr>
              <w:pStyle w:val="1135"/>
              <w:jc w:val="both"/>
              <w:rPr>
                <w:rFonts w:eastAsia="Calibri"/>
                <w:bCs/>
                <w:sz w:val="20"/>
                <w:szCs w:val="20"/>
                <w:lang w:eastAsia="en-US"/>
              </w:rPr>
            </w:pPr>
            <w:r>
              <w:rPr>
                <w:rFonts w:eastAsia="Calibri"/>
                <w:bCs/>
                <w:sz w:val="20"/>
                <w:szCs w:val="20"/>
                <w:lang w:eastAsia="en-US"/>
              </w:rPr>
            </w:r>
            <w:r>
              <w:rPr>
                <w:rFonts w:eastAsia="Calibri"/>
                <w:bCs/>
                <w:sz w:val="20"/>
                <w:szCs w:val="20"/>
                <w:lang w:eastAsia="en-US"/>
              </w:rPr>
            </w:r>
            <w:r>
              <w:rPr>
                <w:rFonts w:eastAsia="Calibri"/>
                <w:b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35"/>
              <w:jc w:val="center"/>
              <w:rPr>
                <w:rFonts w:eastAsia="Calibri"/>
                <w:bCs/>
                <w:sz w:val="20"/>
                <w:szCs w:val="20"/>
                <w:lang w:eastAsia="en-US"/>
              </w:rPr>
            </w:pPr>
            <w:r>
              <w:rPr>
                <w:rFonts w:eastAsia="Calibri"/>
                <w:bCs/>
                <w:sz w:val="20"/>
                <w:szCs w:val="20"/>
                <w:lang w:eastAsia="en-US"/>
              </w:rPr>
              <w:t xml:space="preserve">9.1.3.</w:t>
            </w:r>
            <w:r>
              <w:rPr>
                <w:rFonts w:eastAsia="Calibri"/>
                <w:bCs/>
                <w:sz w:val="20"/>
                <w:szCs w:val="20"/>
                <w:lang w:eastAsia="en-US"/>
              </w:rPr>
            </w:r>
            <w:r>
              <w:rPr>
                <w:rFonts w:eastAsia="Calibri"/>
                <w:bCs/>
                <w:sz w:val="20"/>
                <w:szCs w:val="20"/>
                <w:lang w:eastAsia="en-US"/>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135"/>
              <w:jc w:val="both"/>
              <w:rPr>
                <w:rFonts w:eastAsia="Calibri"/>
                <w:bCs/>
                <w:sz w:val="20"/>
                <w:szCs w:val="20"/>
                <w:lang w:eastAsia="en-US"/>
              </w:rPr>
            </w:pPr>
            <w:r>
              <w:rPr>
                <w:rFonts w:eastAsia="Calibri"/>
                <w:bCs/>
                <w:sz w:val="20"/>
                <w:szCs w:val="20"/>
                <w:lang w:eastAsia="en-US"/>
              </w:rPr>
              <w:t xml:space="preserve">Размер сейфовой ячейки </w:t>
              <w:br w:type="textWrapping" w:clear="all"/>
              <w:t xml:space="preserve">от 125 до 169 (по высоте, мм)</w:t>
            </w:r>
            <w:r>
              <w:rPr>
                <w:rFonts w:eastAsia="Calibri"/>
                <w:bCs/>
                <w:sz w:val="20"/>
                <w:szCs w:val="20"/>
                <w:lang w:eastAsia="en-US"/>
              </w:rPr>
            </w:r>
            <w:r>
              <w:rPr>
                <w:rFonts w:eastAsia="Calibri"/>
                <w:bCs/>
                <w:sz w:val="20"/>
                <w:szCs w:val="20"/>
                <w:lang w:eastAsia="en-US"/>
              </w:rPr>
            </w:r>
          </w:p>
          <w:p>
            <w:pPr>
              <w:pStyle w:val="1135"/>
              <w:jc w:val="both"/>
              <w:rPr>
                <w:rFonts w:eastAsia="Calibri"/>
                <w:sz w:val="20"/>
                <w:szCs w:val="20"/>
                <w:lang w:eastAsia="en-US"/>
              </w:rPr>
            </w:pPr>
            <w:r>
              <w:rPr>
                <w:rFonts w:eastAsia="Calibri"/>
                <w:sz w:val="20"/>
                <w:szCs w:val="20"/>
                <w:lang w:eastAsia="en-US"/>
              </w:rPr>
              <w:t xml:space="preserve">- на срок от 1 до 7 дней</w:t>
            </w:r>
            <w:r>
              <w:rPr>
                <w:rFonts w:eastAsia="Calibri"/>
                <w:sz w:val="20"/>
                <w:szCs w:val="20"/>
                <w:lang w:eastAsia="en-US"/>
              </w:rPr>
            </w:r>
            <w:r>
              <w:rPr>
                <w:rFonts w:eastAsia="Calibri"/>
                <w:sz w:val="20"/>
                <w:szCs w:val="20"/>
                <w:lang w:eastAsia="en-US"/>
              </w:rPr>
            </w:r>
          </w:p>
          <w:p>
            <w:pPr>
              <w:pStyle w:val="1135"/>
              <w:jc w:val="both"/>
              <w:rPr>
                <w:rFonts w:eastAsia="Calibri"/>
                <w:sz w:val="20"/>
                <w:szCs w:val="20"/>
                <w:lang w:eastAsia="en-US"/>
              </w:rPr>
            </w:pPr>
            <w:r>
              <w:rPr>
                <w:rFonts w:eastAsia="Calibri"/>
                <w:sz w:val="20"/>
                <w:szCs w:val="20"/>
                <w:lang w:eastAsia="en-US"/>
              </w:rPr>
              <w:t xml:space="preserve">- на срок от 8 до 14 дней</w:t>
            </w:r>
            <w:r>
              <w:rPr>
                <w:rFonts w:eastAsia="Calibri"/>
                <w:sz w:val="20"/>
                <w:szCs w:val="20"/>
                <w:lang w:eastAsia="en-US"/>
              </w:rPr>
            </w:r>
            <w:r>
              <w:rPr>
                <w:rFonts w:eastAsia="Calibri"/>
                <w:sz w:val="20"/>
                <w:szCs w:val="20"/>
                <w:lang w:eastAsia="en-US"/>
              </w:rPr>
            </w:r>
          </w:p>
          <w:p>
            <w:pPr>
              <w:pStyle w:val="1135"/>
              <w:jc w:val="both"/>
              <w:rPr>
                <w:rFonts w:eastAsia="Calibri"/>
                <w:sz w:val="20"/>
                <w:szCs w:val="20"/>
                <w:lang w:eastAsia="en-US"/>
              </w:rPr>
            </w:pPr>
            <w:r>
              <w:rPr>
                <w:rFonts w:eastAsia="Calibri"/>
                <w:sz w:val="20"/>
                <w:szCs w:val="20"/>
                <w:lang w:eastAsia="en-US"/>
              </w:rPr>
              <w:t xml:space="preserve">- на срок от 15 до 30 дней</w:t>
            </w:r>
            <w:r>
              <w:rPr>
                <w:rFonts w:eastAsia="Calibri"/>
                <w:sz w:val="20"/>
                <w:szCs w:val="20"/>
                <w:lang w:eastAsia="en-US"/>
              </w:rPr>
            </w:r>
            <w:r>
              <w:rPr>
                <w:rFonts w:eastAsia="Calibri"/>
                <w:sz w:val="20"/>
                <w:szCs w:val="20"/>
                <w:lang w:eastAsia="en-US"/>
              </w:rPr>
            </w:r>
          </w:p>
          <w:p>
            <w:pPr>
              <w:pStyle w:val="1135"/>
              <w:jc w:val="both"/>
              <w:rPr>
                <w:rFonts w:eastAsia="Calibri"/>
                <w:sz w:val="20"/>
                <w:szCs w:val="20"/>
                <w:lang w:eastAsia="en-US"/>
              </w:rPr>
            </w:pPr>
            <w:r>
              <w:rPr>
                <w:rFonts w:eastAsia="Calibri"/>
                <w:sz w:val="20"/>
                <w:szCs w:val="20"/>
                <w:lang w:eastAsia="en-US"/>
              </w:rPr>
              <w:t xml:space="preserve">- на срок от 31 до 90 дней</w:t>
            </w:r>
            <w:r>
              <w:rPr>
                <w:rFonts w:eastAsia="Calibri"/>
                <w:sz w:val="20"/>
                <w:szCs w:val="20"/>
                <w:lang w:eastAsia="en-US"/>
              </w:rPr>
            </w:r>
            <w:r>
              <w:rPr>
                <w:rFonts w:eastAsia="Calibri"/>
                <w:sz w:val="20"/>
                <w:szCs w:val="20"/>
                <w:lang w:eastAsia="en-US"/>
              </w:rPr>
            </w:r>
          </w:p>
          <w:p>
            <w:pPr>
              <w:pStyle w:val="1135"/>
              <w:jc w:val="both"/>
              <w:rPr>
                <w:rFonts w:eastAsia="Calibri"/>
                <w:sz w:val="20"/>
                <w:szCs w:val="20"/>
                <w:lang w:eastAsia="en-US"/>
              </w:rPr>
            </w:pPr>
            <w:r>
              <w:rPr>
                <w:rFonts w:eastAsia="Calibri"/>
                <w:sz w:val="20"/>
                <w:szCs w:val="20"/>
                <w:lang w:eastAsia="en-US"/>
              </w:rPr>
              <w:t xml:space="preserve">- на срок от 91 до 180 дней</w:t>
            </w:r>
            <w:r>
              <w:rPr>
                <w:rFonts w:eastAsia="Calibri"/>
                <w:sz w:val="20"/>
                <w:szCs w:val="20"/>
                <w:lang w:eastAsia="en-US"/>
              </w:rPr>
            </w:r>
            <w:r>
              <w:rPr>
                <w:rFonts w:eastAsia="Calibri"/>
                <w:sz w:val="20"/>
                <w:szCs w:val="20"/>
                <w:lang w:eastAsia="en-US"/>
              </w:rPr>
            </w:r>
          </w:p>
          <w:p>
            <w:pPr>
              <w:pStyle w:val="1135"/>
              <w:jc w:val="both"/>
              <w:spacing w:after="120"/>
              <w:rPr>
                <w:rFonts w:eastAsia="Calibri"/>
                <w:bCs/>
                <w:sz w:val="20"/>
                <w:szCs w:val="20"/>
                <w:lang w:eastAsia="en-US"/>
              </w:rPr>
            </w:pPr>
            <w:r>
              <w:rPr>
                <w:rFonts w:eastAsia="Calibri"/>
                <w:sz w:val="20"/>
                <w:szCs w:val="20"/>
                <w:lang w:eastAsia="en-US"/>
              </w:rPr>
              <w:t xml:space="preserve">- на срок от 181 до 365 дней</w:t>
            </w:r>
            <w:r>
              <w:rPr>
                <w:rFonts w:eastAsia="Calibri"/>
                <w:bCs/>
                <w:sz w:val="20"/>
                <w:szCs w:val="20"/>
                <w:lang w:eastAsia="en-US"/>
              </w:rPr>
            </w:r>
            <w:r>
              <w:rPr>
                <w:rFonts w:eastAsia="Calibri"/>
                <w:bCs/>
                <w:sz w:val="20"/>
                <w:szCs w:val="20"/>
                <w:lang w:eastAsia="en-US"/>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135"/>
              <w:jc w:val="center"/>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35"/>
              <w:jc w:val="center"/>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35"/>
              <w:jc w:val="center"/>
              <w:rPr>
                <w:rFonts w:eastAsia="Calibri"/>
                <w:sz w:val="20"/>
                <w:szCs w:val="20"/>
                <w:lang w:eastAsia="en-US"/>
              </w:rPr>
            </w:pPr>
            <w:r>
              <w:rPr>
                <w:rFonts w:eastAsia="Calibri"/>
                <w:sz w:val="20"/>
                <w:szCs w:val="20"/>
                <w:lang w:eastAsia="en-US"/>
              </w:rPr>
              <w:t xml:space="preserve">370 руб.</w:t>
            </w:r>
            <w:r>
              <w:rPr>
                <w:rFonts w:eastAsia="Calibri"/>
                <w:sz w:val="20"/>
                <w:szCs w:val="20"/>
                <w:lang w:eastAsia="en-US"/>
              </w:rPr>
            </w:r>
            <w:r>
              <w:rPr>
                <w:rFonts w:eastAsia="Calibri"/>
                <w:sz w:val="20"/>
                <w:szCs w:val="20"/>
                <w:lang w:eastAsia="en-US"/>
              </w:rPr>
            </w:r>
          </w:p>
          <w:p>
            <w:pPr>
              <w:pStyle w:val="1135"/>
              <w:jc w:val="center"/>
              <w:rPr>
                <w:rFonts w:eastAsia="Calibri"/>
                <w:sz w:val="20"/>
                <w:szCs w:val="20"/>
                <w:lang w:eastAsia="en-US"/>
              </w:rPr>
            </w:pPr>
            <w:r>
              <w:rPr>
                <w:rFonts w:eastAsia="Calibri"/>
                <w:sz w:val="20"/>
                <w:szCs w:val="20"/>
                <w:lang w:eastAsia="en-US"/>
              </w:rPr>
              <w:t xml:space="preserve">680 руб.</w:t>
            </w:r>
            <w:r>
              <w:rPr>
                <w:rFonts w:eastAsia="Calibri"/>
                <w:sz w:val="20"/>
                <w:szCs w:val="20"/>
                <w:lang w:eastAsia="en-US"/>
              </w:rPr>
            </w:r>
            <w:r>
              <w:rPr>
                <w:rFonts w:eastAsia="Calibri"/>
                <w:sz w:val="20"/>
                <w:szCs w:val="20"/>
                <w:lang w:eastAsia="en-US"/>
              </w:rPr>
            </w:r>
          </w:p>
          <w:p>
            <w:pPr>
              <w:pStyle w:val="1135"/>
              <w:jc w:val="center"/>
              <w:rPr>
                <w:rFonts w:eastAsia="Calibri"/>
                <w:sz w:val="20"/>
                <w:szCs w:val="20"/>
                <w:lang w:eastAsia="en-US"/>
              </w:rPr>
            </w:pPr>
            <w:r>
              <w:rPr>
                <w:rFonts w:eastAsia="Calibri"/>
                <w:sz w:val="20"/>
                <w:szCs w:val="20"/>
                <w:lang w:eastAsia="en-US"/>
              </w:rPr>
              <w:t xml:space="preserve">1100 руб.</w:t>
            </w:r>
            <w:r>
              <w:rPr>
                <w:rFonts w:eastAsia="Calibri"/>
                <w:sz w:val="20"/>
                <w:szCs w:val="20"/>
                <w:lang w:eastAsia="en-US"/>
              </w:rPr>
            </w:r>
            <w:r>
              <w:rPr>
                <w:rFonts w:eastAsia="Calibri"/>
                <w:sz w:val="20"/>
                <w:szCs w:val="20"/>
                <w:lang w:eastAsia="en-US"/>
              </w:rPr>
            </w:r>
          </w:p>
          <w:p>
            <w:pPr>
              <w:pStyle w:val="1135"/>
              <w:jc w:val="center"/>
              <w:rPr>
                <w:rFonts w:eastAsia="Calibri"/>
                <w:sz w:val="20"/>
                <w:szCs w:val="20"/>
                <w:lang w:eastAsia="en-US"/>
              </w:rPr>
            </w:pPr>
            <w:r>
              <w:rPr>
                <w:rFonts w:eastAsia="Calibri"/>
                <w:sz w:val="20"/>
                <w:szCs w:val="20"/>
                <w:lang w:eastAsia="en-US"/>
              </w:rPr>
              <w:t xml:space="preserve">44 руб. в день</w:t>
            </w:r>
            <w:r>
              <w:rPr>
                <w:rFonts w:eastAsia="Calibri"/>
                <w:sz w:val="20"/>
                <w:szCs w:val="20"/>
                <w:lang w:eastAsia="en-US"/>
              </w:rPr>
            </w:r>
            <w:r>
              <w:rPr>
                <w:rFonts w:eastAsia="Calibri"/>
                <w:sz w:val="20"/>
                <w:szCs w:val="20"/>
                <w:lang w:eastAsia="en-US"/>
              </w:rPr>
            </w:r>
          </w:p>
          <w:p>
            <w:pPr>
              <w:pStyle w:val="1135"/>
              <w:jc w:val="center"/>
              <w:rPr>
                <w:rFonts w:eastAsia="Calibri"/>
                <w:sz w:val="20"/>
                <w:szCs w:val="20"/>
                <w:lang w:eastAsia="en-US"/>
              </w:rPr>
            </w:pPr>
            <w:r>
              <w:rPr>
                <w:rFonts w:eastAsia="Calibri"/>
                <w:sz w:val="20"/>
                <w:szCs w:val="20"/>
                <w:lang w:eastAsia="en-US"/>
              </w:rPr>
              <w:t xml:space="preserve">36 руб. в день</w:t>
            </w:r>
            <w:r>
              <w:rPr>
                <w:rFonts w:eastAsia="Calibri"/>
                <w:sz w:val="20"/>
                <w:szCs w:val="20"/>
                <w:lang w:eastAsia="en-US"/>
              </w:rPr>
            </w:r>
            <w:r>
              <w:rPr>
                <w:rFonts w:eastAsia="Calibri"/>
                <w:sz w:val="20"/>
                <w:szCs w:val="20"/>
                <w:lang w:eastAsia="en-US"/>
              </w:rPr>
            </w:r>
          </w:p>
          <w:p>
            <w:pPr>
              <w:pStyle w:val="1135"/>
              <w:jc w:val="center"/>
              <w:rPr>
                <w:rFonts w:eastAsia="Calibri"/>
                <w:bCs/>
                <w:sz w:val="20"/>
                <w:szCs w:val="20"/>
                <w:lang w:eastAsia="en-US"/>
              </w:rPr>
            </w:pPr>
            <w:r>
              <w:rPr>
                <w:rFonts w:eastAsia="Calibri"/>
                <w:sz w:val="20"/>
                <w:szCs w:val="20"/>
                <w:lang w:eastAsia="en-US"/>
              </w:rPr>
              <w:t xml:space="preserve">27 руб. в день</w:t>
            </w:r>
            <w:r>
              <w:rPr>
                <w:rFonts w:eastAsia="Calibri"/>
                <w:bCs/>
                <w:sz w:val="20"/>
                <w:szCs w:val="20"/>
                <w:lang w:eastAsia="en-US"/>
              </w:rPr>
            </w:r>
            <w:r>
              <w:rPr>
                <w:rFonts w:eastAsia="Calibri"/>
                <w:bCs/>
                <w:sz w:val="20"/>
                <w:szCs w:val="20"/>
                <w:lang w:eastAsia="en-US"/>
              </w:rPr>
            </w:r>
          </w:p>
        </w:tc>
        <w:tc>
          <w:tcPr>
            <w:tcBorders>
              <w:left w:val="single" w:color="000000" w:sz="4" w:space="0"/>
              <w:right w:val="single" w:color="000000" w:sz="4" w:space="0"/>
            </w:tcBorders>
            <w:tcW w:w="3367" w:type="dxa"/>
            <w:vAlign w:val="top"/>
            <w:vMerge w:val="continue"/>
            <w:textDirection w:val="lrTb"/>
            <w:noWrap w:val="false"/>
          </w:tcPr>
          <w:p>
            <w:pPr>
              <w:pStyle w:val="1135"/>
              <w:jc w:val="both"/>
              <w:rPr>
                <w:rFonts w:eastAsia="Calibri"/>
                <w:bCs/>
                <w:sz w:val="20"/>
                <w:szCs w:val="20"/>
                <w:lang w:eastAsia="en-US"/>
              </w:rPr>
            </w:pPr>
            <w:r>
              <w:rPr>
                <w:rFonts w:eastAsia="Calibri"/>
                <w:bCs/>
                <w:sz w:val="20"/>
                <w:szCs w:val="20"/>
                <w:lang w:eastAsia="en-US"/>
              </w:rPr>
            </w:r>
            <w:r>
              <w:rPr>
                <w:rFonts w:eastAsia="Calibri"/>
                <w:bCs/>
                <w:sz w:val="20"/>
                <w:szCs w:val="20"/>
                <w:lang w:eastAsia="en-US"/>
              </w:rPr>
            </w:r>
            <w:r>
              <w:rPr>
                <w:rFonts w:eastAsia="Calibri"/>
                <w:b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35"/>
              <w:jc w:val="center"/>
              <w:rPr>
                <w:rFonts w:eastAsia="Calibri"/>
                <w:bCs/>
                <w:sz w:val="20"/>
                <w:szCs w:val="20"/>
                <w:lang w:eastAsia="en-US"/>
              </w:rPr>
            </w:pPr>
            <w:r>
              <w:rPr>
                <w:rFonts w:eastAsia="Calibri"/>
                <w:bCs/>
                <w:sz w:val="20"/>
                <w:szCs w:val="20"/>
                <w:lang w:eastAsia="en-US"/>
              </w:rPr>
              <w:t xml:space="preserve">9.1.4.</w:t>
            </w:r>
            <w:r>
              <w:rPr>
                <w:rFonts w:eastAsia="Calibri"/>
                <w:bCs/>
                <w:sz w:val="20"/>
                <w:szCs w:val="20"/>
                <w:lang w:eastAsia="en-US"/>
              </w:rPr>
            </w:r>
            <w:r>
              <w:rPr>
                <w:rFonts w:eastAsia="Calibri"/>
                <w:bCs/>
                <w:sz w:val="20"/>
                <w:szCs w:val="20"/>
                <w:lang w:eastAsia="en-US"/>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135"/>
              <w:jc w:val="both"/>
              <w:rPr>
                <w:rFonts w:eastAsia="Calibri"/>
                <w:bCs/>
                <w:sz w:val="20"/>
                <w:szCs w:val="20"/>
                <w:lang w:eastAsia="en-US"/>
              </w:rPr>
            </w:pPr>
            <w:r>
              <w:rPr>
                <w:rFonts w:eastAsia="Calibri"/>
                <w:bCs/>
                <w:sz w:val="20"/>
                <w:szCs w:val="20"/>
                <w:lang w:eastAsia="en-US"/>
              </w:rPr>
              <w:t xml:space="preserve">Размер сейфовой ячейки </w:t>
              <w:br w:type="textWrapping" w:clear="all"/>
              <w:t xml:space="preserve">от 170 до 299 (по высоте, мм)</w:t>
            </w:r>
            <w:r>
              <w:rPr>
                <w:rFonts w:eastAsia="Calibri"/>
                <w:bCs/>
                <w:sz w:val="20"/>
                <w:szCs w:val="20"/>
                <w:lang w:eastAsia="en-US"/>
              </w:rPr>
            </w:r>
            <w:r>
              <w:rPr>
                <w:rFonts w:eastAsia="Calibri"/>
                <w:bCs/>
                <w:sz w:val="20"/>
                <w:szCs w:val="20"/>
                <w:lang w:eastAsia="en-US"/>
              </w:rPr>
            </w:r>
          </w:p>
          <w:p>
            <w:pPr>
              <w:pStyle w:val="1135"/>
              <w:jc w:val="both"/>
              <w:rPr>
                <w:rFonts w:eastAsia="Calibri"/>
                <w:sz w:val="20"/>
                <w:szCs w:val="20"/>
                <w:lang w:eastAsia="en-US"/>
              </w:rPr>
            </w:pPr>
            <w:r>
              <w:rPr>
                <w:rFonts w:eastAsia="Calibri"/>
                <w:sz w:val="20"/>
                <w:szCs w:val="20"/>
                <w:lang w:eastAsia="en-US"/>
              </w:rPr>
              <w:t xml:space="preserve">- на срок от 1 до 7 дней</w:t>
            </w:r>
            <w:r>
              <w:rPr>
                <w:rFonts w:eastAsia="Calibri"/>
                <w:sz w:val="20"/>
                <w:szCs w:val="20"/>
                <w:lang w:eastAsia="en-US"/>
              </w:rPr>
            </w:r>
            <w:r>
              <w:rPr>
                <w:rFonts w:eastAsia="Calibri"/>
                <w:sz w:val="20"/>
                <w:szCs w:val="20"/>
                <w:lang w:eastAsia="en-US"/>
              </w:rPr>
            </w:r>
          </w:p>
          <w:p>
            <w:pPr>
              <w:pStyle w:val="1135"/>
              <w:jc w:val="both"/>
              <w:rPr>
                <w:rFonts w:eastAsia="Calibri"/>
                <w:sz w:val="20"/>
                <w:szCs w:val="20"/>
                <w:lang w:eastAsia="en-US"/>
              </w:rPr>
            </w:pPr>
            <w:r>
              <w:rPr>
                <w:rFonts w:eastAsia="Calibri"/>
                <w:sz w:val="20"/>
                <w:szCs w:val="20"/>
                <w:lang w:eastAsia="en-US"/>
              </w:rPr>
              <w:t xml:space="preserve">- на срок от 8 до 14 дней</w:t>
            </w:r>
            <w:r>
              <w:rPr>
                <w:rFonts w:eastAsia="Calibri"/>
                <w:sz w:val="20"/>
                <w:szCs w:val="20"/>
                <w:lang w:eastAsia="en-US"/>
              </w:rPr>
            </w:r>
            <w:r>
              <w:rPr>
                <w:rFonts w:eastAsia="Calibri"/>
                <w:sz w:val="20"/>
                <w:szCs w:val="20"/>
                <w:lang w:eastAsia="en-US"/>
              </w:rPr>
            </w:r>
          </w:p>
          <w:p>
            <w:pPr>
              <w:pStyle w:val="1135"/>
              <w:jc w:val="both"/>
              <w:rPr>
                <w:rFonts w:eastAsia="Calibri"/>
                <w:sz w:val="20"/>
                <w:szCs w:val="20"/>
                <w:lang w:eastAsia="en-US"/>
              </w:rPr>
            </w:pPr>
            <w:r>
              <w:rPr>
                <w:rFonts w:eastAsia="Calibri"/>
                <w:sz w:val="20"/>
                <w:szCs w:val="20"/>
                <w:lang w:eastAsia="en-US"/>
              </w:rPr>
              <w:t xml:space="preserve">- на срок от 15 до 30 дней</w:t>
            </w:r>
            <w:r>
              <w:rPr>
                <w:rFonts w:eastAsia="Calibri"/>
                <w:sz w:val="20"/>
                <w:szCs w:val="20"/>
                <w:lang w:eastAsia="en-US"/>
              </w:rPr>
            </w:r>
            <w:r>
              <w:rPr>
                <w:rFonts w:eastAsia="Calibri"/>
                <w:sz w:val="20"/>
                <w:szCs w:val="20"/>
                <w:lang w:eastAsia="en-US"/>
              </w:rPr>
            </w:r>
          </w:p>
          <w:p>
            <w:pPr>
              <w:pStyle w:val="1135"/>
              <w:jc w:val="both"/>
              <w:rPr>
                <w:rFonts w:eastAsia="Calibri"/>
                <w:sz w:val="20"/>
                <w:szCs w:val="20"/>
                <w:lang w:eastAsia="en-US"/>
              </w:rPr>
            </w:pPr>
            <w:r>
              <w:rPr>
                <w:rFonts w:eastAsia="Calibri"/>
                <w:sz w:val="20"/>
                <w:szCs w:val="20"/>
                <w:lang w:eastAsia="en-US"/>
              </w:rPr>
              <w:t xml:space="preserve">- на срок от 31 до 90 дней</w:t>
            </w:r>
            <w:r>
              <w:rPr>
                <w:rFonts w:eastAsia="Calibri"/>
                <w:sz w:val="20"/>
                <w:szCs w:val="20"/>
                <w:lang w:eastAsia="en-US"/>
              </w:rPr>
            </w:r>
            <w:r>
              <w:rPr>
                <w:rFonts w:eastAsia="Calibri"/>
                <w:sz w:val="20"/>
                <w:szCs w:val="20"/>
                <w:lang w:eastAsia="en-US"/>
              </w:rPr>
            </w:r>
          </w:p>
          <w:p>
            <w:pPr>
              <w:pStyle w:val="1135"/>
              <w:jc w:val="both"/>
              <w:rPr>
                <w:rFonts w:eastAsia="Calibri"/>
                <w:sz w:val="20"/>
                <w:szCs w:val="20"/>
                <w:lang w:eastAsia="en-US"/>
              </w:rPr>
            </w:pPr>
            <w:r>
              <w:rPr>
                <w:rFonts w:eastAsia="Calibri"/>
                <w:sz w:val="20"/>
                <w:szCs w:val="20"/>
                <w:lang w:eastAsia="en-US"/>
              </w:rPr>
              <w:t xml:space="preserve">- на срок от 91 до 180 дней</w:t>
            </w:r>
            <w:r>
              <w:rPr>
                <w:rFonts w:eastAsia="Calibri"/>
                <w:sz w:val="20"/>
                <w:szCs w:val="20"/>
                <w:lang w:eastAsia="en-US"/>
              </w:rPr>
            </w:r>
            <w:r>
              <w:rPr>
                <w:rFonts w:eastAsia="Calibri"/>
                <w:sz w:val="20"/>
                <w:szCs w:val="20"/>
                <w:lang w:eastAsia="en-US"/>
              </w:rPr>
            </w:r>
          </w:p>
          <w:p>
            <w:pPr>
              <w:pStyle w:val="1135"/>
              <w:jc w:val="both"/>
              <w:spacing w:after="120"/>
              <w:rPr>
                <w:rFonts w:eastAsia="Calibri"/>
                <w:bCs/>
                <w:sz w:val="20"/>
                <w:szCs w:val="20"/>
                <w:lang w:eastAsia="en-US"/>
              </w:rPr>
            </w:pPr>
            <w:r>
              <w:rPr>
                <w:rFonts w:eastAsia="Calibri"/>
                <w:sz w:val="20"/>
                <w:szCs w:val="20"/>
                <w:lang w:eastAsia="en-US"/>
              </w:rPr>
              <w:t xml:space="preserve">- на срок от 181 до 365 дней</w:t>
            </w:r>
            <w:r>
              <w:rPr>
                <w:rFonts w:eastAsia="Calibri"/>
                <w:bCs/>
                <w:sz w:val="20"/>
                <w:szCs w:val="20"/>
                <w:lang w:eastAsia="en-US"/>
              </w:rPr>
            </w:r>
            <w:r>
              <w:rPr>
                <w:rFonts w:eastAsia="Calibri"/>
                <w:bCs/>
                <w:sz w:val="20"/>
                <w:szCs w:val="20"/>
                <w:lang w:eastAsia="en-US"/>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135"/>
              <w:jc w:val="center"/>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35"/>
              <w:jc w:val="center"/>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35"/>
              <w:jc w:val="center"/>
              <w:rPr>
                <w:rFonts w:eastAsia="Calibri"/>
                <w:sz w:val="20"/>
                <w:szCs w:val="20"/>
                <w:lang w:eastAsia="en-US"/>
              </w:rPr>
            </w:pPr>
            <w:r>
              <w:rPr>
                <w:rFonts w:eastAsia="Calibri"/>
                <w:sz w:val="20"/>
                <w:szCs w:val="20"/>
                <w:lang w:eastAsia="en-US"/>
              </w:rPr>
              <w:t xml:space="preserve">460 руб.</w:t>
            </w:r>
            <w:r>
              <w:rPr>
                <w:rFonts w:eastAsia="Calibri"/>
                <w:sz w:val="20"/>
                <w:szCs w:val="20"/>
                <w:lang w:eastAsia="en-US"/>
              </w:rPr>
            </w:r>
            <w:r>
              <w:rPr>
                <w:rFonts w:eastAsia="Calibri"/>
                <w:sz w:val="20"/>
                <w:szCs w:val="20"/>
                <w:lang w:eastAsia="en-US"/>
              </w:rPr>
            </w:r>
          </w:p>
          <w:p>
            <w:pPr>
              <w:pStyle w:val="1135"/>
              <w:jc w:val="center"/>
              <w:rPr>
                <w:rFonts w:eastAsia="Calibri"/>
                <w:sz w:val="20"/>
                <w:szCs w:val="20"/>
                <w:lang w:eastAsia="en-US"/>
              </w:rPr>
            </w:pPr>
            <w:r>
              <w:rPr>
                <w:rFonts w:eastAsia="Calibri"/>
                <w:sz w:val="20"/>
                <w:szCs w:val="20"/>
                <w:lang w:eastAsia="en-US"/>
              </w:rPr>
              <w:t xml:space="preserve">860 руб.</w:t>
            </w:r>
            <w:r>
              <w:rPr>
                <w:rFonts w:eastAsia="Calibri"/>
                <w:sz w:val="20"/>
                <w:szCs w:val="20"/>
                <w:lang w:eastAsia="en-US"/>
              </w:rPr>
            </w:r>
            <w:r>
              <w:rPr>
                <w:rFonts w:eastAsia="Calibri"/>
                <w:sz w:val="20"/>
                <w:szCs w:val="20"/>
                <w:lang w:eastAsia="en-US"/>
              </w:rPr>
            </w:r>
          </w:p>
          <w:p>
            <w:pPr>
              <w:pStyle w:val="1135"/>
              <w:jc w:val="center"/>
              <w:rPr>
                <w:rFonts w:eastAsia="Calibri"/>
                <w:sz w:val="20"/>
                <w:szCs w:val="20"/>
                <w:lang w:eastAsia="en-US"/>
              </w:rPr>
            </w:pPr>
            <w:r>
              <w:rPr>
                <w:rFonts w:eastAsia="Calibri"/>
                <w:sz w:val="20"/>
                <w:szCs w:val="20"/>
                <w:lang w:eastAsia="en-US"/>
              </w:rPr>
              <w:t xml:space="preserve">1600 руб.</w:t>
            </w:r>
            <w:r>
              <w:rPr>
                <w:rFonts w:eastAsia="Calibri"/>
                <w:sz w:val="20"/>
                <w:szCs w:val="20"/>
                <w:lang w:eastAsia="en-US"/>
              </w:rPr>
            </w:r>
            <w:r>
              <w:rPr>
                <w:rFonts w:eastAsia="Calibri"/>
                <w:sz w:val="20"/>
                <w:szCs w:val="20"/>
                <w:lang w:eastAsia="en-US"/>
              </w:rPr>
            </w:r>
          </w:p>
          <w:p>
            <w:pPr>
              <w:pStyle w:val="1135"/>
              <w:jc w:val="center"/>
              <w:rPr>
                <w:rFonts w:eastAsia="Calibri"/>
                <w:sz w:val="20"/>
                <w:szCs w:val="20"/>
                <w:lang w:eastAsia="en-US"/>
              </w:rPr>
            </w:pPr>
            <w:r>
              <w:rPr>
                <w:rFonts w:eastAsia="Calibri"/>
                <w:sz w:val="20"/>
                <w:szCs w:val="20"/>
                <w:lang w:eastAsia="en-US"/>
              </w:rPr>
              <w:t xml:space="preserve">54 руб. в день</w:t>
            </w:r>
            <w:r>
              <w:rPr>
                <w:rFonts w:eastAsia="Calibri"/>
                <w:sz w:val="20"/>
                <w:szCs w:val="20"/>
                <w:lang w:eastAsia="en-US"/>
              </w:rPr>
            </w:r>
            <w:r>
              <w:rPr>
                <w:rFonts w:eastAsia="Calibri"/>
                <w:sz w:val="20"/>
                <w:szCs w:val="20"/>
                <w:lang w:eastAsia="en-US"/>
              </w:rPr>
            </w:r>
          </w:p>
          <w:p>
            <w:pPr>
              <w:pStyle w:val="1135"/>
              <w:jc w:val="center"/>
              <w:rPr>
                <w:rFonts w:eastAsia="Calibri"/>
                <w:sz w:val="20"/>
                <w:szCs w:val="20"/>
                <w:lang w:eastAsia="en-US"/>
              </w:rPr>
            </w:pPr>
            <w:r>
              <w:rPr>
                <w:rFonts w:eastAsia="Calibri"/>
                <w:sz w:val="20"/>
                <w:szCs w:val="20"/>
                <w:lang w:eastAsia="en-US"/>
              </w:rPr>
              <w:t xml:space="preserve">47 руб. в день</w:t>
            </w:r>
            <w:r>
              <w:rPr>
                <w:rFonts w:eastAsia="Calibri"/>
                <w:sz w:val="20"/>
                <w:szCs w:val="20"/>
                <w:lang w:eastAsia="en-US"/>
              </w:rPr>
            </w:r>
            <w:r>
              <w:rPr>
                <w:rFonts w:eastAsia="Calibri"/>
                <w:sz w:val="20"/>
                <w:szCs w:val="20"/>
                <w:lang w:eastAsia="en-US"/>
              </w:rPr>
            </w:r>
          </w:p>
          <w:p>
            <w:pPr>
              <w:pStyle w:val="1135"/>
              <w:jc w:val="center"/>
              <w:rPr>
                <w:rFonts w:eastAsia="Calibri"/>
                <w:bCs/>
                <w:sz w:val="20"/>
                <w:szCs w:val="20"/>
                <w:lang w:eastAsia="en-US"/>
              </w:rPr>
            </w:pPr>
            <w:r>
              <w:rPr>
                <w:rFonts w:eastAsia="Calibri"/>
                <w:sz w:val="20"/>
                <w:szCs w:val="20"/>
                <w:lang w:eastAsia="en-US"/>
              </w:rPr>
              <w:t xml:space="preserve">33 руб. в день</w:t>
            </w:r>
            <w:r>
              <w:rPr>
                <w:rFonts w:eastAsia="Calibri"/>
                <w:bCs/>
                <w:sz w:val="20"/>
                <w:szCs w:val="20"/>
                <w:lang w:eastAsia="en-US"/>
              </w:rPr>
            </w:r>
            <w:r>
              <w:rPr>
                <w:rFonts w:eastAsia="Calibri"/>
                <w:bCs/>
                <w:sz w:val="20"/>
                <w:szCs w:val="20"/>
                <w:lang w:eastAsia="en-US"/>
              </w:rPr>
            </w:r>
          </w:p>
        </w:tc>
        <w:tc>
          <w:tcPr>
            <w:tcBorders>
              <w:left w:val="single" w:color="000000" w:sz="4" w:space="0"/>
              <w:right w:val="single" w:color="000000" w:sz="4" w:space="0"/>
            </w:tcBorders>
            <w:tcW w:w="3367" w:type="dxa"/>
            <w:vAlign w:val="top"/>
            <w:vMerge w:val="continue"/>
            <w:textDirection w:val="lrTb"/>
            <w:noWrap w:val="false"/>
          </w:tcPr>
          <w:p>
            <w:pPr>
              <w:pStyle w:val="1135"/>
              <w:jc w:val="both"/>
              <w:rPr>
                <w:rFonts w:eastAsia="Calibri"/>
                <w:bCs/>
                <w:i/>
                <w:sz w:val="20"/>
                <w:szCs w:val="20"/>
                <w:lang w:eastAsia="en-US"/>
              </w:rPr>
            </w:pPr>
            <w:r>
              <w:rPr>
                <w:rFonts w:eastAsia="Calibri"/>
                <w:bCs/>
                <w:i/>
                <w:sz w:val="20"/>
                <w:szCs w:val="20"/>
                <w:lang w:eastAsia="en-US"/>
              </w:rPr>
            </w:r>
            <w:r>
              <w:rPr>
                <w:rFonts w:eastAsia="Calibri"/>
                <w:bCs/>
                <w:i/>
                <w:sz w:val="20"/>
                <w:szCs w:val="20"/>
                <w:lang w:eastAsia="en-US"/>
              </w:rPr>
            </w:r>
            <w:r>
              <w:rPr>
                <w:rFonts w:eastAsia="Calibri"/>
                <w:bCs/>
                <w: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35"/>
              <w:jc w:val="center"/>
              <w:rPr>
                <w:rFonts w:eastAsia="Calibri"/>
                <w:bCs/>
                <w:sz w:val="20"/>
                <w:szCs w:val="20"/>
                <w:lang w:eastAsia="en-US"/>
              </w:rPr>
            </w:pPr>
            <w:r>
              <w:rPr>
                <w:rFonts w:eastAsia="Calibri"/>
                <w:bCs/>
                <w:sz w:val="20"/>
                <w:szCs w:val="20"/>
                <w:lang w:eastAsia="en-US"/>
              </w:rPr>
              <w:t xml:space="preserve">9.1.5.</w:t>
            </w:r>
            <w:r>
              <w:rPr>
                <w:rFonts w:eastAsia="Calibri"/>
                <w:bCs/>
                <w:sz w:val="20"/>
                <w:szCs w:val="20"/>
                <w:lang w:eastAsia="en-US"/>
              </w:rPr>
            </w:r>
            <w:r>
              <w:rPr>
                <w:rFonts w:eastAsia="Calibri"/>
                <w:bCs/>
                <w:sz w:val="20"/>
                <w:szCs w:val="20"/>
                <w:lang w:eastAsia="en-US"/>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135"/>
              <w:jc w:val="both"/>
              <w:rPr>
                <w:rFonts w:eastAsia="Calibri"/>
                <w:bCs/>
                <w:sz w:val="20"/>
                <w:szCs w:val="20"/>
                <w:lang w:eastAsia="en-US"/>
              </w:rPr>
            </w:pPr>
            <w:r>
              <w:rPr>
                <w:rFonts w:eastAsia="Calibri"/>
                <w:bCs/>
                <w:sz w:val="20"/>
                <w:szCs w:val="20"/>
                <w:lang w:eastAsia="en-US"/>
              </w:rPr>
              <w:t xml:space="preserve">Размер сейфовой ячейки </w:t>
              <w:br w:type="textWrapping" w:clear="all"/>
              <w:t xml:space="preserve">от 300 до 515 (по высоте, мм)</w:t>
            </w:r>
            <w:r>
              <w:rPr>
                <w:rFonts w:eastAsia="Calibri"/>
                <w:bCs/>
                <w:sz w:val="20"/>
                <w:szCs w:val="20"/>
                <w:lang w:eastAsia="en-US"/>
              </w:rPr>
            </w:r>
            <w:r>
              <w:rPr>
                <w:rFonts w:eastAsia="Calibri"/>
                <w:bCs/>
                <w:sz w:val="20"/>
                <w:szCs w:val="20"/>
                <w:lang w:eastAsia="en-US"/>
              </w:rPr>
            </w:r>
          </w:p>
          <w:p>
            <w:pPr>
              <w:pStyle w:val="1135"/>
              <w:jc w:val="both"/>
              <w:rPr>
                <w:rFonts w:eastAsia="Calibri"/>
                <w:sz w:val="20"/>
                <w:szCs w:val="20"/>
                <w:lang w:eastAsia="en-US"/>
              </w:rPr>
            </w:pPr>
            <w:r>
              <w:rPr>
                <w:rFonts w:eastAsia="Calibri"/>
                <w:sz w:val="20"/>
                <w:szCs w:val="20"/>
                <w:lang w:eastAsia="en-US"/>
              </w:rPr>
              <w:t xml:space="preserve">- на срок от 1 до 7 дней</w:t>
            </w:r>
            <w:r>
              <w:rPr>
                <w:rFonts w:eastAsia="Calibri"/>
                <w:sz w:val="20"/>
                <w:szCs w:val="20"/>
                <w:lang w:eastAsia="en-US"/>
              </w:rPr>
            </w:r>
            <w:r>
              <w:rPr>
                <w:rFonts w:eastAsia="Calibri"/>
                <w:sz w:val="20"/>
                <w:szCs w:val="20"/>
                <w:lang w:eastAsia="en-US"/>
              </w:rPr>
            </w:r>
          </w:p>
          <w:p>
            <w:pPr>
              <w:pStyle w:val="1135"/>
              <w:jc w:val="both"/>
              <w:rPr>
                <w:rFonts w:eastAsia="Calibri"/>
                <w:sz w:val="20"/>
                <w:szCs w:val="20"/>
                <w:lang w:eastAsia="en-US"/>
              </w:rPr>
            </w:pPr>
            <w:r>
              <w:rPr>
                <w:rFonts w:eastAsia="Calibri"/>
                <w:sz w:val="20"/>
                <w:szCs w:val="20"/>
                <w:lang w:eastAsia="en-US"/>
              </w:rPr>
              <w:t xml:space="preserve">- на срок от 8 до 14 дней</w:t>
            </w:r>
            <w:r>
              <w:rPr>
                <w:rFonts w:eastAsia="Calibri"/>
                <w:sz w:val="20"/>
                <w:szCs w:val="20"/>
                <w:lang w:eastAsia="en-US"/>
              </w:rPr>
            </w:r>
            <w:r>
              <w:rPr>
                <w:rFonts w:eastAsia="Calibri"/>
                <w:sz w:val="20"/>
                <w:szCs w:val="20"/>
                <w:lang w:eastAsia="en-US"/>
              </w:rPr>
            </w:r>
          </w:p>
          <w:p>
            <w:pPr>
              <w:pStyle w:val="1135"/>
              <w:jc w:val="both"/>
              <w:rPr>
                <w:rFonts w:eastAsia="Calibri"/>
                <w:sz w:val="20"/>
                <w:szCs w:val="20"/>
                <w:lang w:eastAsia="en-US"/>
              </w:rPr>
            </w:pPr>
            <w:r>
              <w:rPr>
                <w:rFonts w:eastAsia="Calibri"/>
                <w:sz w:val="20"/>
                <w:szCs w:val="20"/>
                <w:lang w:eastAsia="en-US"/>
              </w:rPr>
              <w:t xml:space="preserve">- на срок от 15 до 30 дней</w:t>
            </w:r>
            <w:r>
              <w:rPr>
                <w:rFonts w:eastAsia="Calibri"/>
                <w:sz w:val="20"/>
                <w:szCs w:val="20"/>
                <w:lang w:eastAsia="en-US"/>
              </w:rPr>
            </w:r>
            <w:r>
              <w:rPr>
                <w:rFonts w:eastAsia="Calibri"/>
                <w:sz w:val="20"/>
                <w:szCs w:val="20"/>
                <w:lang w:eastAsia="en-US"/>
              </w:rPr>
            </w:r>
          </w:p>
          <w:p>
            <w:pPr>
              <w:pStyle w:val="1135"/>
              <w:jc w:val="both"/>
              <w:rPr>
                <w:rFonts w:eastAsia="Calibri"/>
                <w:sz w:val="20"/>
                <w:szCs w:val="20"/>
                <w:lang w:eastAsia="en-US"/>
              </w:rPr>
            </w:pPr>
            <w:r>
              <w:rPr>
                <w:rFonts w:eastAsia="Calibri"/>
                <w:sz w:val="20"/>
                <w:szCs w:val="20"/>
                <w:lang w:eastAsia="en-US"/>
              </w:rPr>
              <w:t xml:space="preserve">- на срок от 31 до 90 дней</w:t>
            </w:r>
            <w:r>
              <w:rPr>
                <w:rFonts w:eastAsia="Calibri"/>
                <w:sz w:val="20"/>
                <w:szCs w:val="20"/>
                <w:lang w:eastAsia="en-US"/>
              </w:rPr>
            </w:r>
            <w:r>
              <w:rPr>
                <w:rFonts w:eastAsia="Calibri"/>
                <w:sz w:val="20"/>
                <w:szCs w:val="20"/>
                <w:lang w:eastAsia="en-US"/>
              </w:rPr>
            </w:r>
          </w:p>
          <w:p>
            <w:pPr>
              <w:pStyle w:val="1135"/>
              <w:jc w:val="both"/>
              <w:rPr>
                <w:rFonts w:eastAsia="Calibri"/>
                <w:sz w:val="20"/>
                <w:szCs w:val="20"/>
                <w:lang w:eastAsia="en-US"/>
              </w:rPr>
            </w:pPr>
            <w:r>
              <w:rPr>
                <w:rFonts w:eastAsia="Calibri"/>
                <w:sz w:val="20"/>
                <w:szCs w:val="20"/>
                <w:lang w:eastAsia="en-US"/>
              </w:rPr>
              <w:t xml:space="preserve">- на срок от 91 до 180 дней</w:t>
            </w:r>
            <w:r>
              <w:rPr>
                <w:rFonts w:eastAsia="Calibri"/>
                <w:sz w:val="20"/>
                <w:szCs w:val="20"/>
                <w:lang w:eastAsia="en-US"/>
              </w:rPr>
            </w:r>
            <w:r>
              <w:rPr>
                <w:rFonts w:eastAsia="Calibri"/>
                <w:sz w:val="20"/>
                <w:szCs w:val="20"/>
                <w:lang w:eastAsia="en-US"/>
              </w:rPr>
            </w:r>
          </w:p>
          <w:p>
            <w:pPr>
              <w:pStyle w:val="1135"/>
              <w:jc w:val="both"/>
              <w:spacing w:after="120"/>
              <w:rPr>
                <w:rFonts w:eastAsia="Calibri"/>
                <w:sz w:val="20"/>
                <w:szCs w:val="20"/>
                <w:lang w:eastAsia="en-US"/>
              </w:rPr>
            </w:pPr>
            <w:r>
              <w:rPr>
                <w:rFonts w:eastAsia="Calibri"/>
                <w:sz w:val="20"/>
                <w:szCs w:val="20"/>
                <w:lang w:eastAsia="en-US"/>
              </w:rPr>
              <w:t xml:space="preserve">- на срок от 181 до 365 дней</w:t>
            </w:r>
            <w:r>
              <w:rPr>
                <w:rFonts w:eastAsia="Calibri"/>
                <w:sz w:val="20"/>
                <w:szCs w:val="20"/>
                <w:lang w:eastAsia="en-US"/>
              </w:rPr>
            </w:r>
            <w:r>
              <w:rPr>
                <w:rFonts w:eastAsia="Calibri"/>
                <w:sz w:val="20"/>
                <w:szCs w:val="20"/>
                <w:lang w:eastAsia="en-US"/>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135"/>
              <w:jc w:val="center"/>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35"/>
              <w:jc w:val="center"/>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35"/>
              <w:jc w:val="center"/>
              <w:rPr>
                <w:rFonts w:eastAsia="Calibri"/>
                <w:sz w:val="20"/>
                <w:szCs w:val="20"/>
                <w:lang w:eastAsia="en-US"/>
              </w:rPr>
            </w:pPr>
            <w:r>
              <w:rPr>
                <w:rFonts w:eastAsia="Calibri"/>
                <w:sz w:val="20"/>
                <w:szCs w:val="20"/>
                <w:lang w:eastAsia="en-US"/>
              </w:rPr>
              <w:t xml:space="preserve">660 руб.</w:t>
            </w:r>
            <w:r>
              <w:rPr>
                <w:rFonts w:eastAsia="Calibri"/>
                <w:sz w:val="20"/>
                <w:szCs w:val="20"/>
                <w:lang w:eastAsia="en-US"/>
              </w:rPr>
            </w:r>
            <w:r>
              <w:rPr>
                <w:rFonts w:eastAsia="Calibri"/>
                <w:sz w:val="20"/>
                <w:szCs w:val="20"/>
                <w:lang w:eastAsia="en-US"/>
              </w:rPr>
            </w:r>
          </w:p>
          <w:p>
            <w:pPr>
              <w:pStyle w:val="1135"/>
              <w:jc w:val="center"/>
              <w:rPr>
                <w:rFonts w:eastAsia="Calibri"/>
                <w:sz w:val="20"/>
                <w:szCs w:val="20"/>
                <w:lang w:eastAsia="en-US"/>
              </w:rPr>
            </w:pPr>
            <w:r>
              <w:rPr>
                <w:rFonts w:eastAsia="Calibri"/>
                <w:sz w:val="20"/>
                <w:szCs w:val="20"/>
                <w:lang w:eastAsia="en-US"/>
              </w:rPr>
              <w:t xml:space="preserve">1100 руб.</w:t>
            </w:r>
            <w:r>
              <w:rPr>
                <w:rFonts w:eastAsia="Calibri"/>
                <w:sz w:val="20"/>
                <w:szCs w:val="20"/>
                <w:lang w:eastAsia="en-US"/>
              </w:rPr>
            </w:r>
            <w:r>
              <w:rPr>
                <w:rFonts w:eastAsia="Calibri"/>
                <w:sz w:val="20"/>
                <w:szCs w:val="20"/>
                <w:lang w:eastAsia="en-US"/>
              </w:rPr>
            </w:r>
          </w:p>
          <w:p>
            <w:pPr>
              <w:pStyle w:val="1135"/>
              <w:jc w:val="center"/>
              <w:rPr>
                <w:rFonts w:eastAsia="Calibri"/>
                <w:sz w:val="20"/>
                <w:szCs w:val="20"/>
                <w:lang w:eastAsia="en-US"/>
              </w:rPr>
            </w:pPr>
            <w:r>
              <w:rPr>
                <w:rFonts w:eastAsia="Calibri"/>
                <w:sz w:val="20"/>
                <w:szCs w:val="20"/>
                <w:lang w:eastAsia="en-US"/>
              </w:rPr>
              <w:t xml:space="preserve">2100 руб.</w:t>
            </w:r>
            <w:r>
              <w:rPr>
                <w:rFonts w:eastAsia="Calibri"/>
                <w:sz w:val="20"/>
                <w:szCs w:val="20"/>
                <w:lang w:eastAsia="en-US"/>
              </w:rPr>
            </w:r>
            <w:r>
              <w:rPr>
                <w:rFonts w:eastAsia="Calibri"/>
                <w:sz w:val="20"/>
                <w:szCs w:val="20"/>
                <w:lang w:eastAsia="en-US"/>
              </w:rPr>
            </w:r>
          </w:p>
          <w:p>
            <w:pPr>
              <w:pStyle w:val="1135"/>
              <w:jc w:val="center"/>
              <w:rPr>
                <w:rFonts w:eastAsia="Calibri"/>
                <w:sz w:val="20"/>
                <w:szCs w:val="20"/>
                <w:lang w:eastAsia="en-US"/>
              </w:rPr>
            </w:pPr>
            <w:r>
              <w:rPr>
                <w:rFonts w:eastAsia="Calibri"/>
                <w:sz w:val="20"/>
                <w:szCs w:val="20"/>
                <w:lang w:eastAsia="en-US"/>
              </w:rPr>
              <w:t xml:space="preserve">73 руб. в день</w:t>
            </w:r>
            <w:r>
              <w:rPr>
                <w:rFonts w:eastAsia="Calibri"/>
                <w:sz w:val="20"/>
                <w:szCs w:val="20"/>
                <w:lang w:eastAsia="en-US"/>
              </w:rPr>
            </w:r>
            <w:r>
              <w:rPr>
                <w:rFonts w:eastAsia="Calibri"/>
                <w:sz w:val="20"/>
                <w:szCs w:val="20"/>
                <w:lang w:eastAsia="en-US"/>
              </w:rPr>
            </w:r>
          </w:p>
          <w:p>
            <w:pPr>
              <w:pStyle w:val="1135"/>
              <w:jc w:val="center"/>
              <w:rPr>
                <w:rFonts w:eastAsia="Calibri"/>
                <w:sz w:val="20"/>
                <w:szCs w:val="20"/>
                <w:lang w:eastAsia="en-US"/>
              </w:rPr>
            </w:pPr>
            <w:r>
              <w:rPr>
                <w:rFonts w:eastAsia="Calibri"/>
                <w:sz w:val="20"/>
                <w:szCs w:val="20"/>
                <w:lang w:eastAsia="en-US"/>
              </w:rPr>
              <w:t xml:space="preserve">64 руб. в день</w:t>
            </w:r>
            <w:r>
              <w:rPr>
                <w:rFonts w:eastAsia="Calibri"/>
                <w:sz w:val="20"/>
                <w:szCs w:val="20"/>
                <w:lang w:eastAsia="en-US"/>
              </w:rPr>
            </w:r>
            <w:r>
              <w:rPr>
                <w:rFonts w:eastAsia="Calibri"/>
                <w:sz w:val="20"/>
                <w:szCs w:val="20"/>
                <w:lang w:eastAsia="en-US"/>
              </w:rPr>
            </w:r>
          </w:p>
          <w:p>
            <w:pPr>
              <w:pStyle w:val="1135"/>
              <w:jc w:val="center"/>
              <w:rPr>
                <w:rFonts w:eastAsia="Calibri"/>
                <w:bCs/>
                <w:sz w:val="20"/>
                <w:szCs w:val="20"/>
                <w:lang w:eastAsia="en-US"/>
              </w:rPr>
            </w:pPr>
            <w:r>
              <w:rPr>
                <w:rFonts w:eastAsia="Calibri"/>
                <w:sz w:val="20"/>
                <w:szCs w:val="20"/>
                <w:lang w:eastAsia="en-US"/>
              </w:rPr>
              <w:t xml:space="preserve">46 руб. в день</w:t>
            </w:r>
            <w:r>
              <w:rPr>
                <w:rFonts w:eastAsia="Calibri"/>
                <w:bCs/>
                <w:sz w:val="20"/>
                <w:szCs w:val="20"/>
                <w:lang w:eastAsia="en-US"/>
              </w:rPr>
            </w:r>
            <w:r>
              <w:rPr>
                <w:rFonts w:eastAsia="Calibri"/>
                <w:bCs/>
                <w:sz w:val="20"/>
                <w:szCs w:val="20"/>
                <w:lang w:eastAsia="en-US"/>
              </w:rPr>
            </w:r>
          </w:p>
        </w:tc>
        <w:tc>
          <w:tcPr>
            <w:tcBorders>
              <w:left w:val="single" w:color="000000" w:sz="4" w:space="0"/>
              <w:right w:val="single" w:color="000000" w:sz="4" w:space="0"/>
            </w:tcBorders>
            <w:tcW w:w="3367" w:type="dxa"/>
            <w:vAlign w:val="center"/>
            <w:vMerge w:val="continue"/>
            <w:textDirection w:val="lrTb"/>
            <w:noWrap w:val="false"/>
          </w:tcPr>
          <w:p>
            <w:pPr>
              <w:pStyle w:val="1135"/>
              <w:jc w:val="center"/>
              <w:rPr>
                <w:rFonts w:eastAsia="Calibri"/>
                <w:bCs/>
                <w:i/>
                <w:sz w:val="20"/>
                <w:szCs w:val="20"/>
                <w:lang w:eastAsia="en-US"/>
              </w:rPr>
            </w:pPr>
            <w:r>
              <w:rPr>
                <w:rFonts w:eastAsia="Calibri"/>
                <w:bCs/>
                <w:i/>
                <w:sz w:val="20"/>
                <w:szCs w:val="20"/>
                <w:lang w:eastAsia="en-US"/>
              </w:rPr>
            </w:r>
            <w:r>
              <w:rPr>
                <w:rFonts w:eastAsia="Calibri"/>
                <w:bCs/>
                <w:i/>
                <w:sz w:val="20"/>
                <w:szCs w:val="20"/>
                <w:lang w:eastAsia="en-US"/>
              </w:rPr>
            </w:r>
            <w:r>
              <w:rPr>
                <w:rFonts w:eastAsia="Calibri"/>
                <w:bCs/>
                <w: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35"/>
              <w:jc w:val="center"/>
              <w:rPr>
                <w:rFonts w:eastAsia="Calibri"/>
                <w:bCs/>
                <w:sz w:val="20"/>
                <w:szCs w:val="20"/>
                <w:lang w:eastAsia="en-US"/>
              </w:rPr>
            </w:pPr>
            <w:r>
              <w:rPr>
                <w:rFonts w:eastAsia="Calibri"/>
                <w:bCs/>
                <w:sz w:val="20"/>
                <w:szCs w:val="20"/>
                <w:lang w:eastAsia="en-US"/>
              </w:rPr>
              <w:t xml:space="preserve">9.1.6.</w:t>
            </w:r>
            <w:r>
              <w:rPr>
                <w:rFonts w:eastAsia="Calibri"/>
                <w:bCs/>
                <w:sz w:val="20"/>
                <w:szCs w:val="20"/>
                <w:lang w:eastAsia="en-US"/>
              </w:rPr>
            </w:r>
            <w:r>
              <w:rPr>
                <w:rFonts w:eastAsia="Calibri"/>
                <w:bCs/>
                <w:sz w:val="20"/>
                <w:szCs w:val="20"/>
                <w:lang w:eastAsia="en-US"/>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135"/>
              <w:jc w:val="both"/>
              <w:rPr>
                <w:rFonts w:eastAsia="Calibri"/>
                <w:bCs/>
                <w:sz w:val="20"/>
                <w:szCs w:val="20"/>
                <w:lang w:eastAsia="en-US"/>
              </w:rPr>
            </w:pPr>
            <w:r>
              <w:rPr>
                <w:rFonts w:eastAsia="Calibri"/>
                <w:bCs/>
                <w:sz w:val="20"/>
                <w:szCs w:val="20"/>
                <w:lang w:eastAsia="en-US"/>
              </w:rPr>
              <w:t xml:space="preserve">Размер сейфовой ячейки </w:t>
              <w:br w:type="textWrapping" w:clear="all"/>
              <w:t xml:space="preserve">от 516 (по высоте, мм)</w:t>
            </w:r>
            <w:r>
              <w:rPr>
                <w:rFonts w:eastAsia="Calibri"/>
                <w:bCs/>
                <w:sz w:val="20"/>
                <w:szCs w:val="20"/>
                <w:lang w:eastAsia="en-US"/>
              </w:rPr>
            </w:r>
            <w:r>
              <w:rPr>
                <w:rFonts w:eastAsia="Calibri"/>
                <w:bCs/>
                <w:sz w:val="20"/>
                <w:szCs w:val="20"/>
                <w:lang w:eastAsia="en-US"/>
              </w:rPr>
            </w:r>
          </w:p>
          <w:p>
            <w:pPr>
              <w:pStyle w:val="1135"/>
              <w:jc w:val="both"/>
              <w:rPr>
                <w:rFonts w:eastAsia="Calibri"/>
                <w:sz w:val="20"/>
                <w:szCs w:val="20"/>
                <w:lang w:eastAsia="en-US"/>
              </w:rPr>
            </w:pPr>
            <w:r>
              <w:rPr>
                <w:rFonts w:eastAsia="Calibri"/>
                <w:sz w:val="20"/>
                <w:szCs w:val="20"/>
                <w:lang w:eastAsia="en-US"/>
              </w:rPr>
              <w:t xml:space="preserve">- на срок от 1 до 7 дней</w:t>
            </w:r>
            <w:r>
              <w:rPr>
                <w:rFonts w:eastAsia="Calibri"/>
                <w:sz w:val="20"/>
                <w:szCs w:val="20"/>
                <w:lang w:eastAsia="en-US"/>
              </w:rPr>
            </w:r>
            <w:r>
              <w:rPr>
                <w:rFonts w:eastAsia="Calibri"/>
                <w:sz w:val="20"/>
                <w:szCs w:val="20"/>
                <w:lang w:eastAsia="en-US"/>
              </w:rPr>
            </w:r>
          </w:p>
          <w:p>
            <w:pPr>
              <w:pStyle w:val="1135"/>
              <w:jc w:val="both"/>
              <w:rPr>
                <w:rFonts w:eastAsia="Calibri"/>
                <w:sz w:val="20"/>
                <w:szCs w:val="20"/>
                <w:lang w:eastAsia="en-US"/>
              </w:rPr>
            </w:pPr>
            <w:r>
              <w:rPr>
                <w:rFonts w:eastAsia="Calibri"/>
                <w:sz w:val="20"/>
                <w:szCs w:val="20"/>
                <w:lang w:eastAsia="en-US"/>
              </w:rPr>
              <w:t xml:space="preserve">- на срок от 8 до 14 дней</w:t>
            </w:r>
            <w:r>
              <w:rPr>
                <w:rFonts w:eastAsia="Calibri"/>
                <w:sz w:val="20"/>
                <w:szCs w:val="20"/>
                <w:lang w:eastAsia="en-US"/>
              </w:rPr>
            </w:r>
            <w:r>
              <w:rPr>
                <w:rFonts w:eastAsia="Calibri"/>
                <w:sz w:val="20"/>
                <w:szCs w:val="20"/>
                <w:lang w:eastAsia="en-US"/>
              </w:rPr>
            </w:r>
          </w:p>
          <w:p>
            <w:pPr>
              <w:pStyle w:val="1135"/>
              <w:jc w:val="both"/>
              <w:rPr>
                <w:rFonts w:eastAsia="Calibri"/>
                <w:sz w:val="20"/>
                <w:szCs w:val="20"/>
                <w:lang w:eastAsia="en-US"/>
              </w:rPr>
            </w:pPr>
            <w:r>
              <w:rPr>
                <w:rFonts w:eastAsia="Calibri"/>
                <w:sz w:val="20"/>
                <w:szCs w:val="20"/>
                <w:lang w:eastAsia="en-US"/>
              </w:rPr>
              <w:t xml:space="preserve">- на срок от 15 до 30 дней</w:t>
            </w:r>
            <w:r>
              <w:rPr>
                <w:rFonts w:eastAsia="Calibri"/>
                <w:sz w:val="20"/>
                <w:szCs w:val="20"/>
                <w:lang w:eastAsia="en-US"/>
              </w:rPr>
            </w:r>
            <w:r>
              <w:rPr>
                <w:rFonts w:eastAsia="Calibri"/>
                <w:sz w:val="20"/>
                <w:szCs w:val="20"/>
                <w:lang w:eastAsia="en-US"/>
              </w:rPr>
            </w:r>
          </w:p>
          <w:p>
            <w:pPr>
              <w:pStyle w:val="1135"/>
              <w:jc w:val="both"/>
              <w:rPr>
                <w:rFonts w:eastAsia="Calibri"/>
                <w:sz w:val="20"/>
                <w:szCs w:val="20"/>
                <w:lang w:eastAsia="en-US"/>
              </w:rPr>
            </w:pPr>
            <w:r>
              <w:rPr>
                <w:rFonts w:eastAsia="Calibri"/>
                <w:sz w:val="20"/>
                <w:szCs w:val="20"/>
                <w:lang w:eastAsia="en-US"/>
              </w:rPr>
              <w:t xml:space="preserve">- на срок от 31 до 90 дней</w:t>
            </w:r>
            <w:r>
              <w:rPr>
                <w:rFonts w:eastAsia="Calibri"/>
                <w:sz w:val="20"/>
                <w:szCs w:val="20"/>
                <w:lang w:eastAsia="en-US"/>
              </w:rPr>
            </w:r>
            <w:r>
              <w:rPr>
                <w:rFonts w:eastAsia="Calibri"/>
                <w:sz w:val="20"/>
                <w:szCs w:val="20"/>
                <w:lang w:eastAsia="en-US"/>
              </w:rPr>
            </w:r>
          </w:p>
          <w:p>
            <w:pPr>
              <w:pStyle w:val="1135"/>
              <w:jc w:val="both"/>
              <w:rPr>
                <w:rFonts w:eastAsia="Calibri"/>
                <w:sz w:val="20"/>
                <w:szCs w:val="20"/>
                <w:lang w:eastAsia="en-US"/>
              </w:rPr>
            </w:pPr>
            <w:r>
              <w:rPr>
                <w:rFonts w:eastAsia="Calibri"/>
                <w:sz w:val="20"/>
                <w:szCs w:val="20"/>
                <w:lang w:eastAsia="en-US"/>
              </w:rPr>
              <w:t xml:space="preserve">- на срок от 91 до 180 дней</w:t>
            </w:r>
            <w:r>
              <w:rPr>
                <w:rFonts w:eastAsia="Calibri"/>
                <w:sz w:val="20"/>
                <w:szCs w:val="20"/>
                <w:lang w:eastAsia="en-US"/>
              </w:rPr>
            </w:r>
            <w:r>
              <w:rPr>
                <w:rFonts w:eastAsia="Calibri"/>
                <w:sz w:val="20"/>
                <w:szCs w:val="20"/>
                <w:lang w:eastAsia="en-US"/>
              </w:rPr>
            </w:r>
          </w:p>
          <w:p>
            <w:pPr>
              <w:pStyle w:val="1135"/>
              <w:jc w:val="both"/>
              <w:spacing w:after="120"/>
              <w:rPr>
                <w:rFonts w:eastAsia="Calibri"/>
                <w:bCs/>
                <w:sz w:val="20"/>
                <w:szCs w:val="20"/>
                <w:lang w:eastAsia="en-US"/>
              </w:rPr>
            </w:pPr>
            <w:r>
              <w:rPr>
                <w:rFonts w:eastAsia="Calibri"/>
                <w:sz w:val="20"/>
                <w:szCs w:val="20"/>
                <w:lang w:eastAsia="en-US"/>
              </w:rPr>
              <w:t xml:space="preserve">- на срок от 181 до 365 дней</w:t>
            </w:r>
            <w:r>
              <w:rPr>
                <w:rFonts w:eastAsia="Calibri"/>
                <w:bCs/>
                <w:sz w:val="20"/>
                <w:szCs w:val="20"/>
                <w:lang w:eastAsia="en-US"/>
              </w:rPr>
            </w:r>
            <w:r>
              <w:rPr>
                <w:rFonts w:eastAsia="Calibri"/>
                <w:bCs/>
                <w:sz w:val="20"/>
                <w:szCs w:val="20"/>
                <w:lang w:eastAsia="en-US"/>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135"/>
              <w:jc w:val="center"/>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35"/>
              <w:jc w:val="center"/>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35"/>
              <w:jc w:val="center"/>
              <w:rPr>
                <w:rFonts w:eastAsia="Calibri"/>
                <w:sz w:val="20"/>
                <w:szCs w:val="20"/>
                <w:lang w:eastAsia="en-US"/>
              </w:rPr>
            </w:pPr>
            <w:r>
              <w:rPr>
                <w:rFonts w:eastAsia="Calibri"/>
                <w:sz w:val="20"/>
                <w:szCs w:val="20"/>
                <w:lang w:eastAsia="en-US"/>
              </w:rPr>
              <w:t xml:space="preserve">Услуга не предоставляется</w:t>
            </w:r>
            <w:r>
              <w:rPr>
                <w:rFonts w:eastAsia="Calibri"/>
                <w:sz w:val="20"/>
                <w:szCs w:val="20"/>
                <w:lang w:eastAsia="en-US"/>
              </w:rPr>
            </w:r>
            <w:r>
              <w:rPr>
                <w:rFonts w:eastAsia="Calibri"/>
                <w:sz w:val="20"/>
                <w:szCs w:val="20"/>
                <w:lang w:eastAsia="en-US"/>
              </w:rPr>
            </w:r>
          </w:p>
        </w:tc>
        <w:tc>
          <w:tcPr>
            <w:tcBorders>
              <w:left w:val="single" w:color="000000" w:sz="4" w:space="0"/>
              <w:right w:val="single" w:color="000000" w:sz="4" w:space="0"/>
            </w:tcBorders>
            <w:tcW w:w="3367" w:type="dxa"/>
            <w:vAlign w:val="center"/>
            <w:vMerge w:val="continue"/>
            <w:textDirection w:val="lrTb"/>
            <w:noWrap w:val="false"/>
          </w:tcPr>
          <w:p>
            <w:pPr>
              <w:pStyle w:val="1135"/>
              <w:jc w:val="center"/>
              <w:rPr>
                <w:rFonts w:eastAsia="Calibri"/>
                <w:bCs/>
                <w:i/>
                <w:sz w:val="20"/>
                <w:szCs w:val="20"/>
                <w:lang w:eastAsia="en-US"/>
              </w:rPr>
            </w:pPr>
            <w:r>
              <w:rPr>
                <w:rFonts w:eastAsia="Calibri"/>
                <w:bCs/>
                <w:i/>
                <w:sz w:val="20"/>
                <w:szCs w:val="20"/>
                <w:lang w:eastAsia="en-US"/>
              </w:rPr>
            </w:r>
            <w:r>
              <w:rPr>
                <w:rFonts w:eastAsia="Calibri"/>
                <w:bCs/>
                <w:i/>
                <w:sz w:val="20"/>
                <w:szCs w:val="20"/>
                <w:lang w:eastAsia="en-US"/>
              </w:rPr>
            </w:r>
            <w:r>
              <w:rPr>
                <w:rFonts w:eastAsia="Calibri"/>
                <w:bCs/>
                <w: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35"/>
              <w:jc w:val="center"/>
              <w:spacing w:before="120" w:after="120"/>
              <w:rPr>
                <w:rFonts w:eastAsia="Calibri"/>
                <w:bCs/>
                <w:sz w:val="20"/>
                <w:szCs w:val="20"/>
                <w:lang w:eastAsia="en-US"/>
              </w:rPr>
            </w:pPr>
            <w:r>
              <w:rPr>
                <w:rFonts w:eastAsia="Calibri"/>
                <w:bCs/>
                <w:sz w:val="20"/>
                <w:szCs w:val="20"/>
                <w:lang w:eastAsia="en-US"/>
              </w:rPr>
              <w:t xml:space="preserve">9.2.</w:t>
            </w:r>
            <w:r>
              <w:rPr>
                <w:rFonts w:eastAsia="Calibri"/>
                <w:bCs/>
                <w:sz w:val="20"/>
                <w:szCs w:val="20"/>
                <w:lang w:eastAsia="en-US"/>
              </w:rPr>
            </w:r>
            <w:r>
              <w:rPr>
                <w:rFonts w:eastAsia="Calibri"/>
                <w:bCs/>
                <w:sz w:val="20"/>
                <w:szCs w:val="20"/>
                <w:lang w:eastAsia="en-US"/>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135"/>
              <w:jc w:val="both"/>
              <w:spacing w:before="120" w:after="120"/>
              <w:rPr>
                <w:rFonts w:eastAsia="Calibri"/>
                <w:sz w:val="20"/>
                <w:szCs w:val="20"/>
                <w:lang w:eastAsia="en-US"/>
              </w:rPr>
            </w:pPr>
            <w:r>
              <w:rPr>
                <w:rFonts w:eastAsia="Calibri"/>
                <w:sz w:val="20"/>
                <w:szCs w:val="20"/>
                <w:lang w:eastAsia="en-US"/>
              </w:rPr>
              <w:t xml:space="preserve">Предоставление единовременного доступа к сейфовой ячейке одновременно с клиентом (его представителем) лица, его сопровождающего</w:t>
            </w:r>
            <w:r>
              <w:rPr>
                <w:rFonts w:eastAsia="Calibri"/>
                <w:sz w:val="20"/>
                <w:szCs w:val="20"/>
                <w:lang w:eastAsia="en-US"/>
              </w:rPr>
            </w:r>
            <w:r>
              <w:rPr>
                <w:rFonts w:eastAsia="Calibri"/>
                <w:sz w:val="20"/>
                <w:szCs w:val="20"/>
                <w:lang w:eastAsia="en-US"/>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135"/>
              <w:jc w:val="center"/>
              <w:spacing w:before="120" w:after="120"/>
              <w:rPr>
                <w:rFonts w:eastAsia="Calibri"/>
                <w:bCs/>
                <w:sz w:val="20"/>
                <w:szCs w:val="20"/>
                <w:lang w:eastAsia="en-US"/>
              </w:rPr>
            </w:pPr>
            <w:r>
              <w:rPr>
                <w:rFonts w:eastAsia="Calibri"/>
                <w:color w:val="000000"/>
                <w:sz w:val="20"/>
                <w:szCs w:val="20"/>
                <w:lang w:eastAsia="en-US"/>
              </w:rPr>
              <w:t xml:space="preserve">210 руб. </w:t>
              <w:br w:type="textWrapping" w:clear="all"/>
              <w:t xml:space="preserve">за каждое посещение</w:t>
            </w:r>
            <w:r>
              <w:rPr>
                <w:rFonts w:eastAsia="Calibri"/>
                <w:bCs/>
                <w:sz w:val="20"/>
                <w:szCs w:val="20"/>
                <w:lang w:eastAsia="en-US"/>
              </w:rPr>
            </w:r>
            <w:r>
              <w:rPr>
                <w:rFonts w:eastAsia="Calibri"/>
                <w:bCs/>
                <w:sz w:val="20"/>
                <w:szCs w:val="20"/>
                <w:lang w:eastAsia="en-US"/>
              </w:rPr>
            </w:r>
          </w:p>
        </w:tc>
        <w:tc>
          <w:tcPr>
            <w:tcBorders>
              <w:top w:val="single" w:color="000000" w:sz="4" w:space="0"/>
              <w:left w:val="single" w:color="000000" w:sz="4" w:space="0"/>
              <w:bottom w:val="single" w:color="000000" w:sz="4" w:space="0"/>
              <w:right w:val="single" w:color="000000" w:sz="4" w:space="0"/>
            </w:tcBorders>
            <w:tcW w:w="3367" w:type="dxa"/>
            <w:vAlign w:val="top"/>
            <w:textDirection w:val="lrTb"/>
            <w:noWrap w:val="false"/>
          </w:tcPr>
          <w:p>
            <w:pPr>
              <w:pStyle w:val="1135"/>
              <w:jc w:val="both"/>
              <w:spacing w:before="120" w:after="120"/>
              <w:rPr>
                <w:rFonts w:eastAsia="Calibri"/>
                <w:bCs/>
                <w:sz w:val="20"/>
                <w:szCs w:val="20"/>
                <w:lang w:eastAsia="en-US"/>
              </w:rPr>
            </w:pPr>
            <w:r>
              <w:rPr>
                <w:rFonts w:eastAsia="Calibri"/>
                <w:bCs/>
                <w:sz w:val="20"/>
                <w:szCs w:val="20"/>
                <w:lang w:eastAsia="en-US"/>
              </w:rPr>
              <w:t xml:space="preserve">Тариф включает НДС и уплачивается в момент предоставления услуги</w:t>
            </w:r>
            <w:r>
              <w:rPr>
                <w:rFonts w:eastAsia="Calibri"/>
                <w:bCs/>
                <w:sz w:val="20"/>
                <w:szCs w:val="20"/>
                <w:lang w:eastAsia="en-US"/>
              </w:rPr>
            </w:r>
            <w:r>
              <w:rPr>
                <w:rFonts w:eastAsia="Calibri"/>
                <w:b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35"/>
              <w:jc w:val="center"/>
              <w:spacing w:before="120" w:after="120"/>
              <w:rPr>
                <w:rFonts w:eastAsia="Calibri"/>
                <w:bCs/>
                <w:sz w:val="20"/>
                <w:szCs w:val="20"/>
                <w:lang w:eastAsia="en-US"/>
              </w:rPr>
            </w:pPr>
            <w:r>
              <w:rPr>
                <w:rFonts w:eastAsia="Calibri"/>
                <w:bCs/>
                <w:sz w:val="20"/>
                <w:szCs w:val="20"/>
                <w:lang w:eastAsia="en-US"/>
              </w:rPr>
              <w:t xml:space="preserve">9.3.</w:t>
            </w:r>
            <w:r>
              <w:rPr>
                <w:rFonts w:eastAsia="Calibri"/>
                <w:bCs/>
                <w:sz w:val="20"/>
                <w:szCs w:val="20"/>
                <w:lang w:eastAsia="en-US"/>
              </w:rPr>
            </w:r>
            <w:r>
              <w:rPr>
                <w:rFonts w:eastAsia="Calibri"/>
                <w:bCs/>
                <w:sz w:val="20"/>
                <w:szCs w:val="20"/>
                <w:lang w:eastAsia="en-US"/>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135"/>
              <w:jc w:val="both"/>
              <w:spacing w:before="120" w:after="120"/>
              <w:rPr>
                <w:rFonts w:eastAsia="Calibri"/>
                <w:sz w:val="20"/>
                <w:szCs w:val="20"/>
                <w:lang w:eastAsia="en-US"/>
              </w:rPr>
            </w:pPr>
            <w:r>
              <w:rPr>
                <w:rFonts w:eastAsia="Calibri"/>
                <w:sz w:val="20"/>
                <w:szCs w:val="20"/>
                <w:lang w:eastAsia="en-US"/>
              </w:rPr>
              <w:t xml:space="preserve">Неустойка (штраф) за утрату/порчу ключей, порчу замка сейфовой ячейки и/или сейфовой ячейки</w:t>
            </w:r>
            <w:r>
              <w:rPr>
                <w:rFonts w:eastAsia="Calibri"/>
                <w:sz w:val="20"/>
                <w:szCs w:val="20"/>
                <w:lang w:eastAsia="en-US"/>
              </w:rPr>
            </w:r>
            <w:r>
              <w:rPr>
                <w:rFonts w:eastAsia="Calibri"/>
                <w:sz w:val="20"/>
                <w:szCs w:val="20"/>
                <w:lang w:eastAsia="en-US"/>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135"/>
              <w:jc w:val="center"/>
              <w:spacing w:before="120" w:after="120"/>
              <w:rPr>
                <w:rFonts w:eastAsia="Calibri"/>
                <w:bCs/>
                <w:sz w:val="20"/>
                <w:szCs w:val="20"/>
                <w:lang w:eastAsia="en-US"/>
              </w:rPr>
            </w:pPr>
            <w:r>
              <w:rPr>
                <w:rFonts w:eastAsia="Calibri"/>
                <w:bCs/>
                <w:sz w:val="20"/>
                <w:szCs w:val="20"/>
                <w:lang w:eastAsia="en-US"/>
              </w:rPr>
              <w:t xml:space="preserve">6000 руб.</w:t>
            </w:r>
            <w:r>
              <w:rPr>
                <w:rFonts w:eastAsia="Calibri"/>
                <w:bCs/>
                <w:sz w:val="20"/>
                <w:szCs w:val="20"/>
                <w:lang w:eastAsia="en-US"/>
              </w:rPr>
            </w:r>
            <w:r>
              <w:rPr>
                <w:rFonts w:eastAsia="Calibri"/>
                <w:bCs/>
                <w:sz w:val="20"/>
                <w:szCs w:val="20"/>
                <w:lang w:eastAsia="en-US"/>
              </w:rPr>
            </w:r>
          </w:p>
        </w:tc>
        <w:tc>
          <w:tcPr>
            <w:tcBorders>
              <w:top w:val="single" w:color="000000" w:sz="4" w:space="0"/>
              <w:left w:val="single" w:color="000000" w:sz="4" w:space="0"/>
              <w:bottom w:val="single" w:color="000000" w:sz="4" w:space="0"/>
              <w:right w:val="single" w:color="000000" w:sz="4" w:space="0"/>
            </w:tcBorders>
            <w:tcW w:w="3367" w:type="dxa"/>
            <w:vAlign w:val="top"/>
            <w:textDirection w:val="lrTb"/>
            <w:noWrap w:val="false"/>
          </w:tcPr>
          <w:p>
            <w:pPr>
              <w:pStyle w:val="1135"/>
              <w:jc w:val="both"/>
              <w:spacing w:before="120" w:after="120"/>
              <w:rPr>
                <w:rFonts w:eastAsia="Calibri"/>
                <w:bCs/>
                <w:sz w:val="20"/>
                <w:szCs w:val="20"/>
                <w:lang w:eastAsia="en-US"/>
              </w:rPr>
            </w:pPr>
            <w:r>
              <w:rPr>
                <w:rFonts w:eastAsia="Calibri"/>
                <w:bCs/>
                <w:sz w:val="20"/>
                <w:szCs w:val="20"/>
                <w:lang w:eastAsia="en-US"/>
              </w:rPr>
              <w:t xml:space="preserve">Сумма неустойки уплачивается в день получения Банком уведомления Клиента об утрате/порче ключей, порче замка сейфовой ячейки и/или сейфовой ячейки</w:t>
            </w:r>
            <w:r>
              <w:rPr>
                <w:rFonts w:eastAsia="Calibri"/>
                <w:bCs/>
                <w:sz w:val="20"/>
                <w:szCs w:val="20"/>
                <w:lang w:eastAsia="en-US"/>
              </w:rPr>
            </w:r>
            <w:r>
              <w:rPr>
                <w:rFonts w:eastAsia="Calibri"/>
                <w:b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35"/>
              <w:jc w:val="center"/>
              <w:spacing w:before="120" w:after="120"/>
              <w:rPr>
                <w:rFonts w:eastAsia="Calibri"/>
                <w:bCs/>
                <w:sz w:val="20"/>
                <w:szCs w:val="20"/>
                <w:lang w:eastAsia="en-US"/>
              </w:rPr>
            </w:pPr>
            <w:r>
              <w:rPr>
                <w:rFonts w:eastAsia="Calibri"/>
                <w:bCs/>
                <w:sz w:val="20"/>
                <w:szCs w:val="20"/>
                <w:lang w:eastAsia="en-US"/>
              </w:rPr>
              <w:t xml:space="preserve">9.4.</w:t>
            </w:r>
            <w:r>
              <w:rPr>
                <w:rFonts w:eastAsia="Calibri"/>
                <w:bCs/>
                <w:sz w:val="20"/>
                <w:szCs w:val="20"/>
                <w:lang w:eastAsia="en-US"/>
              </w:rPr>
            </w:r>
            <w:r>
              <w:rPr>
                <w:rFonts w:eastAsia="Calibri"/>
                <w:bCs/>
                <w:sz w:val="20"/>
                <w:szCs w:val="20"/>
                <w:lang w:eastAsia="en-US"/>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135"/>
              <w:jc w:val="both"/>
              <w:spacing w:before="120" w:after="120"/>
              <w:rPr>
                <w:rFonts w:eastAsia="Calibri"/>
                <w:sz w:val="20"/>
                <w:szCs w:val="20"/>
                <w:lang w:eastAsia="en-US"/>
              </w:rPr>
            </w:pPr>
            <w:r>
              <w:rPr>
                <w:rFonts w:eastAsia="Calibri"/>
                <w:sz w:val="20"/>
                <w:szCs w:val="20"/>
                <w:lang w:eastAsia="en-US"/>
              </w:rPr>
              <w:t xml:space="preserve">Неустойка (штраф) за несвоевременный возврат ключей от сейфовой ячейки</w:t>
            </w:r>
            <w:r>
              <w:rPr>
                <w:rFonts w:eastAsia="Calibri"/>
                <w:sz w:val="20"/>
                <w:szCs w:val="20"/>
                <w:lang w:eastAsia="en-US"/>
              </w:rPr>
            </w:r>
            <w:r>
              <w:rPr>
                <w:rFonts w:eastAsia="Calibri"/>
                <w:sz w:val="20"/>
                <w:szCs w:val="20"/>
                <w:lang w:eastAsia="en-US"/>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135"/>
              <w:jc w:val="center"/>
              <w:spacing w:before="120" w:after="120"/>
              <w:rPr>
                <w:rFonts w:eastAsia="Calibri"/>
                <w:bCs/>
                <w:sz w:val="20"/>
                <w:szCs w:val="20"/>
                <w:lang w:eastAsia="en-US"/>
              </w:rPr>
            </w:pPr>
            <w:r>
              <w:rPr>
                <w:rFonts w:eastAsia="Calibri"/>
                <w:bCs/>
                <w:sz w:val="20"/>
                <w:szCs w:val="20"/>
                <w:lang w:eastAsia="en-US"/>
              </w:rPr>
              <w:t xml:space="preserve">500 руб.</w:t>
            </w:r>
            <w:r>
              <w:rPr>
                <w:rFonts w:eastAsia="Calibri"/>
                <w:bCs/>
                <w:sz w:val="20"/>
                <w:szCs w:val="20"/>
                <w:lang w:eastAsia="en-US"/>
              </w:rPr>
            </w:r>
            <w:r>
              <w:rPr>
                <w:rFonts w:eastAsia="Calibri"/>
                <w:bCs/>
                <w:sz w:val="20"/>
                <w:szCs w:val="20"/>
                <w:lang w:eastAsia="en-US"/>
              </w:rPr>
            </w:r>
          </w:p>
        </w:tc>
        <w:tc>
          <w:tcPr>
            <w:tcBorders>
              <w:top w:val="single" w:color="000000" w:sz="4" w:space="0"/>
              <w:left w:val="single" w:color="000000" w:sz="4" w:space="0"/>
              <w:bottom w:val="single" w:color="000000" w:sz="4" w:space="0"/>
              <w:right w:val="single" w:color="000000" w:sz="4" w:space="0"/>
            </w:tcBorders>
            <w:tcW w:w="3367" w:type="dxa"/>
            <w:vAlign w:val="top"/>
            <w:textDirection w:val="lrTb"/>
            <w:noWrap w:val="false"/>
          </w:tcPr>
          <w:p>
            <w:pPr>
              <w:pStyle w:val="1135"/>
              <w:jc w:val="both"/>
              <w:spacing w:before="120" w:after="120"/>
              <w:rPr>
                <w:rFonts w:eastAsia="Calibri"/>
                <w:bCs/>
                <w:sz w:val="20"/>
                <w:szCs w:val="20"/>
                <w:lang w:eastAsia="en-US"/>
              </w:rPr>
            </w:pPr>
            <w:r>
              <w:rPr>
                <w:rFonts w:eastAsia="Calibri"/>
                <w:bCs/>
                <w:sz w:val="20"/>
                <w:szCs w:val="20"/>
                <w:lang w:eastAsia="en-US"/>
              </w:rPr>
              <w:t xml:space="preserve">Сумма неустойки уплачивается в день возврата ключа</w:t>
            </w:r>
            <w:r>
              <w:rPr>
                <w:rFonts w:eastAsia="Calibri"/>
                <w:bCs/>
                <w:sz w:val="20"/>
                <w:szCs w:val="20"/>
                <w:lang w:eastAsia="en-US"/>
              </w:rPr>
            </w:r>
            <w:r>
              <w:rPr>
                <w:rFonts w:eastAsia="Calibri"/>
                <w:b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35"/>
              <w:jc w:val="center"/>
              <w:spacing w:before="120" w:after="120"/>
              <w:rPr>
                <w:rFonts w:eastAsia="Calibri"/>
                <w:bCs/>
                <w:sz w:val="20"/>
                <w:szCs w:val="20"/>
                <w:lang w:eastAsia="en-US"/>
              </w:rPr>
            </w:pPr>
            <w:r>
              <w:rPr>
                <w:rFonts w:eastAsia="Calibri"/>
                <w:bCs/>
                <w:sz w:val="20"/>
                <w:szCs w:val="20"/>
                <w:lang w:eastAsia="en-US"/>
              </w:rPr>
              <w:t xml:space="preserve">9.5.</w:t>
            </w:r>
            <w:r>
              <w:rPr>
                <w:rFonts w:eastAsia="Calibri"/>
                <w:bCs/>
                <w:sz w:val="20"/>
                <w:szCs w:val="20"/>
                <w:lang w:eastAsia="en-US"/>
              </w:rPr>
            </w:r>
            <w:r>
              <w:rPr>
                <w:rFonts w:eastAsia="Calibri"/>
                <w:bCs/>
                <w:sz w:val="20"/>
                <w:szCs w:val="20"/>
                <w:lang w:eastAsia="en-US"/>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135"/>
              <w:jc w:val="both"/>
              <w:spacing w:before="120" w:after="120"/>
              <w:rPr>
                <w:rFonts w:eastAsia="Calibri"/>
                <w:sz w:val="20"/>
                <w:szCs w:val="20"/>
                <w:lang w:eastAsia="en-US"/>
              </w:rPr>
            </w:pPr>
            <w:r>
              <w:rPr>
                <w:rFonts w:eastAsia="Calibri"/>
                <w:sz w:val="20"/>
                <w:szCs w:val="20"/>
                <w:lang w:eastAsia="en-US"/>
              </w:rPr>
              <w:t xml:space="preserve">Единовременное предоставление в пользование клиенту специализированной банковской техники (счетчики банкнот, прибор(ы) для определения подлинности банкнот) в хранилище ценностей клиентов</w:t>
            </w:r>
            <w:r>
              <w:rPr>
                <w:rFonts w:eastAsia="Calibri"/>
                <w:sz w:val="20"/>
                <w:szCs w:val="20"/>
                <w:lang w:eastAsia="en-US"/>
              </w:rPr>
            </w:r>
            <w:r>
              <w:rPr>
                <w:rFonts w:eastAsia="Calibri"/>
                <w:sz w:val="20"/>
                <w:szCs w:val="20"/>
                <w:lang w:eastAsia="en-US"/>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135"/>
              <w:jc w:val="center"/>
              <w:spacing w:before="120" w:after="120"/>
              <w:rPr>
                <w:rFonts w:eastAsia="Calibri"/>
                <w:bCs/>
                <w:sz w:val="20"/>
                <w:szCs w:val="20"/>
                <w:lang w:eastAsia="en-US"/>
              </w:rPr>
            </w:pPr>
            <w:r>
              <w:rPr>
                <w:rFonts w:eastAsia="Calibri"/>
                <w:color w:val="000000"/>
                <w:sz w:val="20"/>
                <w:szCs w:val="20"/>
                <w:lang w:eastAsia="en-US"/>
              </w:rPr>
              <w:t xml:space="preserve">155 руб. </w:t>
              <w:br w:type="textWrapping" w:clear="all"/>
              <w:t xml:space="preserve">за единицу банковской техники</w:t>
            </w:r>
            <w:r>
              <w:rPr>
                <w:rFonts w:eastAsia="Calibri"/>
                <w:bCs/>
                <w:sz w:val="20"/>
                <w:szCs w:val="20"/>
                <w:lang w:eastAsia="en-US"/>
              </w:rPr>
            </w:r>
            <w:r>
              <w:rPr>
                <w:rFonts w:eastAsia="Calibri"/>
                <w:bCs/>
                <w:sz w:val="20"/>
                <w:szCs w:val="20"/>
                <w:lang w:eastAsia="en-US"/>
              </w:rPr>
            </w:r>
          </w:p>
        </w:tc>
        <w:tc>
          <w:tcPr>
            <w:tcBorders>
              <w:top w:val="single" w:color="000000" w:sz="4" w:space="0"/>
              <w:left w:val="single" w:color="000000" w:sz="4" w:space="0"/>
              <w:bottom w:val="single" w:color="000000" w:sz="4" w:space="0"/>
              <w:right w:val="single" w:color="000000" w:sz="4" w:space="0"/>
            </w:tcBorders>
            <w:tcW w:w="3367" w:type="dxa"/>
            <w:vAlign w:val="top"/>
            <w:textDirection w:val="lrTb"/>
            <w:noWrap w:val="false"/>
          </w:tcPr>
          <w:p>
            <w:pPr>
              <w:pStyle w:val="1135"/>
              <w:jc w:val="both"/>
              <w:spacing w:before="120" w:after="120"/>
              <w:rPr>
                <w:rFonts w:eastAsia="Calibri"/>
                <w:bCs/>
                <w:sz w:val="20"/>
                <w:szCs w:val="20"/>
                <w:lang w:eastAsia="en-US"/>
              </w:rPr>
            </w:pPr>
            <w:r>
              <w:rPr>
                <w:rFonts w:eastAsia="Calibri"/>
                <w:bCs/>
                <w:sz w:val="20"/>
                <w:szCs w:val="20"/>
                <w:lang w:eastAsia="en-US"/>
              </w:rPr>
              <w:t xml:space="preserve">Тариф включает НДС и уплачивается в момент предоставления услуги»</w:t>
            </w:r>
            <w:r>
              <w:rPr>
                <w:rFonts w:eastAsia="Calibri"/>
                <w:bCs/>
                <w:sz w:val="20"/>
                <w:szCs w:val="20"/>
                <w:lang w:eastAsia="en-US"/>
              </w:rPr>
            </w:r>
            <w:r>
              <w:rPr>
                <w:rFonts w:eastAsia="Calibri"/>
                <w:bCs/>
                <w:sz w:val="20"/>
                <w:szCs w:val="20"/>
                <w:lang w:eastAsia="en-US"/>
              </w:rPr>
            </w:r>
          </w:p>
        </w:tc>
      </w:tr>
    </w:tbl>
    <w:p>
      <w:pPr>
        <w:pStyle w:val="1135"/>
        <w:rPr>
          <w:sz w:val="20"/>
          <w:szCs w:val="20"/>
        </w:rPr>
      </w:pPr>
      <w:r>
        <w:rPr>
          <w:sz w:val="20"/>
          <w:szCs w:val="20"/>
        </w:rPr>
      </w:r>
      <w:r>
        <w:rPr>
          <w:sz w:val="20"/>
          <w:szCs w:val="20"/>
        </w:rPr>
      </w:r>
      <w:r>
        <w:rPr>
          <w:sz w:val="20"/>
          <w:szCs w:val="20"/>
        </w:rPr>
      </w:r>
    </w:p>
    <w:p>
      <w:pPr>
        <w:pStyle w:val="1139"/>
      </w:pPr>
      <w:r>
        <w:t xml:space="preserve">10.</w:t>
      </w:r>
      <w:r>
        <w:t xml:space="preserve"> </w:t>
      </w:r>
      <w:r>
        <w:t xml:space="preserve">Услуги инкассации</w:t>
      </w:r>
      <w:r/>
    </w:p>
    <w:p>
      <w:pPr>
        <w:pStyle w:val="1135"/>
      </w:pPr>
      <w:r/>
      <w:r/>
    </w:p>
    <w:tbl>
      <w:tblPr>
        <w:tblW w:w="1017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959"/>
        <w:gridCol w:w="3809"/>
        <w:gridCol w:w="2428"/>
        <w:gridCol w:w="29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center"/>
            <w:textDirection w:val="lrTb"/>
            <w:noWrap w:val="false"/>
          </w:tcPr>
          <w:p>
            <w:pPr>
              <w:pStyle w:val="1135"/>
              <w:jc w:val="center"/>
              <w:spacing w:before="40" w:after="40"/>
              <w:rPr>
                <w:b/>
                <w:bCs/>
                <w:sz w:val="20"/>
                <w:szCs w:val="20"/>
              </w:rPr>
            </w:pPr>
            <w:r>
              <w:rPr>
                <w:b/>
                <w:bCs/>
                <w:sz w:val="20"/>
                <w:szCs w:val="20"/>
              </w:rPr>
              <w:t xml:space="preserve">№</w:t>
              <w:br w:type="textWrapping" w:clear="all"/>
              <w:t xml:space="preserve">п/п</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3809" w:type="dxa"/>
            <w:vAlign w:val="center"/>
            <w:textDirection w:val="lrTb"/>
            <w:noWrap w:val="false"/>
          </w:tcPr>
          <w:p>
            <w:pPr>
              <w:pStyle w:val="1135"/>
              <w:jc w:val="center"/>
              <w:spacing w:before="40" w:after="40"/>
              <w:rPr>
                <w:b/>
                <w:bCs/>
                <w:sz w:val="20"/>
                <w:szCs w:val="20"/>
              </w:rPr>
            </w:pPr>
            <w:r>
              <w:rPr>
                <w:b/>
                <w:bCs/>
                <w:sz w:val="20"/>
                <w:szCs w:val="20"/>
              </w:rPr>
              <w:t xml:space="preserve">Наименование услуги</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2428" w:type="dxa"/>
            <w:vAlign w:val="center"/>
            <w:textDirection w:val="lrTb"/>
            <w:noWrap w:val="false"/>
          </w:tcPr>
          <w:p>
            <w:pPr>
              <w:pStyle w:val="1135"/>
              <w:jc w:val="center"/>
              <w:spacing w:before="40" w:after="40"/>
              <w:rPr>
                <w:b/>
                <w:bCs/>
                <w:sz w:val="20"/>
                <w:szCs w:val="20"/>
              </w:rPr>
            </w:pPr>
            <w:r>
              <w:rPr>
                <w:b/>
                <w:bCs/>
                <w:sz w:val="20"/>
                <w:szCs w:val="20"/>
              </w:rPr>
              <w:t xml:space="preserve">Тариф</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2977" w:type="dxa"/>
            <w:vAlign w:val="center"/>
            <w:textDirection w:val="lrTb"/>
            <w:noWrap w:val="false"/>
          </w:tcPr>
          <w:p>
            <w:pPr>
              <w:pStyle w:val="1135"/>
              <w:jc w:val="center"/>
              <w:spacing w:before="40" w:after="40"/>
              <w:rPr>
                <w:sz w:val="20"/>
                <w:szCs w:val="20"/>
              </w:rPr>
            </w:pPr>
            <w:r>
              <w:rPr>
                <w:b/>
                <w:bCs/>
                <w:sz w:val="20"/>
                <w:szCs w:val="20"/>
              </w:rPr>
              <w:t xml:space="preserve">Примечание</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135"/>
              <w:ind w:left="-51" w:firstLine="51"/>
              <w:jc w:val="center"/>
              <w:spacing w:before="40" w:after="40"/>
              <w:rPr>
                <w:bCs/>
                <w:sz w:val="20"/>
                <w:szCs w:val="20"/>
              </w:rPr>
            </w:pPr>
            <w:r>
              <w:rPr>
                <w:bCs/>
                <w:sz w:val="20"/>
                <w:szCs w:val="20"/>
              </w:rPr>
              <w:t xml:space="preserve">10.1.</w:t>
            </w:r>
            <w:r>
              <w:rPr>
                <w:bCs/>
                <w:sz w:val="20"/>
                <w:szCs w:val="20"/>
              </w:rPr>
            </w:r>
            <w:r>
              <w:rPr>
                <w:bCs/>
                <w:sz w:val="20"/>
                <w:szCs w:val="20"/>
              </w:rPr>
            </w:r>
          </w:p>
        </w:tc>
        <w:tc>
          <w:tcPr>
            <w:gridSpan w:val="3"/>
            <w:tcBorders>
              <w:top w:val="single" w:color="000000" w:sz="4" w:space="0"/>
              <w:left w:val="single" w:color="000000" w:sz="4" w:space="0"/>
              <w:bottom w:val="single" w:color="000000" w:sz="4" w:space="0"/>
              <w:right w:val="single" w:color="000000" w:sz="4" w:space="0"/>
            </w:tcBorders>
            <w:tcW w:w="9214" w:type="dxa"/>
            <w:vAlign w:val="top"/>
            <w:textDirection w:val="lrTb"/>
            <w:noWrap w:val="false"/>
          </w:tcPr>
          <w:p>
            <w:pPr>
              <w:pStyle w:val="1135"/>
              <w:ind w:left="-52" w:firstLine="52"/>
              <w:jc w:val="both"/>
              <w:spacing w:before="40" w:after="40"/>
              <w:rPr>
                <w:bCs/>
                <w:sz w:val="20"/>
                <w:szCs w:val="20"/>
              </w:rPr>
            </w:pPr>
            <w:r>
              <w:rPr>
                <w:bCs/>
                <w:sz w:val="20"/>
                <w:szCs w:val="20"/>
              </w:rPr>
              <w:t xml:space="preserve">Инкассация по договору с АО «Россельхозбанк»</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135"/>
              <w:ind w:left="-51" w:firstLine="51"/>
              <w:jc w:val="center"/>
              <w:spacing w:before="40" w:after="40"/>
              <w:rPr>
                <w:bCs/>
                <w:sz w:val="20"/>
                <w:szCs w:val="20"/>
              </w:rPr>
            </w:pPr>
            <w:r>
              <w:rPr>
                <w:bCs/>
                <w:sz w:val="20"/>
                <w:szCs w:val="20"/>
              </w:rPr>
              <w:t xml:space="preserve">10.1.1.</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809" w:type="dxa"/>
            <w:vAlign w:val="top"/>
            <w:textDirection w:val="lrTb"/>
            <w:noWrap w:val="false"/>
          </w:tcPr>
          <w:p>
            <w:pPr>
              <w:pStyle w:val="1135"/>
              <w:ind w:left="-51" w:firstLine="51"/>
              <w:spacing w:before="40"/>
              <w:rPr>
                <w:bCs/>
                <w:sz w:val="20"/>
                <w:szCs w:val="20"/>
              </w:rPr>
            </w:pPr>
            <w:r>
              <w:rPr>
                <w:bCs/>
                <w:sz w:val="20"/>
                <w:szCs w:val="20"/>
              </w:rPr>
              <w:t xml:space="preserve">Инкассация денежной наличности (рубли и иностранная валюта), в том числе внесенной через информационно-платежные терминалы:</w:t>
            </w:r>
            <w:r>
              <w:rPr>
                <w:bCs/>
                <w:sz w:val="20"/>
                <w:szCs w:val="20"/>
              </w:rPr>
            </w:r>
            <w:r>
              <w:rPr>
                <w:bCs/>
                <w:sz w:val="20"/>
                <w:szCs w:val="20"/>
              </w:rPr>
            </w:r>
          </w:p>
          <w:p>
            <w:pPr>
              <w:pStyle w:val="1135"/>
              <w:ind w:left="-51" w:firstLine="51"/>
              <w:spacing w:before="40"/>
              <w:rPr>
                <w:bCs/>
                <w:sz w:val="20"/>
                <w:szCs w:val="20"/>
              </w:rPr>
            </w:pPr>
            <w:r>
              <w:rPr>
                <w:bCs/>
                <w:sz w:val="20"/>
                <w:szCs w:val="20"/>
              </w:rPr>
              <w:t xml:space="preserve">- с доставкой в подразделение Банка*;</w:t>
            </w:r>
            <w:r>
              <w:rPr>
                <w:bCs/>
                <w:sz w:val="20"/>
                <w:szCs w:val="20"/>
              </w:rPr>
            </w:r>
            <w:r>
              <w:rPr>
                <w:bCs/>
                <w:sz w:val="20"/>
                <w:szCs w:val="20"/>
              </w:rPr>
            </w:r>
          </w:p>
          <w:p>
            <w:pPr>
              <w:pStyle w:val="1135"/>
              <w:ind w:left="176"/>
              <w:spacing w:before="40"/>
              <w:rPr>
                <w:bCs/>
                <w:sz w:val="20"/>
                <w:szCs w:val="20"/>
              </w:rPr>
            </w:pPr>
            <w:r>
              <w:rPr>
                <w:bCs/>
                <w:sz w:val="20"/>
                <w:szCs w:val="20"/>
              </w:rPr>
              <w:t xml:space="preserve">- с доставкой в другую кредитную организацию</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428" w:type="dxa"/>
            <w:vAlign w:val="top"/>
            <w:textDirection w:val="lrTb"/>
            <w:noWrap w:val="false"/>
          </w:tcPr>
          <w:p>
            <w:pPr>
              <w:pStyle w:val="1135"/>
              <w:ind w:left="-51" w:firstLine="51"/>
              <w:jc w:val="center"/>
              <w:spacing w:after="40"/>
              <w:rPr>
                <w:bCs/>
                <w:sz w:val="20"/>
                <w:szCs w:val="20"/>
              </w:rPr>
            </w:pPr>
            <w:r>
              <w:rPr>
                <w:sz w:val="20"/>
                <w:szCs w:val="20"/>
              </w:rPr>
              <w:t xml:space="preserve">Услуга не предоставляется</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977" w:type="dxa"/>
            <w:vAlign w:val="top"/>
            <w:textDirection w:val="lrTb"/>
            <w:noWrap w:val="false"/>
          </w:tcPr>
          <w:p>
            <w:pPr>
              <w:pStyle w:val="1135"/>
              <w:jc w:val="both"/>
              <w:spacing w:before="40"/>
              <w:rPr>
                <w:bCs/>
                <w:sz w:val="20"/>
                <w:szCs w:val="20"/>
              </w:rPr>
            </w:pPr>
            <w:r>
              <w:rPr>
                <w:bCs/>
                <w:sz w:val="20"/>
                <w:szCs w:val="20"/>
              </w:rPr>
              <w:t xml:space="preserve">Комиссия взимается от суммы перевозимой денежной наличности за один заезд*** в один объект инкассации****. </w:t>
            </w:r>
            <w:r>
              <w:rPr>
                <w:bCs/>
                <w:sz w:val="20"/>
                <w:szCs w:val="20"/>
              </w:rPr>
            </w:r>
            <w:r>
              <w:rPr>
                <w:bCs/>
                <w:sz w:val="20"/>
                <w:szCs w:val="20"/>
              </w:rPr>
            </w:r>
          </w:p>
          <w:p>
            <w:pPr>
              <w:pStyle w:val="1135"/>
              <w:jc w:val="both"/>
              <w:spacing w:before="40"/>
              <w:rPr>
                <w:bCs/>
                <w:sz w:val="20"/>
                <w:szCs w:val="20"/>
                <w:lang w:val="en-US"/>
              </w:rPr>
            </w:pPr>
            <w:r>
              <w:rPr>
                <w:bCs/>
                <w:sz w:val="20"/>
                <w:szCs w:val="20"/>
              </w:rPr>
              <w:t xml:space="preserve">Комиссия включает НДС.</w:t>
            </w:r>
            <w:r>
              <w:rPr>
                <w:bCs/>
                <w:sz w:val="20"/>
                <w:szCs w:val="20"/>
                <w:lang w:val="en-US"/>
              </w:rPr>
            </w:r>
            <w:r>
              <w:rPr>
                <w:bCs/>
                <w:sz w:val="20"/>
                <w:szCs w:val="20"/>
                <w:lang w:val="en-US"/>
              </w:rPr>
            </w:r>
          </w:p>
          <w:p>
            <w:pPr>
              <w:pStyle w:val="1135"/>
              <w:ind w:left="-52"/>
              <w:jc w:val="both"/>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135"/>
              <w:ind w:left="-51" w:firstLine="51"/>
              <w:jc w:val="center"/>
              <w:spacing w:before="40" w:after="40"/>
              <w:rPr>
                <w:bCs/>
                <w:sz w:val="20"/>
                <w:szCs w:val="20"/>
              </w:rPr>
            </w:pPr>
            <w:r>
              <w:rPr>
                <w:bCs/>
                <w:sz w:val="20"/>
                <w:szCs w:val="20"/>
              </w:rPr>
              <w:t xml:space="preserve">10.1.2.</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809" w:type="dxa"/>
            <w:vAlign w:val="top"/>
            <w:textDirection w:val="lrTb"/>
            <w:noWrap w:val="false"/>
          </w:tcPr>
          <w:p>
            <w:pPr>
              <w:pStyle w:val="1135"/>
              <w:ind w:left="-51" w:firstLine="51"/>
              <w:spacing w:before="40" w:after="40"/>
              <w:rPr>
                <w:bCs/>
                <w:sz w:val="20"/>
                <w:szCs w:val="20"/>
              </w:rPr>
            </w:pPr>
            <w:r>
              <w:rPr>
                <w:bCs/>
                <w:sz w:val="20"/>
                <w:szCs w:val="20"/>
              </w:rPr>
              <w:t xml:space="preserve">Прием, пересчет ден</w:t>
            </w:r>
            <w:r>
              <w:rPr>
                <w:bCs/>
                <w:sz w:val="20"/>
                <w:szCs w:val="20"/>
              </w:rPr>
              <w:t xml:space="preserve">ежной наличности, поступившей в инкассаторских сумках или других средствах для упаковки денежной наличности, доставленных инкассаторскими работниками АО «Россельхозбанк», с переводом денежных средств на счет клиента, открытый в другой кредитной организации</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428" w:type="dxa"/>
            <w:vAlign w:val="top"/>
            <w:textDirection w:val="lrTb"/>
            <w:noWrap w:val="false"/>
          </w:tcPr>
          <w:p>
            <w:pPr>
              <w:pStyle w:val="1135"/>
              <w:ind w:left="-51" w:firstLine="51"/>
              <w:jc w:val="center"/>
              <w:spacing w:after="40"/>
              <w:rPr>
                <w:bCs/>
                <w:sz w:val="20"/>
                <w:szCs w:val="20"/>
              </w:rPr>
            </w:pPr>
            <w:r>
              <w:rPr>
                <w:sz w:val="20"/>
                <w:szCs w:val="20"/>
              </w:rPr>
              <w:t xml:space="preserve">Услуга не предоставляется</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977" w:type="dxa"/>
            <w:vAlign w:val="top"/>
            <w:textDirection w:val="lrTb"/>
            <w:noWrap w:val="false"/>
          </w:tcPr>
          <w:p>
            <w:pPr>
              <w:pStyle w:val="1135"/>
              <w:ind w:left="-52" w:firstLine="52"/>
              <w:jc w:val="both"/>
              <w:spacing w:before="40" w:after="40"/>
              <w:rPr>
                <w:bCs/>
                <w:sz w:val="20"/>
                <w:szCs w:val="20"/>
              </w:rPr>
            </w:pPr>
            <w:r>
              <w:rPr>
                <w:bCs/>
                <w:sz w:val="20"/>
                <w:szCs w:val="20"/>
              </w:rPr>
              <w:t xml:space="preserve">Комиссия взимается                от суммы денежной наличности, поступившей по одному сопроводительному документу</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135"/>
              <w:ind w:left="-51" w:firstLine="51"/>
              <w:jc w:val="center"/>
              <w:spacing w:before="40" w:after="40"/>
              <w:rPr>
                <w:bCs/>
                <w:sz w:val="20"/>
                <w:szCs w:val="20"/>
              </w:rPr>
            </w:pPr>
            <w:r>
              <w:rPr>
                <w:bCs/>
                <w:sz w:val="20"/>
                <w:szCs w:val="20"/>
              </w:rPr>
              <w:t xml:space="preserve">10.2.</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809" w:type="dxa"/>
            <w:vAlign w:val="top"/>
            <w:textDirection w:val="lrTb"/>
            <w:noWrap w:val="false"/>
          </w:tcPr>
          <w:p>
            <w:pPr>
              <w:pStyle w:val="1135"/>
              <w:ind w:left="34" w:hanging="34"/>
              <w:spacing w:before="40" w:after="40"/>
              <w:rPr>
                <w:bCs/>
                <w:sz w:val="20"/>
                <w:szCs w:val="20"/>
              </w:rPr>
            </w:pPr>
            <w:r>
              <w:rPr>
                <w:bCs/>
                <w:sz w:val="20"/>
                <w:szCs w:val="20"/>
              </w:rPr>
              <w:t xml:space="preserve">Доставка денежной наличности Банка России</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428" w:type="dxa"/>
            <w:vAlign w:val="top"/>
            <w:textDirection w:val="lrTb"/>
            <w:noWrap w:val="false"/>
          </w:tcPr>
          <w:p>
            <w:pPr>
              <w:pStyle w:val="1135"/>
              <w:ind w:left="-51" w:firstLine="51"/>
              <w:jc w:val="center"/>
              <w:spacing w:after="40"/>
              <w:rPr>
                <w:bCs/>
                <w:sz w:val="20"/>
                <w:szCs w:val="20"/>
              </w:rPr>
            </w:pPr>
            <w:r>
              <w:rPr>
                <w:sz w:val="20"/>
                <w:szCs w:val="20"/>
              </w:rPr>
              <w:t xml:space="preserve">Услуга не предоставляется</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977" w:type="dxa"/>
            <w:vAlign w:val="top"/>
            <w:textDirection w:val="lrTb"/>
            <w:noWrap w:val="false"/>
          </w:tcPr>
          <w:p>
            <w:pPr>
              <w:pStyle w:val="1135"/>
              <w:jc w:val="both"/>
              <w:spacing w:before="40" w:after="40"/>
              <w:rPr>
                <w:bCs/>
                <w:sz w:val="20"/>
                <w:szCs w:val="20"/>
              </w:rPr>
            </w:pPr>
            <w:r>
              <w:rPr>
                <w:bCs/>
                <w:sz w:val="20"/>
                <w:szCs w:val="20"/>
              </w:rPr>
              <w:t xml:space="preserve">Комиссия взимается за один заезд*** в один объект инкассации****.</w:t>
            </w:r>
            <w:r>
              <w:rPr>
                <w:bCs/>
                <w:sz w:val="20"/>
                <w:szCs w:val="20"/>
              </w:rPr>
            </w:r>
            <w:r>
              <w:rPr>
                <w:bCs/>
                <w:sz w:val="20"/>
                <w:szCs w:val="20"/>
              </w:rPr>
            </w:r>
          </w:p>
          <w:p>
            <w:pPr>
              <w:pStyle w:val="1135"/>
              <w:ind w:left="-52" w:firstLine="52"/>
              <w:jc w:val="both"/>
              <w:spacing w:before="40" w:after="40"/>
              <w:rPr>
                <w:bCs/>
                <w:sz w:val="20"/>
                <w:szCs w:val="20"/>
              </w:rPr>
            </w:pPr>
            <w:r>
              <w:rPr>
                <w:bCs/>
                <w:sz w:val="20"/>
                <w:szCs w:val="20"/>
              </w:rPr>
              <w:t xml:space="preserve">Комиссия включает НДС.</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135"/>
              <w:ind w:left="-51" w:firstLine="51"/>
              <w:jc w:val="center"/>
              <w:spacing w:before="40" w:after="40"/>
              <w:rPr>
                <w:bCs/>
                <w:sz w:val="20"/>
                <w:szCs w:val="20"/>
              </w:rPr>
            </w:pPr>
            <w:r>
              <w:rPr>
                <w:bCs/>
                <w:sz w:val="20"/>
                <w:szCs w:val="20"/>
              </w:rPr>
              <w:t xml:space="preserve">10.3.</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809" w:type="dxa"/>
            <w:vAlign w:val="top"/>
            <w:textDirection w:val="lrTb"/>
            <w:noWrap w:val="false"/>
          </w:tcPr>
          <w:p>
            <w:pPr>
              <w:pStyle w:val="1135"/>
              <w:spacing w:before="40" w:after="40"/>
              <w:rPr>
                <w:bCs/>
                <w:sz w:val="20"/>
                <w:szCs w:val="20"/>
              </w:rPr>
            </w:pPr>
            <w:r>
              <w:rPr>
                <w:bCs/>
                <w:sz w:val="20"/>
                <w:szCs w:val="20"/>
              </w:rPr>
              <w:t xml:space="preserve">Доставка монеты/ банкнот Банка России в обмен на банкноты/монеты Банка России другого номинала</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428" w:type="dxa"/>
            <w:vAlign w:val="top"/>
            <w:textDirection w:val="lrTb"/>
            <w:noWrap w:val="false"/>
          </w:tcPr>
          <w:p>
            <w:pPr>
              <w:pStyle w:val="1135"/>
              <w:ind w:left="-51" w:firstLine="51"/>
              <w:jc w:val="center"/>
              <w:spacing w:after="40"/>
              <w:rPr>
                <w:bCs/>
                <w:sz w:val="20"/>
                <w:szCs w:val="20"/>
              </w:rPr>
            </w:pPr>
            <w:r>
              <w:rPr>
                <w:sz w:val="20"/>
                <w:szCs w:val="20"/>
              </w:rPr>
              <w:t xml:space="preserve">Услуга не предоставляется</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977" w:type="dxa"/>
            <w:vAlign w:val="top"/>
            <w:textDirection w:val="lrTb"/>
            <w:noWrap w:val="false"/>
          </w:tcPr>
          <w:p>
            <w:pPr>
              <w:pStyle w:val="1135"/>
              <w:jc w:val="both"/>
              <w:spacing w:before="40" w:after="40"/>
              <w:rPr>
                <w:bCs/>
                <w:sz w:val="20"/>
                <w:szCs w:val="20"/>
              </w:rPr>
            </w:pPr>
            <w:r>
              <w:rPr>
                <w:bCs/>
                <w:sz w:val="20"/>
                <w:szCs w:val="20"/>
              </w:rPr>
              <w:t xml:space="preserve">Комиссия взимается за один заезд*** в один объект инкассации****.</w:t>
            </w:r>
            <w:r>
              <w:rPr>
                <w:bCs/>
                <w:sz w:val="20"/>
                <w:szCs w:val="20"/>
              </w:rPr>
            </w:r>
            <w:r>
              <w:rPr>
                <w:bCs/>
                <w:sz w:val="20"/>
                <w:szCs w:val="20"/>
              </w:rPr>
            </w:r>
          </w:p>
          <w:p>
            <w:pPr>
              <w:pStyle w:val="1135"/>
              <w:jc w:val="both"/>
              <w:spacing w:before="40" w:after="40"/>
              <w:rPr>
                <w:bCs/>
                <w:sz w:val="20"/>
                <w:szCs w:val="20"/>
              </w:rPr>
            </w:pPr>
            <w:r>
              <w:rPr>
                <w:bCs/>
                <w:sz w:val="20"/>
                <w:szCs w:val="20"/>
              </w:rPr>
              <w:t xml:space="preserve">Комиссия включает НДС.</w:t>
            </w:r>
            <w:r>
              <w:rPr>
                <w:bCs/>
                <w:sz w:val="20"/>
                <w:szCs w:val="20"/>
              </w:rPr>
            </w:r>
            <w:r>
              <w:rPr>
                <w:bCs/>
                <w:sz w:val="20"/>
                <w:szCs w:val="20"/>
              </w:rPr>
            </w:r>
          </w:p>
        </w:tc>
      </w:tr>
    </w:tbl>
    <w:p>
      <w:pPr>
        <w:pStyle w:val="1135"/>
        <w:jc w:val="both"/>
        <w:rPr>
          <w:i/>
          <w:sz w:val="16"/>
          <w:szCs w:val="16"/>
        </w:rPr>
      </w:pPr>
      <w:r>
        <w:rPr>
          <w:i/>
          <w:sz w:val="16"/>
          <w:szCs w:val="16"/>
        </w:rPr>
        <w:t xml:space="preserve">Примечание:</w:t>
      </w:r>
      <w:r>
        <w:rPr>
          <w:i/>
          <w:sz w:val="16"/>
          <w:szCs w:val="16"/>
        </w:rPr>
      </w:r>
      <w:r>
        <w:rPr>
          <w:i/>
          <w:sz w:val="16"/>
          <w:szCs w:val="16"/>
        </w:rPr>
      </w:r>
    </w:p>
    <w:p>
      <w:pPr>
        <w:pStyle w:val="1135"/>
        <w:jc w:val="both"/>
        <w:rPr>
          <w:i/>
          <w:sz w:val="16"/>
          <w:szCs w:val="16"/>
        </w:rPr>
      </w:pPr>
      <w:r>
        <w:rPr>
          <w:i/>
          <w:sz w:val="16"/>
          <w:szCs w:val="16"/>
        </w:rPr>
        <w:t xml:space="preserve">* Под подразделением Банка понимается региональный филиал, включая его дополнительные офисы, операционные офисы, операционные кассы вне кассового узла, либо головной офис Банка, включая его внутренние структурные подразделения.</w:t>
      </w:r>
      <w:r>
        <w:rPr>
          <w:i/>
          <w:sz w:val="16"/>
          <w:szCs w:val="16"/>
        </w:rPr>
      </w:r>
      <w:r>
        <w:rPr>
          <w:i/>
          <w:sz w:val="16"/>
          <w:szCs w:val="16"/>
        </w:rPr>
      </w:r>
    </w:p>
    <w:p>
      <w:pPr>
        <w:pStyle w:val="1135"/>
        <w:jc w:val="both"/>
        <w:rPr>
          <w:i/>
          <w:sz w:val="16"/>
          <w:szCs w:val="16"/>
        </w:rPr>
      </w:pPr>
      <w:r>
        <w:rPr>
          <w:i/>
          <w:sz w:val="16"/>
          <w:szCs w:val="16"/>
        </w:rPr>
        <w:t xml:space="preserve">** Пороговые значения сумм комиссионного вознаграждения в иностранной валюте рассчитываются по курсу Банка России, действующему на дату взимания комиссионного вознаграждения.</w:t>
      </w:r>
      <w:r>
        <w:rPr>
          <w:i/>
          <w:sz w:val="16"/>
          <w:szCs w:val="16"/>
        </w:rPr>
      </w:r>
      <w:r>
        <w:rPr>
          <w:i/>
          <w:sz w:val="16"/>
          <w:szCs w:val="16"/>
        </w:rPr>
      </w:r>
    </w:p>
    <w:p>
      <w:pPr>
        <w:pStyle w:val="1135"/>
        <w:jc w:val="both"/>
        <w:tabs>
          <w:tab w:val="left" w:pos="1276" w:leader="none"/>
        </w:tabs>
        <w:rPr>
          <w:i/>
          <w:sz w:val="16"/>
          <w:szCs w:val="16"/>
        </w:rPr>
      </w:pPr>
      <w:r>
        <w:rPr>
          <w:i/>
          <w:sz w:val="16"/>
          <w:szCs w:val="16"/>
        </w:rPr>
        <w:t xml:space="preserve">*** Заезд – прибытие бригады инка</w:t>
      </w:r>
      <w:r>
        <w:rPr>
          <w:i/>
          <w:sz w:val="16"/>
          <w:szCs w:val="16"/>
        </w:rPr>
        <w:t xml:space="preserve">ссаторских работников в здание клиента/помещение клиента (в здании) на территории которого осуществляется прием или передача денежной наличности между инкассаторскими работниками и клиентом/изъятие денежной наличности из информационно-платежного терминала.</w:t>
      </w:r>
      <w:r>
        <w:rPr>
          <w:i/>
          <w:sz w:val="16"/>
          <w:szCs w:val="16"/>
        </w:rPr>
      </w:r>
      <w:r>
        <w:rPr>
          <w:i/>
          <w:sz w:val="16"/>
          <w:szCs w:val="16"/>
        </w:rPr>
      </w:r>
    </w:p>
    <w:p>
      <w:pPr>
        <w:pStyle w:val="1135"/>
        <w:jc w:val="both"/>
        <w:rPr>
          <w:i/>
          <w:sz w:val="16"/>
          <w:szCs w:val="16"/>
        </w:rPr>
      </w:pPr>
      <w:r>
        <w:rPr>
          <w:i/>
          <w:sz w:val="16"/>
          <w:szCs w:val="16"/>
        </w:rPr>
        <w:t xml:space="preserve">**** Объект инкассации – здание клиента/помещение клиента (в здании) на территории которого осуществляется прием или передача денежной наличности между инкассаторскими работниками и клиентом/расположен информационно-платежный терминал.».</w:t>
      </w:r>
      <w:r>
        <w:rPr>
          <w:i/>
          <w:sz w:val="16"/>
          <w:szCs w:val="16"/>
        </w:rPr>
      </w:r>
      <w:r>
        <w:rPr>
          <w:i/>
          <w:sz w:val="16"/>
          <w:szCs w:val="16"/>
        </w:rPr>
      </w:r>
    </w:p>
    <w:p>
      <w:r/>
      <w:r/>
    </w:p>
    <w:p>
      <w:pPr>
        <w:pStyle w:val="1135"/>
      </w:pPr>
      <w:r/>
      <w:r/>
    </w:p>
    <w:p>
      <w:pPr>
        <w:pStyle w:val="1139"/>
      </w:pPr>
      <w:r>
        <w:t xml:space="preserve">11.</w:t>
      </w:r>
      <w:r>
        <w:t xml:space="preserve"> </w:t>
      </w:r>
      <w:r>
        <w:t xml:space="preserve">Операции</w:t>
      </w:r>
      <w:r>
        <w:t xml:space="preserve"> </w:t>
      </w:r>
      <w:r>
        <w:t xml:space="preserve">по</w:t>
      </w:r>
      <w:r>
        <w:t xml:space="preserve"> </w:t>
      </w:r>
      <w:r>
        <w:t xml:space="preserve">покупке-продаже</w:t>
      </w:r>
      <w:r>
        <w:t xml:space="preserve"> </w:t>
      </w:r>
      <w:r>
        <w:t xml:space="preserve">иностранной</w:t>
      </w:r>
      <w:r>
        <w:t xml:space="preserve"> </w:t>
      </w:r>
      <w:r>
        <w:t xml:space="preserve">валюты</w:t>
      </w:r>
      <w:r>
        <w:rPr>
          <w:vertAlign w:val="superscript"/>
        </w:rPr>
        <w:t xml:space="preserve">1</w:t>
      </w:r>
      <w:r/>
    </w:p>
    <w:p>
      <w:pPr>
        <w:pStyle w:val="1135"/>
      </w:pPr>
      <w:r/>
      <w:r/>
    </w:p>
    <w:tbl>
      <w:tblPr>
        <w:tblW w:w="10207"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1E0" w:firstRow="1" w:lastRow="1" w:firstColumn="1" w:lastColumn="1" w:noHBand="0" w:noVBand="0"/>
      </w:tblPr>
      <w:tblGrid>
        <w:gridCol w:w="851"/>
        <w:gridCol w:w="2400"/>
        <w:gridCol w:w="1569"/>
        <w:gridCol w:w="771"/>
        <w:gridCol w:w="1214"/>
        <w:gridCol w:w="1559"/>
        <w:gridCol w:w="18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W w:w="851" w:type="dxa"/>
            <w:vAlign w:val="top"/>
            <w:vMerge w:val="restart"/>
            <w:textDirection w:val="lrTb"/>
            <w:noWrap w:val="false"/>
          </w:tcPr>
          <w:p>
            <w:pPr>
              <w:pStyle w:val="1135"/>
              <w:jc w:val="center"/>
              <w:rPr>
                <w:b/>
                <w:sz w:val="20"/>
                <w:szCs w:val="20"/>
              </w:rPr>
            </w:pPr>
            <w:r>
              <w:rPr>
                <w:b/>
                <w:sz w:val="20"/>
                <w:szCs w:val="20"/>
              </w:rPr>
              <w:t xml:space="preserve">№</w:t>
            </w:r>
            <w:r>
              <w:rPr>
                <w:b/>
                <w:sz w:val="20"/>
                <w:szCs w:val="20"/>
              </w:rPr>
              <w:t xml:space="preserve"> </w:t>
            </w:r>
            <w:r>
              <w:rPr>
                <w:b/>
                <w:sz w:val="20"/>
                <w:szCs w:val="20"/>
              </w:rPr>
              <w:t xml:space="preserve">п/п</w:t>
            </w:r>
            <w:r>
              <w:rPr>
                <w:b/>
                <w:sz w:val="20"/>
                <w:szCs w:val="20"/>
              </w:rPr>
            </w:r>
            <w:r>
              <w:rPr>
                <w:b/>
                <w:sz w:val="20"/>
                <w:szCs w:val="20"/>
              </w:rPr>
            </w:r>
          </w:p>
        </w:tc>
        <w:tc>
          <w:tcPr>
            <w:gridSpan w:val="2"/>
            <w:tcW w:w="3969" w:type="dxa"/>
            <w:vAlign w:val="top"/>
            <w:vMerge w:val="restart"/>
            <w:textDirection w:val="lrTb"/>
            <w:noWrap w:val="false"/>
          </w:tcPr>
          <w:p>
            <w:pPr>
              <w:pStyle w:val="1135"/>
              <w:jc w:val="center"/>
              <w:rPr>
                <w:b/>
                <w:sz w:val="20"/>
                <w:szCs w:val="20"/>
              </w:rPr>
            </w:pPr>
            <w:r>
              <w:rPr>
                <w:b/>
                <w:sz w:val="20"/>
                <w:szCs w:val="20"/>
              </w:rPr>
              <w:t xml:space="preserve">Наименование</w:t>
            </w:r>
            <w:r>
              <w:rPr>
                <w:b/>
                <w:sz w:val="20"/>
                <w:szCs w:val="20"/>
              </w:rPr>
              <w:t xml:space="preserve"> </w:t>
            </w:r>
            <w:r>
              <w:rPr>
                <w:b/>
                <w:sz w:val="20"/>
                <w:szCs w:val="20"/>
              </w:rPr>
              <w:t xml:space="preserve">услуги</w:t>
            </w:r>
            <w:r>
              <w:rPr>
                <w:b/>
                <w:sz w:val="20"/>
                <w:szCs w:val="20"/>
              </w:rPr>
            </w:r>
            <w:r>
              <w:rPr>
                <w:b/>
                <w:sz w:val="20"/>
                <w:szCs w:val="20"/>
              </w:rPr>
            </w:r>
          </w:p>
        </w:tc>
        <w:tc>
          <w:tcPr>
            <w:gridSpan w:val="2"/>
            <w:tcW w:w="1985" w:type="dxa"/>
            <w:vAlign w:val="top"/>
            <w:vMerge w:val="restart"/>
            <w:textDirection w:val="lrTb"/>
            <w:noWrap w:val="false"/>
          </w:tcPr>
          <w:p>
            <w:pPr>
              <w:pStyle w:val="1135"/>
              <w:jc w:val="center"/>
              <w:rPr>
                <w:b/>
                <w:sz w:val="20"/>
                <w:szCs w:val="20"/>
              </w:rPr>
            </w:pPr>
            <w:r>
              <w:rPr>
                <w:b/>
                <w:sz w:val="20"/>
                <w:szCs w:val="20"/>
              </w:rPr>
              <w:t xml:space="preserve">Курс</w:t>
            </w:r>
            <w:r>
              <w:rPr>
                <w:b/>
                <w:sz w:val="20"/>
                <w:szCs w:val="20"/>
              </w:rPr>
              <w:t xml:space="preserve"> </w:t>
            </w:r>
            <w:r>
              <w:rPr>
                <w:b/>
                <w:sz w:val="20"/>
                <w:szCs w:val="20"/>
              </w:rPr>
              <w:t xml:space="preserve">исполнения</w:t>
            </w:r>
            <w:r>
              <w:rPr>
                <w:b/>
                <w:sz w:val="20"/>
                <w:szCs w:val="20"/>
              </w:rPr>
            </w:r>
            <w:r>
              <w:rPr>
                <w:b/>
                <w:sz w:val="20"/>
                <w:szCs w:val="20"/>
              </w:rPr>
            </w:r>
          </w:p>
        </w:tc>
        <w:tc>
          <w:tcPr>
            <w:gridSpan w:val="2"/>
            <w:tcW w:w="3402" w:type="dxa"/>
            <w:vAlign w:val="top"/>
            <w:textDirection w:val="lrTb"/>
            <w:noWrap w:val="false"/>
          </w:tcPr>
          <w:p>
            <w:pPr>
              <w:pStyle w:val="1135"/>
              <w:jc w:val="center"/>
              <w:rPr>
                <w:b/>
                <w:sz w:val="20"/>
                <w:szCs w:val="20"/>
              </w:rPr>
            </w:pPr>
            <w:r>
              <w:rPr>
                <w:b/>
                <w:sz w:val="20"/>
                <w:szCs w:val="20"/>
              </w:rPr>
              <w:t xml:space="preserve">Комиссия</w:t>
            </w:r>
            <w:r>
              <w:rPr>
                <w:b/>
                <w:sz w:val="20"/>
                <w:szCs w:val="20"/>
              </w:rPr>
              <w:t xml:space="preserve"> </w:t>
            </w:r>
            <w:r>
              <w:rPr>
                <w:b/>
                <w:sz w:val="20"/>
                <w:szCs w:val="20"/>
              </w:rPr>
              <w:t xml:space="preserve">(в</w:t>
            </w:r>
            <w:r>
              <w:rPr>
                <w:b/>
                <w:sz w:val="20"/>
                <w:szCs w:val="20"/>
              </w:rPr>
              <w:t xml:space="preserve"> </w:t>
            </w:r>
            <w:r>
              <w:rPr>
                <w:b/>
                <w:sz w:val="20"/>
                <w:szCs w:val="20"/>
              </w:rPr>
              <w:t xml:space="preserve">%</w:t>
            </w:r>
            <w:r>
              <w:rPr>
                <w:b/>
                <w:sz w:val="20"/>
                <w:szCs w:val="20"/>
              </w:rPr>
              <w:t xml:space="preserve"> </w:t>
            </w:r>
            <w:r>
              <w:rPr>
                <w:b/>
                <w:sz w:val="20"/>
                <w:szCs w:val="20"/>
              </w:rPr>
              <w:t xml:space="preserve">от</w:t>
            </w:r>
            <w:r>
              <w:rPr>
                <w:b/>
                <w:sz w:val="20"/>
                <w:szCs w:val="20"/>
              </w:rPr>
              <w:t xml:space="preserve"> </w:t>
            </w:r>
            <w:r>
              <w:rPr>
                <w:b/>
                <w:sz w:val="20"/>
                <w:szCs w:val="20"/>
              </w:rPr>
              <w:t xml:space="preserve">суммы</w:t>
            </w:r>
            <w:r>
              <w:rPr>
                <w:b/>
                <w:sz w:val="20"/>
                <w:szCs w:val="20"/>
              </w:rPr>
              <w:t xml:space="preserve"> </w:t>
            </w:r>
            <w:r>
              <w:rPr>
                <w:b/>
                <w:sz w:val="20"/>
                <w:szCs w:val="20"/>
              </w:rPr>
              <w:t xml:space="preserve">операции)</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W w:w="851" w:type="dxa"/>
            <w:vAlign w:val="top"/>
            <w:vMerge w:val="continue"/>
            <w:textDirection w:val="lrTb"/>
            <w:noWrap w:val="false"/>
          </w:tcPr>
          <w:p>
            <w:pPr>
              <w:pStyle w:val="1135"/>
              <w:jc w:val="center"/>
              <w:rPr>
                <w:b/>
                <w:sz w:val="20"/>
                <w:szCs w:val="20"/>
              </w:rPr>
            </w:pPr>
            <w:r>
              <w:rPr>
                <w:b/>
                <w:sz w:val="20"/>
                <w:szCs w:val="20"/>
              </w:rPr>
            </w:r>
            <w:r>
              <w:rPr>
                <w:b/>
                <w:sz w:val="20"/>
                <w:szCs w:val="20"/>
              </w:rPr>
            </w:r>
            <w:r>
              <w:rPr>
                <w:b/>
                <w:sz w:val="20"/>
                <w:szCs w:val="20"/>
              </w:rPr>
            </w:r>
          </w:p>
        </w:tc>
        <w:tc>
          <w:tcPr>
            <w:gridSpan w:val="2"/>
            <w:tcW w:w="3969" w:type="dxa"/>
            <w:vAlign w:val="top"/>
            <w:vMerge w:val="continue"/>
            <w:textDirection w:val="lrTb"/>
            <w:noWrap w:val="false"/>
          </w:tcPr>
          <w:p>
            <w:pPr>
              <w:pStyle w:val="1135"/>
              <w:jc w:val="center"/>
              <w:rPr>
                <w:b/>
                <w:sz w:val="20"/>
                <w:szCs w:val="20"/>
              </w:rPr>
            </w:pPr>
            <w:r>
              <w:rPr>
                <w:b/>
                <w:sz w:val="20"/>
                <w:szCs w:val="20"/>
              </w:rPr>
            </w:r>
            <w:r>
              <w:rPr>
                <w:b/>
                <w:sz w:val="20"/>
                <w:szCs w:val="20"/>
              </w:rPr>
            </w:r>
            <w:r>
              <w:rPr>
                <w:b/>
                <w:sz w:val="20"/>
                <w:szCs w:val="20"/>
              </w:rPr>
            </w:r>
          </w:p>
        </w:tc>
        <w:tc>
          <w:tcPr>
            <w:gridSpan w:val="2"/>
            <w:tcW w:w="1985" w:type="dxa"/>
            <w:vAlign w:val="top"/>
            <w:vMerge w:val="continue"/>
            <w:textDirection w:val="lrTb"/>
            <w:noWrap w:val="false"/>
          </w:tcPr>
          <w:p>
            <w:pPr>
              <w:pStyle w:val="1135"/>
              <w:jc w:val="center"/>
              <w:rPr>
                <w:b/>
                <w:sz w:val="20"/>
                <w:szCs w:val="20"/>
              </w:rPr>
            </w:pPr>
            <w:r>
              <w:rPr>
                <w:b/>
                <w:sz w:val="20"/>
                <w:szCs w:val="20"/>
              </w:rPr>
            </w:r>
            <w:r>
              <w:rPr>
                <w:b/>
                <w:sz w:val="20"/>
                <w:szCs w:val="20"/>
              </w:rPr>
            </w:r>
            <w:r>
              <w:rPr>
                <w:b/>
                <w:sz w:val="20"/>
                <w:szCs w:val="20"/>
              </w:rPr>
            </w:r>
          </w:p>
        </w:tc>
        <w:tc>
          <w:tcPr>
            <w:tcW w:w="1559" w:type="dxa"/>
            <w:vAlign w:val="top"/>
            <w:textDirection w:val="lrTb"/>
            <w:noWrap w:val="false"/>
          </w:tcPr>
          <w:p>
            <w:pPr>
              <w:pStyle w:val="1135"/>
              <w:jc w:val="center"/>
              <w:rPr>
                <w:b/>
                <w:sz w:val="20"/>
                <w:szCs w:val="20"/>
              </w:rPr>
            </w:pPr>
            <w:r>
              <w:rPr>
                <w:b/>
                <w:sz w:val="20"/>
                <w:szCs w:val="20"/>
              </w:rPr>
              <w:t xml:space="preserve">Сумма</w:t>
            </w:r>
            <w:r>
              <w:rPr>
                <w:b/>
                <w:sz w:val="20"/>
                <w:szCs w:val="20"/>
              </w:rPr>
              <w:t xml:space="preserve"> </w:t>
            </w:r>
            <w:r>
              <w:rPr>
                <w:b/>
                <w:sz w:val="20"/>
                <w:szCs w:val="20"/>
              </w:rPr>
              <w:t xml:space="preserve">операции</w:t>
            </w:r>
            <w:r>
              <w:rPr>
                <w:b/>
                <w:sz w:val="20"/>
                <w:szCs w:val="20"/>
              </w:rPr>
            </w:r>
            <w:r>
              <w:rPr>
                <w:b/>
                <w:sz w:val="20"/>
                <w:szCs w:val="20"/>
              </w:rPr>
            </w:r>
          </w:p>
        </w:tc>
        <w:tc>
          <w:tcPr>
            <w:tcW w:w="1843" w:type="dxa"/>
            <w:vAlign w:val="top"/>
            <w:textDirection w:val="lrTb"/>
            <w:noWrap w:val="false"/>
          </w:tcPr>
          <w:p>
            <w:pPr>
              <w:pStyle w:val="1135"/>
              <w:jc w:val="center"/>
              <w:rPr>
                <w:b/>
                <w:sz w:val="20"/>
                <w:szCs w:val="20"/>
              </w:rPr>
            </w:pPr>
            <w:r>
              <w:rPr>
                <w:b/>
                <w:sz w:val="20"/>
                <w:szCs w:val="20"/>
              </w:rPr>
              <w:t xml:space="preserve">Ставка</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7"/>
            <w:tcW w:w="10207" w:type="dxa"/>
            <w:vAlign w:val="top"/>
            <w:textDirection w:val="lrTb"/>
            <w:noWrap w:val="false"/>
          </w:tcPr>
          <w:p>
            <w:pPr>
              <w:pStyle w:val="1135"/>
              <w:jc w:val="center"/>
              <w:rPr>
                <w:sz w:val="20"/>
                <w:szCs w:val="20"/>
              </w:rPr>
            </w:pPr>
            <w:r>
              <w:rPr>
                <w:sz w:val="20"/>
                <w:szCs w:val="20"/>
              </w:rPr>
              <w:t xml:space="preserve">11.1.</w:t>
            </w:r>
            <w:r>
              <w:rPr>
                <w:sz w:val="20"/>
                <w:szCs w:val="20"/>
              </w:rPr>
              <w:t xml:space="preserve"> </w:t>
            </w:r>
            <w:r>
              <w:rPr>
                <w:sz w:val="20"/>
                <w:szCs w:val="20"/>
              </w:rPr>
              <w:t xml:space="preserve">Продажа иностранной валюты клиентом за российские рубли</w:t>
            </w:r>
            <w:r>
              <w:rPr>
                <w:sz w:val="20"/>
                <w:szCs w:val="20"/>
              </w:rPr>
              <w:t xml:space="preserve">*</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restart"/>
            <w:textDirection w:val="lrTb"/>
            <w:noWrap w:val="false"/>
          </w:tcPr>
          <w:p>
            <w:pPr>
              <w:pStyle w:val="1135"/>
              <w:jc w:val="center"/>
              <w:rPr>
                <w:sz w:val="20"/>
                <w:szCs w:val="20"/>
              </w:rPr>
            </w:pPr>
            <w:r>
              <w:rPr>
                <w:sz w:val="20"/>
                <w:szCs w:val="20"/>
              </w:rPr>
              <w:t xml:space="preserve">11.1.1.</w:t>
            </w:r>
            <w:r>
              <w:rPr>
                <w:sz w:val="20"/>
                <w:szCs w:val="20"/>
              </w:rPr>
            </w:r>
            <w:r>
              <w:rPr>
                <w:sz w:val="20"/>
                <w:szCs w:val="20"/>
              </w:rPr>
            </w:r>
          </w:p>
        </w:tc>
        <w:tc>
          <w:tcPr>
            <w:gridSpan w:val="2"/>
            <w:tcW w:w="3969" w:type="dxa"/>
            <w:vAlign w:val="top"/>
            <w:textDirection w:val="lrTb"/>
            <w:noWrap w:val="false"/>
          </w:tcPr>
          <w:p>
            <w:pPr>
              <w:pStyle w:val="1135"/>
              <w:rPr>
                <w:sz w:val="20"/>
                <w:szCs w:val="20"/>
              </w:rPr>
            </w:pPr>
            <w:r>
              <w:rPr>
                <w:sz w:val="20"/>
                <w:szCs w:val="20"/>
              </w:rPr>
              <w:t xml:space="preserve">Продажа</w:t>
            </w:r>
            <w:r>
              <w:rPr>
                <w:sz w:val="20"/>
                <w:szCs w:val="20"/>
              </w:rPr>
              <w:t xml:space="preserve"> </w:t>
            </w:r>
            <w:r>
              <w:rPr>
                <w:sz w:val="20"/>
                <w:szCs w:val="20"/>
              </w:rPr>
              <w:t xml:space="preserve">непосредственно</w:t>
            </w:r>
            <w:r>
              <w:rPr>
                <w:sz w:val="20"/>
                <w:szCs w:val="20"/>
              </w:rPr>
              <w:t xml:space="preserve"> </w:t>
            </w:r>
            <w:r>
              <w:rPr>
                <w:sz w:val="20"/>
                <w:szCs w:val="20"/>
              </w:rPr>
              <w:t xml:space="preserve">Банку</w:t>
            </w:r>
            <w:r>
              <w:rPr>
                <w:sz w:val="20"/>
                <w:szCs w:val="20"/>
              </w:rPr>
              <w:t xml:space="preserve"> </w:t>
            </w:r>
            <w:r>
              <w:rPr>
                <w:sz w:val="20"/>
                <w:szCs w:val="20"/>
              </w:rPr>
              <w:t xml:space="preserve">иностранной</w:t>
            </w:r>
            <w:r>
              <w:rPr>
                <w:sz w:val="20"/>
                <w:szCs w:val="20"/>
              </w:rPr>
              <w:t xml:space="preserve"> </w:t>
            </w:r>
            <w:r>
              <w:rPr>
                <w:sz w:val="20"/>
                <w:szCs w:val="20"/>
              </w:rPr>
              <w:t xml:space="preserve">валюты</w:t>
            </w:r>
            <w:r>
              <w:rPr>
                <w:sz w:val="20"/>
                <w:szCs w:val="20"/>
              </w:rPr>
              <w:t xml:space="preserve"> </w:t>
            </w:r>
            <w:r>
              <w:rPr>
                <w:sz w:val="20"/>
                <w:szCs w:val="20"/>
              </w:rPr>
              <w:t xml:space="preserve">по</w:t>
            </w:r>
            <w:r>
              <w:rPr>
                <w:sz w:val="20"/>
                <w:szCs w:val="20"/>
              </w:rPr>
              <w:t xml:space="preserve"> </w:t>
            </w:r>
            <w:r>
              <w:rPr>
                <w:sz w:val="20"/>
                <w:szCs w:val="20"/>
              </w:rPr>
              <w:t xml:space="preserve">курсу</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r>
            <w:r>
              <w:rPr>
                <w:sz w:val="20"/>
                <w:szCs w:val="20"/>
              </w:rPr>
            </w:r>
          </w:p>
        </w:tc>
        <w:tc>
          <w:tcPr>
            <w:gridSpan w:val="2"/>
            <w:tcW w:w="1985" w:type="dxa"/>
            <w:vAlign w:val="top"/>
            <w:textDirection w:val="lrTb"/>
            <w:noWrap w:val="false"/>
          </w:tcPr>
          <w:p>
            <w:pPr>
              <w:pStyle w:val="1135"/>
              <w:jc w:val="center"/>
              <w:rPr>
                <w:sz w:val="20"/>
                <w:szCs w:val="20"/>
              </w:rPr>
            </w:pPr>
            <w:r>
              <w:rPr>
                <w:sz w:val="20"/>
                <w:szCs w:val="20"/>
              </w:rPr>
              <w:t xml:space="preserve">Курс</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t xml:space="preserve"> </w:t>
            </w:r>
            <w:r>
              <w:rPr>
                <w:sz w:val="20"/>
                <w:szCs w:val="20"/>
              </w:rPr>
              <w:t xml:space="preserve">действующий</w:t>
            </w:r>
            <w:r>
              <w:rPr>
                <w:sz w:val="20"/>
                <w:szCs w:val="20"/>
              </w:rPr>
              <w:t xml:space="preserve"> </w:t>
            </w:r>
            <w:r>
              <w:rPr>
                <w:sz w:val="20"/>
                <w:szCs w:val="20"/>
              </w:rPr>
              <w:t xml:space="preserve">на</w:t>
            </w:r>
            <w:r>
              <w:rPr>
                <w:sz w:val="20"/>
                <w:szCs w:val="20"/>
              </w:rPr>
              <w:t xml:space="preserve"> </w:t>
            </w:r>
            <w:r>
              <w:rPr>
                <w:sz w:val="20"/>
                <w:szCs w:val="20"/>
              </w:rPr>
              <w:t xml:space="preserve">дату</w:t>
            </w:r>
            <w:r>
              <w:rPr>
                <w:sz w:val="20"/>
                <w:szCs w:val="20"/>
              </w:rPr>
              <w:t xml:space="preserve"> </w:t>
            </w:r>
            <w:r>
              <w:rPr>
                <w:sz w:val="20"/>
                <w:szCs w:val="20"/>
              </w:rPr>
              <w:t xml:space="preserve">подачи</w:t>
            </w:r>
            <w:r>
              <w:rPr>
                <w:sz w:val="20"/>
                <w:szCs w:val="20"/>
              </w:rPr>
              <w:t xml:space="preserve"> </w:t>
            </w:r>
            <w:r>
              <w:rPr>
                <w:sz w:val="20"/>
                <w:szCs w:val="20"/>
              </w:rPr>
              <w:t xml:space="preserve">клиентом</w:t>
            </w:r>
            <w:r>
              <w:rPr>
                <w:sz w:val="20"/>
                <w:szCs w:val="20"/>
              </w:rPr>
              <w:t xml:space="preserve"> </w:t>
            </w:r>
            <w:r>
              <w:rPr>
                <w:sz w:val="20"/>
                <w:szCs w:val="20"/>
              </w:rPr>
              <w:t xml:space="preserve">распоряжения</w:t>
            </w:r>
            <w:r>
              <w:rPr>
                <w:sz w:val="20"/>
                <w:szCs w:val="20"/>
              </w:rPr>
            </w:r>
            <w:r>
              <w:rPr>
                <w:sz w:val="20"/>
                <w:szCs w:val="20"/>
              </w:rPr>
            </w:r>
          </w:p>
        </w:tc>
        <w:tc>
          <w:tcPr>
            <w:tcW w:w="1559" w:type="dxa"/>
            <w:vAlign w:val="top"/>
            <w:textDirection w:val="lrTb"/>
            <w:noWrap w:val="false"/>
          </w:tcPr>
          <w:p>
            <w:pPr>
              <w:pStyle w:val="1135"/>
              <w:jc w:val="center"/>
              <w:rPr>
                <w:sz w:val="20"/>
                <w:szCs w:val="20"/>
              </w:rPr>
            </w:pPr>
            <w:r>
              <w:rPr>
                <w:sz w:val="20"/>
                <w:szCs w:val="20"/>
              </w:rPr>
            </w:r>
            <w:r>
              <w:rPr>
                <w:sz w:val="20"/>
                <w:szCs w:val="20"/>
              </w:rPr>
            </w:r>
            <w:r>
              <w:rPr>
                <w:sz w:val="20"/>
                <w:szCs w:val="20"/>
              </w:rPr>
            </w:r>
          </w:p>
        </w:tc>
        <w:tc>
          <w:tcPr>
            <w:tcW w:w="1843" w:type="dxa"/>
            <w:vAlign w:val="top"/>
            <w:textDirection w:val="lrTb"/>
            <w:noWrap w:val="false"/>
          </w:tcPr>
          <w:p>
            <w:pPr>
              <w:pStyle w:val="1135"/>
              <w:jc w:val="center"/>
              <w:rPr>
                <w:sz w:val="20"/>
                <w:szCs w:val="20"/>
              </w:rPr>
            </w:pPr>
            <w:r>
              <w:rPr>
                <w:sz w:val="20"/>
                <w:szCs w:val="20"/>
              </w:rPr>
              <w:t xml:space="preserve">В</w:t>
            </w:r>
            <w:r>
              <w:rPr>
                <w:sz w:val="20"/>
                <w:szCs w:val="20"/>
              </w:rPr>
              <w:t xml:space="preserve"> </w:t>
            </w:r>
            <w:r>
              <w:rPr>
                <w:sz w:val="20"/>
                <w:szCs w:val="20"/>
              </w:rPr>
              <w:t xml:space="preserve">соответствии</w:t>
            </w:r>
            <w:r>
              <w:rPr>
                <w:sz w:val="20"/>
                <w:szCs w:val="20"/>
              </w:rPr>
              <w:t xml:space="preserve"> </w:t>
            </w:r>
            <w:r>
              <w:rPr>
                <w:sz w:val="20"/>
                <w:szCs w:val="20"/>
              </w:rPr>
              <w:t xml:space="preserve">с</w:t>
            </w:r>
            <w:r>
              <w:rPr>
                <w:sz w:val="20"/>
                <w:szCs w:val="20"/>
              </w:rPr>
              <w:t xml:space="preserve"> </w:t>
            </w:r>
            <w:r>
              <w:rPr>
                <w:sz w:val="20"/>
                <w:szCs w:val="20"/>
              </w:rPr>
              <w:t xml:space="preserve">установленным</w:t>
            </w:r>
            <w:r>
              <w:rPr>
                <w:sz w:val="20"/>
                <w:szCs w:val="20"/>
              </w:rPr>
              <w:t xml:space="preserve"> </w:t>
            </w:r>
            <w:r>
              <w:rPr>
                <w:sz w:val="20"/>
                <w:szCs w:val="20"/>
              </w:rPr>
              <w:t xml:space="preserve">Банком</w:t>
            </w:r>
            <w:r>
              <w:rPr>
                <w:sz w:val="20"/>
                <w:szCs w:val="20"/>
              </w:rPr>
              <w:t xml:space="preserve"> </w:t>
            </w:r>
            <w:r>
              <w:rPr>
                <w:sz w:val="20"/>
                <w:szCs w:val="20"/>
              </w:rPr>
              <w:t xml:space="preserve">размером</w:t>
            </w:r>
            <w:r>
              <w:rPr>
                <w:sz w:val="20"/>
                <w:szCs w:val="20"/>
              </w:rPr>
              <w:t xml:space="preserve"> </w:t>
            </w:r>
            <w:r>
              <w:rPr>
                <w:sz w:val="20"/>
                <w:szCs w:val="20"/>
              </w:rPr>
              <w:t xml:space="preserve">расчетной</w:t>
            </w:r>
            <w:r>
              <w:rPr>
                <w:sz w:val="20"/>
                <w:szCs w:val="20"/>
              </w:rPr>
              <w:t xml:space="preserve"> </w:t>
            </w:r>
            <w:r>
              <w:rPr>
                <w:sz w:val="20"/>
                <w:szCs w:val="20"/>
              </w:rPr>
              <w:t xml:space="preserve">комиссии,</w:t>
            </w:r>
            <w:r>
              <w:rPr>
                <w:sz w:val="20"/>
                <w:szCs w:val="20"/>
              </w:rPr>
              <w:t xml:space="preserve"> </w:t>
            </w:r>
            <w:r>
              <w:rPr>
                <w:sz w:val="20"/>
                <w:szCs w:val="20"/>
              </w:rPr>
              <w:t xml:space="preserve">действующим</w:t>
            </w:r>
            <w:r>
              <w:rPr>
                <w:sz w:val="20"/>
                <w:szCs w:val="20"/>
              </w:rPr>
              <w:t xml:space="preserve"> </w:t>
            </w:r>
            <w:r>
              <w:rPr>
                <w:sz w:val="20"/>
                <w:szCs w:val="20"/>
              </w:rPr>
              <w:t xml:space="preserve">на</w:t>
            </w:r>
            <w:r>
              <w:rPr>
                <w:sz w:val="20"/>
                <w:szCs w:val="20"/>
              </w:rPr>
              <w:t xml:space="preserve"> </w:t>
            </w:r>
            <w:r>
              <w:rPr>
                <w:sz w:val="20"/>
                <w:szCs w:val="20"/>
              </w:rPr>
              <w:t xml:space="preserve">соответствующую</w:t>
            </w:r>
            <w:r>
              <w:rPr>
                <w:sz w:val="20"/>
                <w:szCs w:val="20"/>
              </w:rPr>
              <w:t xml:space="preserve"> </w:t>
            </w:r>
            <w:r>
              <w:rPr>
                <w:sz w:val="20"/>
                <w:szCs w:val="20"/>
              </w:rPr>
              <w:t xml:space="preserve">дату</w:t>
            </w:r>
            <w:r>
              <w:rPr>
                <w:sz w:val="20"/>
                <w:szCs w:val="20"/>
              </w:rPr>
              <w:t xml:space="preserve"> </w:t>
            </w:r>
            <w:r>
              <w:rPr>
                <w:sz w:val="20"/>
                <w:szCs w:val="20"/>
              </w:rPr>
              <w:t xml:space="preserve">и</w:t>
            </w:r>
            <w:r>
              <w:rPr>
                <w:sz w:val="20"/>
                <w:szCs w:val="20"/>
              </w:rPr>
              <w:t xml:space="preserve"> </w:t>
            </w:r>
            <w:r>
              <w:rPr>
                <w:sz w:val="20"/>
                <w:szCs w:val="20"/>
              </w:rPr>
              <w:t xml:space="preserve">время</w:t>
            </w:r>
            <w:r>
              <w:rPr>
                <w:sz w:val="20"/>
                <w:szCs w:val="20"/>
              </w:rPr>
              <w:t xml:space="preserve"> </w:t>
            </w:r>
            <w:r>
              <w:rPr>
                <w:sz w:val="20"/>
                <w:szCs w:val="20"/>
              </w:rPr>
              <w:t xml:space="preserve">совершения</w:t>
            </w:r>
            <w:r>
              <w:rPr>
                <w:sz w:val="20"/>
                <w:szCs w:val="20"/>
              </w:rPr>
              <w:t xml:space="preserve"> </w:t>
            </w:r>
            <w:r>
              <w:rPr>
                <w:sz w:val="20"/>
                <w:szCs w:val="20"/>
              </w:rPr>
              <w:t xml:space="preserve">операции²</w:t>
            </w:r>
            <w:r>
              <w:rPr>
                <w:sz w:val="20"/>
                <w:szCs w:val="20"/>
              </w:rPr>
              <w:t xml:space="preserve"> </w:t>
            </w:r>
            <w:r>
              <w:rPr>
                <w:sz w:val="20"/>
                <w:szCs w:val="20"/>
              </w:rPr>
              <w:t xml:space="preserve">³</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135"/>
              <w:jc w:val="center"/>
              <w:rPr>
                <w:sz w:val="20"/>
                <w:szCs w:val="20"/>
              </w:rPr>
            </w:pPr>
            <w:r>
              <w:rPr>
                <w:sz w:val="20"/>
                <w:szCs w:val="20"/>
              </w:rPr>
            </w:r>
            <w:r>
              <w:rPr>
                <w:sz w:val="20"/>
                <w:szCs w:val="20"/>
              </w:rPr>
            </w:r>
            <w:r>
              <w:rPr>
                <w:sz w:val="20"/>
                <w:szCs w:val="20"/>
              </w:rPr>
            </w:r>
          </w:p>
        </w:tc>
        <w:tc>
          <w:tcPr>
            <w:gridSpan w:val="6"/>
            <w:tcW w:w="9356" w:type="dxa"/>
            <w:vAlign w:val="top"/>
            <w:textDirection w:val="lrTb"/>
            <w:noWrap w:val="false"/>
          </w:tcPr>
          <w:p>
            <w:pPr>
              <w:pStyle w:val="1135"/>
              <w:rPr>
                <w:sz w:val="20"/>
                <w:szCs w:val="20"/>
              </w:rPr>
            </w:pPr>
            <w:r>
              <w:rPr>
                <w:sz w:val="20"/>
                <w:szCs w:val="20"/>
              </w:rPr>
              <w:t xml:space="preserve">Операция</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распоряжений,</w:t>
            </w:r>
            <w:r>
              <w:rPr>
                <w:sz w:val="20"/>
                <w:szCs w:val="20"/>
              </w:rPr>
              <w:t xml:space="preserve"> </w:t>
            </w:r>
            <w:r>
              <w:rPr>
                <w:sz w:val="20"/>
                <w:szCs w:val="20"/>
              </w:rPr>
              <w:t xml:space="preserve">предоставленных</w:t>
            </w:r>
            <w:r>
              <w:rPr>
                <w:sz w:val="20"/>
                <w:szCs w:val="20"/>
              </w:rPr>
              <w:t xml:space="preserve"> </w:t>
            </w:r>
            <w:r>
              <w:rPr>
                <w:sz w:val="20"/>
                <w:szCs w:val="20"/>
              </w:rPr>
              <w:t xml:space="preserve">клиентом.</w:t>
            </w:r>
            <w:r>
              <w:rPr>
                <w:sz w:val="20"/>
                <w:szCs w:val="20"/>
              </w:rPr>
              <w:t xml:space="preserve"> </w:t>
            </w:r>
            <w:r>
              <w:rPr>
                <w:sz w:val="20"/>
                <w:szCs w:val="20"/>
              </w:rPr>
              <w:t xml:space="preserve">Срок</w:t>
            </w:r>
            <w:r>
              <w:rPr>
                <w:sz w:val="20"/>
                <w:szCs w:val="20"/>
              </w:rPr>
              <w:t xml:space="preserve"> </w:t>
            </w:r>
            <w:r>
              <w:rPr>
                <w:sz w:val="20"/>
                <w:szCs w:val="20"/>
              </w:rPr>
              <w:t xml:space="preserve">подачи</w:t>
            </w:r>
            <w:r>
              <w:rPr>
                <w:sz w:val="20"/>
                <w:szCs w:val="20"/>
              </w:rPr>
              <w:t xml:space="preserve"> </w:t>
            </w:r>
            <w:r>
              <w:rPr>
                <w:sz w:val="20"/>
                <w:szCs w:val="20"/>
              </w:rPr>
              <w:t xml:space="preserve">распоряжений</w:t>
            </w:r>
            <w:r>
              <w:rPr>
                <w:sz w:val="20"/>
                <w:szCs w:val="20"/>
              </w:rPr>
              <w:t xml:space="preserve"> </w:t>
            </w:r>
            <w:r>
              <w:rPr>
                <w:sz w:val="20"/>
                <w:szCs w:val="20"/>
              </w:rPr>
              <w:t xml:space="preserve">–</w:t>
            </w:r>
            <w:r>
              <w:rPr>
                <w:sz w:val="20"/>
                <w:szCs w:val="20"/>
              </w:rPr>
              <w:t xml:space="preserve"> </w:t>
            </w:r>
            <w:r>
              <w:rPr>
                <w:sz w:val="20"/>
                <w:szCs w:val="20"/>
              </w:rPr>
              <w:t xml:space="preserve">до</w:t>
            </w:r>
            <w:r>
              <w:rPr>
                <w:sz w:val="20"/>
                <w:szCs w:val="20"/>
              </w:rPr>
              <w:t xml:space="preserve"> </w:t>
            </w:r>
            <w:r>
              <w:rPr>
                <w:sz w:val="20"/>
                <w:szCs w:val="20"/>
              </w:rPr>
              <w:t xml:space="preserve">16.00</w:t>
            </w:r>
            <w:r>
              <w:rPr>
                <w:sz w:val="20"/>
                <w:szCs w:val="20"/>
              </w:rPr>
              <w:t xml:space="preserve"> </w:t>
            </w:r>
            <w:r>
              <w:rPr>
                <w:sz w:val="20"/>
                <w:szCs w:val="20"/>
              </w:rPr>
              <w:t xml:space="preserve">часов</w:t>
            </w:r>
            <w:r>
              <w:rPr>
                <w:sz w:val="20"/>
                <w:szCs w:val="20"/>
              </w:rPr>
              <w:t xml:space="preserve"> </w:t>
            </w:r>
            <w:r>
              <w:rPr>
                <w:sz w:val="20"/>
                <w:szCs w:val="20"/>
              </w:rPr>
              <w:t xml:space="preserve">(по</w:t>
            </w:r>
            <w:r>
              <w:rPr>
                <w:sz w:val="20"/>
                <w:szCs w:val="20"/>
              </w:rPr>
              <w:t xml:space="preserve"> </w:t>
            </w:r>
            <w:r>
              <w:rPr>
                <w:sz w:val="20"/>
                <w:szCs w:val="20"/>
              </w:rPr>
              <w:t xml:space="preserve">пятницам</w:t>
            </w:r>
            <w:r>
              <w:rPr>
                <w:sz w:val="20"/>
                <w:szCs w:val="20"/>
              </w:rPr>
              <w:t xml:space="preserve"> </w:t>
            </w:r>
            <w:r>
              <w:rPr>
                <w:sz w:val="20"/>
                <w:szCs w:val="20"/>
              </w:rPr>
              <w:t xml:space="preserve">и</w:t>
            </w:r>
            <w:r>
              <w:rPr>
                <w:sz w:val="20"/>
                <w:szCs w:val="20"/>
              </w:rPr>
              <w:t xml:space="preserve"> </w:t>
            </w:r>
            <w:r>
              <w:rPr>
                <w:sz w:val="20"/>
                <w:szCs w:val="20"/>
              </w:rPr>
              <w:t xml:space="preserve">в</w:t>
            </w:r>
            <w:r>
              <w:rPr>
                <w:sz w:val="20"/>
                <w:szCs w:val="20"/>
              </w:rPr>
              <w:t xml:space="preserve"> </w:t>
            </w:r>
            <w:r>
              <w:rPr>
                <w:sz w:val="20"/>
                <w:szCs w:val="20"/>
              </w:rPr>
              <w:t xml:space="preserve">предпраздничные</w:t>
            </w:r>
            <w:r>
              <w:rPr>
                <w:sz w:val="20"/>
                <w:szCs w:val="20"/>
              </w:rPr>
              <w:t xml:space="preserve"> </w:t>
            </w:r>
            <w:r>
              <w:rPr>
                <w:sz w:val="20"/>
                <w:szCs w:val="20"/>
              </w:rPr>
              <w:t xml:space="preserve">дни</w:t>
            </w:r>
            <w:r>
              <w:rPr>
                <w:sz w:val="20"/>
                <w:szCs w:val="20"/>
              </w:rPr>
              <w:t xml:space="preserve"> </w:t>
            </w:r>
            <w:r>
              <w:rPr>
                <w:sz w:val="20"/>
                <w:szCs w:val="20"/>
              </w:rPr>
              <w:t xml:space="preserve">время</w:t>
            </w:r>
            <w:r>
              <w:rPr>
                <w:sz w:val="20"/>
                <w:szCs w:val="20"/>
              </w:rPr>
              <w:t xml:space="preserve"> </w:t>
            </w:r>
            <w:r>
              <w:rPr>
                <w:sz w:val="20"/>
                <w:szCs w:val="20"/>
              </w:rPr>
              <w:t xml:space="preserve">подачи</w:t>
            </w:r>
            <w:r>
              <w:rPr>
                <w:sz w:val="20"/>
                <w:szCs w:val="20"/>
              </w:rPr>
              <w:t xml:space="preserve"> </w:t>
            </w:r>
            <w:r>
              <w:rPr>
                <w:sz w:val="20"/>
                <w:szCs w:val="20"/>
              </w:rPr>
              <w:t xml:space="preserve">распоряжений</w:t>
            </w:r>
            <w:r>
              <w:rPr>
                <w:sz w:val="20"/>
                <w:szCs w:val="20"/>
              </w:rPr>
              <w:t xml:space="preserve"> </w:t>
            </w:r>
            <w:r>
              <w:rPr>
                <w:sz w:val="20"/>
                <w:szCs w:val="20"/>
              </w:rPr>
              <w:t xml:space="preserve">уменьшается</w:t>
            </w:r>
            <w:r>
              <w:rPr>
                <w:sz w:val="20"/>
                <w:szCs w:val="20"/>
              </w:rPr>
              <w:t xml:space="preserve"> </w:t>
            </w:r>
            <w:r>
              <w:rPr>
                <w:sz w:val="20"/>
                <w:szCs w:val="20"/>
              </w:rPr>
              <w:t xml:space="preserve">на</w:t>
            </w:r>
            <w:r>
              <w:rPr>
                <w:sz w:val="20"/>
                <w:szCs w:val="20"/>
              </w:rPr>
              <w:t xml:space="preserve"> </w:t>
            </w:r>
            <w:r>
              <w:rPr>
                <w:sz w:val="20"/>
                <w:szCs w:val="20"/>
              </w:rPr>
              <w:t xml:space="preserve">соответствующее</w:t>
            </w:r>
            <w:r>
              <w:rPr>
                <w:sz w:val="20"/>
                <w:szCs w:val="20"/>
              </w:rPr>
              <w:t xml:space="preserve"> </w:t>
            </w:r>
            <w:r>
              <w:rPr>
                <w:sz w:val="20"/>
                <w:szCs w:val="20"/>
              </w:rPr>
              <w:t xml:space="preserve">сокращение</w:t>
            </w:r>
            <w:r>
              <w:rPr>
                <w:sz w:val="20"/>
                <w:szCs w:val="20"/>
              </w:rPr>
              <w:t xml:space="preserve"> </w:t>
            </w:r>
            <w:r>
              <w:rPr>
                <w:sz w:val="20"/>
                <w:szCs w:val="20"/>
              </w:rPr>
              <w:t xml:space="preserve">рабочего</w:t>
            </w:r>
            <w:r>
              <w:rPr>
                <w:sz w:val="20"/>
                <w:szCs w:val="20"/>
              </w:rPr>
              <w:t xml:space="preserve"> </w:t>
            </w:r>
            <w:r>
              <w:rPr>
                <w:sz w:val="20"/>
                <w:szCs w:val="20"/>
              </w:rPr>
              <w:t xml:space="preserve">времени</w:t>
            </w:r>
            <w:r>
              <w:rPr>
                <w:sz w:val="20"/>
                <w:szCs w:val="20"/>
              </w:rPr>
              <w:t xml:space="preserve"> </w:t>
            </w:r>
            <w:r>
              <w:rPr>
                <w:sz w:val="20"/>
                <w:szCs w:val="20"/>
              </w:rPr>
              <w:t xml:space="preserve">Банка).</w:t>
            </w:r>
            <w:r>
              <w:rPr>
                <w:sz w:val="20"/>
                <w:szCs w:val="20"/>
              </w:rPr>
              <w:t xml:space="preserve"> </w:t>
            </w:r>
            <w:r>
              <w:rPr>
                <w:sz w:val="20"/>
                <w:szCs w:val="20"/>
              </w:rPr>
              <w:t xml:space="preserve">Распоряжения,</w:t>
            </w:r>
            <w:r>
              <w:rPr>
                <w:sz w:val="20"/>
                <w:szCs w:val="20"/>
              </w:rPr>
              <w:t xml:space="preserve"> </w:t>
            </w:r>
            <w:r>
              <w:rPr>
                <w:sz w:val="20"/>
                <w:szCs w:val="20"/>
              </w:rPr>
              <w:t xml:space="preserve">предоставленные</w:t>
            </w:r>
            <w:r>
              <w:rPr>
                <w:sz w:val="20"/>
                <w:szCs w:val="20"/>
              </w:rPr>
              <w:t xml:space="preserve"> </w:t>
            </w:r>
            <w:r>
              <w:rPr>
                <w:sz w:val="20"/>
                <w:szCs w:val="20"/>
              </w:rPr>
              <w:t xml:space="preserve">клиентами</w:t>
            </w:r>
            <w:r>
              <w:rPr>
                <w:sz w:val="20"/>
                <w:szCs w:val="20"/>
              </w:rPr>
              <w:t xml:space="preserve"> </w:t>
            </w:r>
            <w:r>
              <w:rPr>
                <w:sz w:val="20"/>
                <w:szCs w:val="20"/>
              </w:rPr>
              <w:t xml:space="preserve">позже</w:t>
            </w:r>
            <w:r>
              <w:rPr>
                <w:sz w:val="20"/>
                <w:szCs w:val="20"/>
              </w:rPr>
              <w:t xml:space="preserve"> </w:t>
            </w:r>
            <w:r>
              <w:rPr>
                <w:sz w:val="20"/>
                <w:szCs w:val="20"/>
              </w:rPr>
              <w:t xml:space="preserve">указанного</w:t>
            </w:r>
            <w:r>
              <w:rPr>
                <w:sz w:val="20"/>
                <w:szCs w:val="20"/>
              </w:rPr>
              <w:t xml:space="preserve"> </w:t>
            </w:r>
            <w:r>
              <w:rPr>
                <w:sz w:val="20"/>
                <w:szCs w:val="20"/>
              </w:rPr>
              <w:t xml:space="preserve">срока,</w:t>
            </w:r>
            <w:r>
              <w:rPr>
                <w:sz w:val="20"/>
                <w:szCs w:val="20"/>
              </w:rPr>
              <w:t xml:space="preserve"> </w:t>
            </w:r>
            <w:r>
              <w:rPr>
                <w:sz w:val="20"/>
                <w:szCs w:val="20"/>
              </w:rPr>
              <w:t xml:space="preserve">к</w:t>
            </w:r>
            <w:r>
              <w:rPr>
                <w:sz w:val="20"/>
                <w:szCs w:val="20"/>
              </w:rPr>
              <w:t xml:space="preserve"> </w:t>
            </w:r>
            <w:r>
              <w:rPr>
                <w:sz w:val="20"/>
                <w:szCs w:val="20"/>
              </w:rPr>
              <w:t xml:space="preserve">исполнению</w:t>
            </w:r>
            <w:r>
              <w:rPr>
                <w:sz w:val="20"/>
                <w:szCs w:val="20"/>
              </w:rPr>
              <w:t xml:space="preserve"> </w:t>
            </w:r>
            <w:r>
              <w:rPr>
                <w:sz w:val="20"/>
                <w:szCs w:val="20"/>
              </w:rPr>
              <w:t xml:space="preserve">Банком</w:t>
            </w:r>
            <w:r>
              <w:rPr>
                <w:sz w:val="20"/>
                <w:szCs w:val="20"/>
              </w:rPr>
              <w:t xml:space="preserve"> </w:t>
            </w:r>
            <w:r>
              <w:rPr>
                <w:sz w:val="20"/>
                <w:szCs w:val="20"/>
              </w:rPr>
              <w:t xml:space="preserve">не</w:t>
            </w:r>
            <w:r>
              <w:rPr>
                <w:sz w:val="20"/>
                <w:szCs w:val="20"/>
              </w:rPr>
              <w:t xml:space="preserve"> </w:t>
            </w:r>
            <w:r>
              <w:rPr>
                <w:sz w:val="20"/>
                <w:szCs w:val="20"/>
              </w:rPr>
              <w:t xml:space="preserve">принимаются.</w:t>
            </w:r>
            <w:r>
              <w:rPr>
                <w:sz w:val="20"/>
                <w:szCs w:val="20"/>
              </w:rPr>
              <w:t xml:space="preserve"> </w:t>
            </w:r>
            <w:r>
              <w:rPr>
                <w:sz w:val="20"/>
                <w:szCs w:val="20"/>
              </w:rPr>
              <w:t xml:space="preserve">Списание</w:t>
            </w:r>
            <w:r>
              <w:rPr>
                <w:sz w:val="20"/>
                <w:szCs w:val="20"/>
              </w:rPr>
              <w:t xml:space="preserve"> </w:t>
            </w:r>
            <w:r>
              <w:rPr>
                <w:sz w:val="20"/>
                <w:szCs w:val="20"/>
              </w:rPr>
              <w:t xml:space="preserve">средств</w:t>
            </w:r>
            <w:r>
              <w:rPr>
                <w:sz w:val="20"/>
                <w:szCs w:val="20"/>
              </w:rPr>
              <w:t xml:space="preserve"> </w:t>
            </w:r>
            <w:r>
              <w:rPr>
                <w:sz w:val="20"/>
                <w:szCs w:val="20"/>
              </w:rPr>
              <w:t xml:space="preserve">со</w:t>
            </w:r>
            <w:r>
              <w:rPr>
                <w:sz w:val="20"/>
                <w:szCs w:val="20"/>
              </w:rPr>
              <w:t xml:space="preserve"> </w:t>
            </w:r>
            <w:r>
              <w:rPr>
                <w:sz w:val="20"/>
                <w:szCs w:val="20"/>
              </w:rPr>
              <w:t xml:space="preserve">счета</w:t>
            </w:r>
            <w:r>
              <w:rPr>
                <w:sz w:val="20"/>
                <w:szCs w:val="20"/>
              </w:rPr>
              <w:t xml:space="preserve"> </w:t>
            </w:r>
            <w:r>
              <w:rPr>
                <w:sz w:val="20"/>
                <w:szCs w:val="20"/>
              </w:rPr>
              <w:t xml:space="preserve">клиента</w:t>
            </w:r>
            <w:r>
              <w:rPr>
                <w:sz w:val="20"/>
                <w:szCs w:val="20"/>
              </w:rPr>
              <w:t xml:space="preserve"> </w:t>
            </w:r>
            <w:r>
              <w:rPr>
                <w:sz w:val="20"/>
                <w:szCs w:val="20"/>
              </w:rPr>
              <w:t xml:space="preserve">и</w:t>
            </w:r>
            <w:r>
              <w:rPr>
                <w:sz w:val="20"/>
                <w:szCs w:val="20"/>
              </w:rPr>
              <w:t xml:space="preserve"> </w:t>
            </w:r>
            <w:r>
              <w:rPr>
                <w:sz w:val="20"/>
                <w:szCs w:val="20"/>
              </w:rPr>
              <w:t xml:space="preserve">зачисление</w:t>
            </w:r>
            <w:r>
              <w:rPr>
                <w:sz w:val="20"/>
                <w:szCs w:val="20"/>
              </w:rPr>
              <w:t xml:space="preserve"> </w:t>
            </w:r>
            <w:r>
              <w:rPr>
                <w:sz w:val="20"/>
                <w:szCs w:val="20"/>
              </w:rPr>
              <w:t xml:space="preserve">средств</w:t>
            </w:r>
            <w:r>
              <w:rPr>
                <w:sz w:val="20"/>
                <w:szCs w:val="20"/>
              </w:rPr>
              <w:t xml:space="preserve"> </w:t>
            </w:r>
            <w:r>
              <w:rPr>
                <w:sz w:val="20"/>
                <w:szCs w:val="20"/>
              </w:rPr>
              <w:t xml:space="preserve">на</w:t>
            </w:r>
            <w:r>
              <w:rPr>
                <w:sz w:val="20"/>
                <w:szCs w:val="20"/>
              </w:rPr>
              <w:t xml:space="preserve"> </w:t>
            </w:r>
            <w:r>
              <w:rPr>
                <w:sz w:val="20"/>
                <w:szCs w:val="20"/>
              </w:rPr>
              <w:t xml:space="preserve">счет</w:t>
            </w:r>
            <w:r>
              <w:rPr>
                <w:sz w:val="20"/>
                <w:szCs w:val="20"/>
              </w:rPr>
              <w:t xml:space="preserve"> </w:t>
            </w:r>
            <w:r>
              <w:rPr>
                <w:sz w:val="20"/>
                <w:szCs w:val="20"/>
              </w:rPr>
              <w:t xml:space="preserve">клиента</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распоряжения</w:t>
            </w:r>
            <w:r>
              <w:rPr>
                <w:sz w:val="20"/>
                <w:szCs w:val="20"/>
              </w:rPr>
              <w:t xml:space="preserve"> </w:t>
            </w:r>
            <w:r>
              <w:rPr>
                <w:sz w:val="20"/>
                <w:szCs w:val="20"/>
              </w:rPr>
              <w:t xml:space="preserve">в</w:t>
            </w:r>
            <w:r>
              <w:rPr>
                <w:sz w:val="20"/>
                <w:szCs w:val="20"/>
              </w:rPr>
              <w:t xml:space="preserve"> </w:t>
            </w:r>
            <w:r>
              <w:rPr>
                <w:sz w:val="20"/>
                <w:szCs w:val="20"/>
              </w:rPr>
              <w:t xml:space="preserve">день</w:t>
            </w:r>
            <w:r>
              <w:rPr>
                <w:sz w:val="20"/>
                <w:szCs w:val="20"/>
              </w:rPr>
              <w:t xml:space="preserve"> </w:t>
            </w:r>
            <w:r>
              <w:rPr>
                <w:sz w:val="20"/>
                <w:szCs w:val="20"/>
              </w:rPr>
              <w:t xml:space="preserve">подачи</w:t>
            </w:r>
            <w:r>
              <w:rPr>
                <w:sz w:val="20"/>
                <w:szCs w:val="20"/>
              </w:rPr>
              <w:t xml:space="preserve"> </w:t>
            </w:r>
            <w:r>
              <w:rPr>
                <w:sz w:val="20"/>
                <w:szCs w:val="20"/>
              </w:rPr>
              <w:t xml:space="preserve">клиентом</w:t>
            </w:r>
            <w:r>
              <w:rPr>
                <w:sz w:val="20"/>
                <w:szCs w:val="20"/>
              </w:rPr>
              <w:t xml:space="preserve"> </w:t>
            </w:r>
            <w:r>
              <w:rPr>
                <w:sz w:val="20"/>
                <w:szCs w:val="20"/>
              </w:rPr>
              <w:t xml:space="preserve">распоряжения.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restart"/>
            <w:textDirection w:val="lrTb"/>
            <w:noWrap w:val="false"/>
          </w:tcPr>
          <w:p>
            <w:pPr>
              <w:pStyle w:val="1135"/>
              <w:jc w:val="center"/>
              <w:rPr>
                <w:sz w:val="20"/>
                <w:szCs w:val="20"/>
              </w:rPr>
            </w:pPr>
            <w:r>
              <w:rPr>
                <w:sz w:val="20"/>
                <w:szCs w:val="20"/>
              </w:rPr>
              <w:t xml:space="preserve">11.1.2.</w:t>
            </w:r>
            <w:r>
              <w:rPr>
                <w:sz w:val="20"/>
                <w:szCs w:val="20"/>
              </w:rPr>
            </w:r>
            <w:r>
              <w:rPr>
                <w:sz w:val="20"/>
                <w:szCs w:val="20"/>
              </w:rPr>
            </w:r>
          </w:p>
        </w:tc>
        <w:tc>
          <w:tcPr>
            <w:gridSpan w:val="2"/>
            <w:tcW w:w="3969" w:type="dxa"/>
            <w:vAlign w:val="top"/>
            <w:textDirection w:val="lrTb"/>
            <w:noWrap w:val="false"/>
          </w:tcPr>
          <w:p>
            <w:pPr>
              <w:pStyle w:val="1135"/>
              <w:rPr>
                <w:sz w:val="20"/>
                <w:szCs w:val="20"/>
              </w:rPr>
            </w:pPr>
            <w:r>
              <w:rPr>
                <w:sz w:val="20"/>
                <w:szCs w:val="20"/>
              </w:rPr>
              <w:t xml:space="preserve">Продажа</w:t>
            </w:r>
            <w:r>
              <w:rPr>
                <w:sz w:val="20"/>
                <w:szCs w:val="20"/>
              </w:rPr>
              <w:t xml:space="preserve"> </w:t>
            </w:r>
            <w:r>
              <w:rPr>
                <w:sz w:val="20"/>
                <w:szCs w:val="20"/>
              </w:rPr>
              <w:t xml:space="preserve">непосредственно</w:t>
            </w:r>
            <w:r>
              <w:rPr>
                <w:sz w:val="20"/>
                <w:szCs w:val="20"/>
              </w:rPr>
              <w:t xml:space="preserve"> </w:t>
            </w:r>
            <w:r>
              <w:rPr>
                <w:sz w:val="20"/>
                <w:szCs w:val="20"/>
              </w:rPr>
              <w:t xml:space="preserve">Банку</w:t>
            </w:r>
            <w:r>
              <w:rPr>
                <w:sz w:val="20"/>
                <w:szCs w:val="20"/>
              </w:rPr>
              <w:t xml:space="preserve"> </w:t>
            </w:r>
            <w:r>
              <w:rPr>
                <w:sz w:val="20"/>
                <w:szCs w:val="20"/>
              </w:rPr>
              <w:t xml:space="preserve">иностранной</w:t>
            </w:r>
            <w:r>
              <w:rPr>
                <w:sz w:val="20"/>
                <w:szCs w:val="20"/>
              </w:rPr>
              <w:t xml:space="preserve"> </w:t>
            </w:r>
            <w:r>
              <w:rPr>
                <w:sz w:val="20"/>
                <w:szCs w:val="20"/>
              </w:rPr>
              <w:t xml:space="preserve">валюты</w:t>
            </w:r>
            <w:r>
              <w:rPr>
                <w:sz w:val="20"/>
                <w:szCs w:val="20"/>
              </w:rPr>
              <w:t xml:space="preserve"> </w:t>
            </w:r>
            <w:r>
              <w:rPr>
                <w:sz w:val="20"/>
                <w:szCs w:val="20"/>
              </w:rPr>
              <w:t xml:space="preserve">по</w:t>
            </w:r>
            <w:r>
              <w:rPr>
                <w:sz w:val="20"/>
                <w:szCs w:val="20"/>
              </w:rPr>
              <w:t xml:space="preserve"> </w:t>
            </w:r>
            <w:r>
              <w:rPr>
                <w:sz w:val="20"/>
                <w:szCs w:val="20"/>
              </w:rPr>
              <w:t xml:space="preserve">курсу</w:t>
            </w:r>
            <w:r>
              <w:rPr>
                <w:sz w:val="20"/>
                <w:szCs w:val="20"/>
              </w:rPr>
              <w:t xml:space="preserve"> </w:t>
            </w:r>
            <w:r>
              <w:rPr>
                <w:sz w:val="20"/>
                <w:szCs w:val="20"/>
              </w:rPr>
              <w:t xml:space="preserve">Банка</w:t>
            </w:r>
            <w:r>
              <w:rPr>
                <w:sz w:val="20"/>
                <w:szCs w:val="20"/>
              </w:rPr>
            </w:r>
            <w:r>
              <w:rPr>
                <w:sz w:val="20"/>
                <w:szCs w:val="20"/>
              </w:rPr>
            </w:r>
          </w:p>
        </w:tc>
        <w:tc>
          <w:tcPr>
            <w:gridSpan w:val="2"/>
            <w:tcW w:w="1985" w:type="dxa"/>
            <w:vAlign w:val="top"/>
            <w:textDirection w:val="lrTb"/>
            <w:noWrap w:val="false"/>
          </w:tcPr>
          <w:p>
            <w:pPr>
              <w:pStyle w:val="1135"/>
              <w:jc w:val="center"/>
              <w:rPr>
                <w:sz w:val="20"/>
                <w:szCs w:val="20"/>
              </w:rPr>
            </w:pPr>
            <w:r>
              <w:rPr>
                <w:sz w:val="20"/>
                <w:szCs w:val="20"/>
              </w:rPr>
              <w:t xml:space="preserve">Курс</w:t>
            </w:r>
            <w:r>
              <w:rPr>
                <w:sz w:val="20"/>
                <w:szCs w:val="20"/>
              </w:rPr>
              <w:t xml:space="preserve"> </w:t>
            </w:r>
            <w:r>
              <w:rPr>
                <w:sz w:val="20"/>
                <w:szCs w:val="20"/>
              </w:rPr>
              <w:t xml:space="preserve">Банка²</w:t>
            </w:r>
            <w:r>
              <w:rPr>
                <w:sz w:val="20"/>
                <w:szCs w:val="20"/>
              </w:rPr>
              <w:t xml:space="preserve"> </w:t>
            </w:r>
            <w:r>
              <w:rPr>
                <w:sz w:val="20"/>
                <w:szCs w:val="20"/>
              </w:rPr>
              <w:t xml:space="preserve">³</w:t>
            </w:r>
            <w:r>
              <w:rPr>
                <w:sz w:val="20"/>
                <w:szCs w:val="20"/>
              </w:rPr>
            </w:r>
            <w:r>
              <w:rPr>
                <w:sz w:val="20"/>
                <w:szCs w:val="20"/>
              </w:rPr>
            </w:r>
          </w:p>
        </w:tc>
        <w:tc>
          <w:tcPr>
            <w:tcW w:w="1559" w:type="dxa"/>
            <w:vAlign w:val="top"/>
            <w:textDirection w:val="lrTb"/>
            <w:noWrap w:val="false"/>
          </w:tcPr>
          <w:p>
            <w:pPr>
              <w:pStyle w:val="1135"/>
              <w:jc w:val="center"/>
              <w:rPr>
                <w:sz w:val="20"/>
                <w:szCs w:val="20"/>
              </w:rPr>
            </w:pPr>
            <w:r>
              <w:rPr>
                <w:sz w:val="20"/>
                <w:szCs w:val="20"/>
              </w:rPr>
            </w:r>
            <w:r>
              <w:rPr>
                <w:sz w:val="20"/>
                <w:szCs w:val="20"/>
              </w:rPr>
            </w:r>
            <w:r>
              <w:rPr>
                <w:sz w:val="20"/>
                <w:szCs w:val="20"/>
              </w:rPr>
            </w:r>
          </w:p>
        </w:tc>
        <w:tc>
          <w:tcPr>
            <w:tcW w:w="1843" w:type="dxa"/>
            <w:vAlign w:val="top"/>
            <w:textDirection w:val="lrTb"/>
            <w:noWrap w:val="false"/>
          </w:tcPr>
          <w:p>
            <w:pPr>
              <w:pStyle w:val="1135"/>
              <w:jc w:val="center"/>
              <w:rPr>
                <w:sz w:val="20"/>
                <w:szCs w:val="20"/>
              </w:rPr>
            </w:pPr>
            <w:r>
              <w:rPr>
                <w:sz w:val="20"/>
                <w:szCs w:val="20"/>
              </w:rPr>
              <w:t xml:space="preserve">Не</w:t>
            </w:r>
            <w:r>
              <w:rPr>
                <w:sz w:val="20"/>
                <w:szCs w:val="20"/>
              </w:rPr>
              <w:t xml:space="preserve"> </w:t>
            </w:r>
            <w:r>
              <w:rPr>
                <w:sz w:val="20"/>
                <w:szCs w:val="20"/>
              </w:rPr>
              <w:t xml:space="preserve">взимается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135"/>
              <w:jc w:val="center"/>
              <w:rPr>
                <w:sz w:val="20"/>
                <w:szCs w:val="20"/>
              </w:rPr>
            </w:pPr>
            <w:r>
              <w:rPr>
                <w:sz w:val="20"/>
                <w:szCs w:val="20"/>
              </w:rPr>
            </w:r>
            <w:r>
              <w:rPr>
                <w:sz w:val="20"/>
                <w:szCs w:val="20"/>
              </w:rPr>
            </w:r>
            <w:r>
              <w:rPr>
                <w:sz w:val="20"/>
                <w:szCs w:val="20"/>
              </w:rPr>
            </w:r>
          </w:p>
        </w:tc>
        <w:tc>
          <w:tcPr>
            <w:gridSpan w:val="6"/>
            <w:tcW w:w="9356" w:type="dxa"/>
            <w:vAlign w:val="top"/>
            <w:textDirection w:val="lrTb"/>
            <w:noWrap w:val="false"/>
          </w:tcPr>
          <w:p>
            <w:pPr>
              <w:pStyle w:val="1135"/>
              <w:rPr>
                <w:sz w:val="20"/>
                <w:szCs w:val="20"/>
              </w:rPr>
            </w:pPr>
            <w:r>
              <w:rPr>
                <w:sz w:val="20"/>
                <w:szCs w:val="20"/>
              </w:rPr>
              <w:t xml:space="preserve">Операция</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распоряжений,</w:t>
            </w:r>
            <w:r>
              <w:rPr>
                <w:sz w:val="20"/>
                <w:szCs w:val="20"/>
              </w:rPr>
              <w:t xml:space="preserve"> </w:t>
            </w:r>
            <w:r>
              <w:rPr>
                <w:sz w:val="20"/>
                <w:szCs w:val="20"/>
              </w:rPr>
              <w:t xml:space="preserve">предоставленных</w:t>
            </w:r>
            <w:r>
              <w:rPr>
                <w:sz w:val="20"/>
                <w:szCs w:val="20"/>
              </w:rPr>
              <w:t xml:space="preserve"> </w:t>
            </w:r>
            <w:r>
              <w:rPr>
                <w:sz w:val="20"/>
                <w:szCs w:val="20"/>
              </w:rPr>
              <w:t xml:space="preserve">клиентом.</w:t>
            </w:r>
            <w:r>
              <w:rPr>
                <w:sz w:val="20"/>
                <w:szCs w:val="20"/>
              </w:rPr>
              <w:t xml:space="preserve"> </w:t>
            </w:r>
            <w:r>
              <w:rPr>
                <w:sz w:val="20"/>
                <w:szCs w:val="20"/>
              </w:rPr>
              <w:t xml:space="preserve">Срок</w:t>
            </w:r>
            <w:r>
              <w:rPr>
                <w:sz w:val="20"/>
                <w:szCs w:val="20"/>
              </w:rPr>
              <w:t xml:space="preserve"> </w:t>
            </w:r>
            <w:r>
              <w:rPr>
                <w:sz w:val="20"/>
                <w:szCs w:val="20"/>
              </w:rPr>
              <w:t xml:space="preserve">подачи</w:t>
            </w:r>
            <w:r>
              <w:rPr>
                <w:sz w:val="20"/>
                <w:szCs w:val="20"/>
              </w:rPr>
              <w:t xml:space="preserve"> </w:t>
            </w:r>
            <w:r>
              <w:rPr>
                <w:sz w:val="20"/>
                <w:szCs w:val="20"/>
              </w:rPr>
              <w:t xml:space="preserve">распоряжений</w:t>
            </w:r>
            <w:r>
              <w:rPr>
                <w:sz w:val="20"/>
                <w:szCs w:val="20"/>
              </w:rPr>
              <w:t xml:space="preserve"> </w:t>
            </w:r>
            <w:r>
              <w:rPr>
                <w:sz w:val="20"/>
                <w:szCs w:val="20"/>
              </w:rPr>
              <w:t xml:space="preserve">–</w:t>
            </w:r>
            <w:r>
              <w:rPr>
                <w:sz w:val="20"/>
                <w:szCs w:val="20"/>
              </w:rPr>
              <w:t xml:space="preserve"> </w:t>
            </w:r>
            <w:r>
              <w:rPr>
                <w:sz w:val="20"/>
                <w:szCs w:val="20"/>
              </w:rPr>
              <w:t xml:space="preserve">до</w:t>
            </w:r>
            <w:r>
              <w:rPr>
                <w:sz w:val="20"/>
                <w:szCs w:val="20"/>
              </w:rPr>
              <w:t xml:space="preserve"> </w:t>
            </w:r>
            <w:r>
              <w:rPr>
                <w:sz w:val="20"/>
                <w:szCs w:val="20"/>
              </w:rPr>
              <w:t xml:space="preserve">16.00</w:t>
            </w:r>
            <w:r>
              <w:rPr>
                <w:sz w:val="20"/>
                <w:szCs w:val="20"/>
              </w:rPr>
              <w:t xml:space="preserve"> </w:t>
            </w:r>
            <w:r>
              <w:rPr>
                <w:sz w:val="20"/>
                <w:szCs w:val="20"/>
              </w:rPr>
              <w:t xml:space="preserve">часов</w:t>
            </w:r>
            <w:r>
              <w:rPr>
                <w:sz w:val="20"/>
                <w:szCs w:val="20"/>
              </w:rPr>
              <w:t xml:space="preserve"> </w:t>
            </w:r>
            <w:r>
              <w:rPr>
                <w:sz w:val="20"/>
                <w:szCs w:val="20"/>
              </w:rPr>
              <w:t xml:space="preserve">(по</w:t>
            </w:r>
            <w:r>
              <w:rPr>
                <w:sz w:val="20"/>
                <w:szCs w:val="20"/>
              </w:rPr>
              <w:t xml:space="preserve"> </w:t>
            </w:r>
            <w:r>
              <w:rPr>
                <w:sz w:val="20"/>
                <w:szCs w:val="20"/>
              </w:rPr>
              <w:t xml:space="preserve">пятницам</w:t>
            </w:r>
            <w:r>
              <w:rPr>
                <w:sz w:val="20"/>
                <w:szCs w:val="20"/>
              </w:rPr>
              <w:t xml:space="preserve"> </w:t>
            </w:r>
            <w:r>
              <w:rPr>
                <w:sz w:val="20"/>
                <w:szCs w:val="20"/>
              </w:rPr>
              <w:t xml:space="preserve">и</w:t>
            </w:r>
            <w:r>
              <w:rPr>
                <w:sz w:val="20"/>
                <w:szCs w:val="20"/>
              </w:rPr>
              <w:t xml:space="preserve"> </w:t>
            </w:r>
            <w:r>
              <w:rPr>
                <w:sz w:val="20"/>
                <w:szCs w:val="20"/>
              </w:rPr>
              <w:t xml:space="preserve">в</w:t>
            </w:r>
            <w:r>
              <w:rPr>
                <w:sz w:val="20"/>
                <w:szCs w:val="20"/>
              </w:rPr>
              <w:t xml:space="preserve"> </w:t>
            </w:r>
            <w:r>
              <w:rPr>
                <w:sz w:val="20"/>
                <w:szCs w:val="20"/>
              </w:rPr>
              <w:t xml:space="preserve">предпраздничные</w:t>
            </w:r>
            <w:r>
              <w:rPr>
                <w:sz w:val="20"/>
                <w:szCs w:val="20"/>
              </w:rPr>
              <w:t xml:space="preserve"> </w:t>
            </w:r>
            <w:r>
              <w:rPr>
                <w:sz w:val="20"/>
                <w:szCs w:val="20"/>
              </w:rPr>
              <w:t xml:space="preserve">дни</w:t>
            </w:r>
            <w:r>
              <w:rPr>
                <w:sz w:val="20"/>
                <w:szCs w:val="20"/>
              </w:rPr>
              <w:t xml:space="preserve"> </w:t>
            </w:r>
            <w:r>
              <w:rPr>
                <w:sz w:val="20"/>
                <w:szCs w:val="20"/>
              </w:rPr>
              <w:t xml:space="preserve">время</w:t>
            </w:r>
            <w:r>
              <w:rPr>
                <w:sz w:val="20"/>
                <w:szCs w:val="20"/>
              </w:rPr>
              <w:t xml:space="preserve"> </w:t>
            </w:r>
            <w:r>
              <w:rPr>
                <w:sz w:val="20"/>
                <w:szCs w:val="20"/>
              </w:rPr>
              <w:t xml:space="preserve">подачи</w:t>
            </w:r>
            <w:r>
              <w:rPr>
                <w:sz w:val="20"/>
                <w:szCs w:val="20"/>
              </w:rPr>
              <w:t xml:space="preserve"> </w:t>
            </w:r>
            <w:r>
              <w:rPr>
                <w:sz w:val="20"/>
                <w:szCs w:val="20"/>
              </w:rPr>
              <w:t xml:space="preserve">распоряжений</w:t>
            </w:r>
            <w:r>
              <w:rPr>
                <w:sz w:val="20"/>
                <w:szCs w:val="20"/>
              </w:rPr>
              <w:t xml:space="preserve"> </w:t>
            </w:r>
            <w:r>
              <w:rPr>
                <w:sz w:val="20"/>
                <w:szCs w:val="20"/>
              </w:rPr>
              <w:t xml:space="preserve">уменьшается</w:t>
            </w:r>
            <w:r>
              <w:rPr>
                <w:sz w:val="20"/>
                <w:szCs w:val="20"/>
              </w:rPr>
              <w:t xml:space="preserve"> </w:t>
            </w:r>
            <w:r>
              <w:rPr>
                <w:sz w:val="20"/>
                <w:szCs w:val="20"/>
              </w:rPr>
              <w:t xml:space="preserve">на</w:t>
            </w:r>
            <w:r>
              <w:rPr>
                <w:sz w:val="20"/>
                <w:szCs w:val="20"/>
              </w:rPr>
              <w:t xml:space="preserve"> </w:t>
            </w:r>
            <w:r>
              <w:rPr>
                <w:sz w:val="20"/>
                <w:szCs w:val="20"/>
              </w:rPr>
              <w:t xml:space="preserve">соответствующее</w:t>
            </w:r>
            <w:r>
              <w:rPr>
                <w:sz w:val="20"/>
                <w:szCs w:val="20"/>
              </w:rPr>
              <w:t xml:space="preserve"> </w:t>
            </w:r>
            <w:r>
              <w:rPr>
                <w:sz w:val="20"/>
                <w:szCs w:val="20"/>
              </w:rPr>
              <w:t xml:space="preserve">сокращение</w:t>
            </w:r>
            <w:r>
              <w:rPr>
                <w:sz w:val="20"/>
                <w:szCs w:val="20"/>
              </w:rPr>
              <w:t xml:space="preserve"> </w:t>
            </w:r>
            <w:r>
              <w:rPr>
                <w:sz w:val="20"/>
                <w:szCs w:val="20"/>
              </w:rPr>
              <w:t xml:space="preserve">рабочего</w:t>
            </w:r>
            <w:r>
              <w:rPr>
                <w:sz w:val="20"/>
                <w:szCs w:val="20"/>
              </w:rPr>
              <w:t xml:space="preserve"> </w:t>
            </w:r>
            <w:r>
              <w:rPr>
                <w:sz w:val="20"/>
                <w:szCs w:val="20"/>
              </w:rPr>
              <w:t xml:space="preserve">времени</w:t>
            </w:r>
            <w:r>
              <w:rPr>
                <w:sz w:val="20"/>
                <w:szCs w:val="20"/>
              </w:rPr>
              <w:t xml:space="preserve"> </w:t>
            </w:r>
            <w:r>
              <w:rPr>
                <w:sz w:val="20"/>
                <w:szCs w:val="20"/>
              </w:rPr>
              <w:t xml:space="preserve">Банка).</w:t>
            </w:r>
            <w:r>
              <w:rPr>
                <w:sz w:val="20"/>
                <w:szCs w:val="20"/>
              </w:rPr>
              <w:t xml:space="preserve"> </w:t>
            </w:r>
            <w:r>
              <w:rPr>
                <w:sz w:val="20"/>
                <w:szCs w:val="20"/>
              </w:rPr>
              <w:t xml:space="preserve">Распоряжения,</w:t>
            </w:r>
            <w:r>
              <w:rPr>
                <w:sz w:val="20"/>
                <w:szCs w:val="20"/>
              </w:rPr>
              <w:t xml:space="preserve"> </w:t>
            </w:r>
            <w:r>
              <w:rPr>
                <w:sz w:val="20"/>
                <w:szCs w:val="20"/>
              </w:rPr>
              <w:t xml:space="preserve">предоставленные</w:t>
            </w:r>
            <w:r>
              <w:rPr>
                <w:sz w:val="20"/>
                <w:szCs w:val="20"/>
              </w:rPr>
              <w:t xml:space="preserve"> </w:t>
            </w:r>
            <w:r>
              <w:rPr>
                <w:sz w:val="20"/>
                <w:szCs w:val="20"/>
              </w:rPr>
              <w:t xml:space="preserve">клиентами</w:t>
            </w:r>
            <w:r>
              <w:rPr>
                <w:sz w:val="20"/>
                <w:szCs w:val="20"/>
              </w:rPr>
              <w:t xml:space="preserve"> </w:t>
            </w:r>
            <w:r>
              <w:rPr>
                <w:sz w:val="20"/>
                <w:szCs w:val="20"/>
              </w:rPr>
              <w:t xml:space="preserve">позже</w:t>
            </w:r>
            <w:r>
              <w:rPr>
                <w:sz w:val="20"/>
                <w:szCs w:val="20"/>
              </w:rPr>
              <w:t xml:space="preserve"> </w:t>
            </w:r>
            <w:r>
              <w:rPr>
                <w:sz w:val="20"/>
                <w:szCs w:val="20"/>
              </w:rPr>
              <w:t xml:space="preserve">указанного</w:t>
            </w:r>
            <w:r>
              <w:rPr>
                <w:sz w:val="20"/>
                <w:szCs w:val="20"/>
              </w:rPr>
              <w:t xml:space="preserve"> </w:t>
            </w:r>
            <w:r>
              <w:rPr>
                <w:sz w:val="20"/>
                <w:szCs w:val="20"/>
              </w:rPr>
              <w:t xml:space="preserve">срока,</w:t>
            </w:r>
            <w:r>
              <w:rPr>
                <w:sz w:val="20"/>
                <w:szCs w:val="20"/>
              </w:rPr>
              <w:t xml:space="preserve"> </w:t>
            </w:r>
            <w:r>
              <w:rPr>
                <w:sz w:val="20"/>
                <w:szCs w:val="20"/>
              </w:rPr>
              <w:t xml:space="preserve">к</w:t>
            </w:r>
            <w:r>
              <w:rPr>
                <w:sz w:val="20"/>
                <w:szCs w:val="20"/>
              </w:rPr>
              <w:t xml:space="preserve"> </w:t>
            </w:r>
            <w:r>
              <w:rPr>
                <w:sz w:val="20"/>
                <w:szCs w:val="20"/>
              </w:rPr>
              <w:t xml:space="preserve">исполнению</w:t>
            </w:r>
            <w:r>
              <w:rPr>
                <w:sz w:val="20"/>
                <w:szCs w:val="20"/>
              </w:rPr>
              <w:t xml:space="preserve"> </w:t>
            </w:r>
            <w:r>
              <w:rPr>
                <w:sz w:val="20"/>
                <w:szCs w:val="20"/>
              </w:rPr>
              <w:t xml:space="preserve">Банком</w:t>
            </w:r>
            <w:r>
              <w:rPr>
                <w:sz w:val="20"/>
                <w:szCs w:val="20"/>
              </w:rPr>
              <w:t xml:space="preserve"> </w:t>
            </w:r>
            <w:r>
              <w:rPr>
                <w:sz w:val="20"/>
                <w:szCs w:val="20"/>
              </w:rPr>
              <w:t xml:space="preserve">не</w:t>
            </w:r>
            <w:r>
              <w:rPr>
                <w:sz w:val="20"/>
                <w:szCs w:val="20"/>
              </w:rPr>
              <w:t xml:space="preserve"> </w:t>
            </w:r>
            <w:r>
              <w:rPr>
                <w:sz w:val="20"/>
                <w:szCs w:val="20"/>
              </w:rPr>
              <w:t xml:space="preserve">принимаются.</w:t>
            </w:r>
            <w:r>
              <w:rPr>
                <w:sz w:val="20"/>
                <w:szCs w:val="20"/>
              </w:rPr>
              <w:t xml:space="preserve"> </w:t>
            </w:r>
            <w:r>
              <w:rPr>
                <w:sz w:val="20"/>
                <w:szCs w:val="20"/>
              </w:rPr>
              <w:t xml:space="preserve">Списание</w:t>
            </w:r>
            <w:r>
              <w:rPr>
                <w:sz w:val="20"/>
                <w:szCs w:val="20"/>
              </w:rPr>
              <w:t xml:space="preserve"> </w:t>
            </w:r>
            <w:r>
              <w:rPr>
                <w:sz w:val="20"/>
                <w:szCs w:val="20"/>
              </w:rPr>
              <w:t xml:space="preserve">средств</w:t>
            </w:r>
            <w:r>
              <w:rPr>
                <w:sz w:val="20"/>
                <w:szCs w:val="20"/>
              </w:rPr>
              <w:t xml:space="preserve"> </w:t>
            </w:r>
            <w:r>
              <w:rPr>
                <w:sz w:val="20"/>
                <w:szCs w:val="20"/>
              </w:rPr>
              <w:t xml:space="preserve">со</w:t>
            </w:r>
            <w:r>
              <w:rPr>
                <w:sz w:val="20"/>
                <w:szCs w:val="20"/>
              </w:rPr>
              <w:t xml:space="preserve"> </w:t>
            </w:r>
            <w:r>
              <w:rPr>
                <w:sz w:val="20"/>
                <w:szCs w:val="20"/>
              </w:rPr>
              <w:t xml:space="preserve">счета</w:t>
            </w:r>
            <w:r>
              <w:rPr>
                <w:sz w:val="20"/>
                <w:szCs w:val="20"/>
              </w:rPr>
              <w:t xml:space="preserve"> </w:t>
            </w:r>
            <w:r>
              <w:rPr>
                <w:sz w:val="20"/>
                <w:szCs w:val="20"/>
              </w:rPr>
              <w:t xml:space="preserve">клиента</w:t>
            </w:r>
            <w:r>
              <w:rPr>
                <w:sz w:val="20"/>
                <w:szCs w:val="20"/>
              </w:rPr>
              <w:t xml:space="preserve"> </w:t>
            </w:r>
            <w:r>
              <w:rPr>
                <w:sz w:val="20"/>
                <w:szCs w:val="20"/>
              </w:rPr>
              <w:t xml:space="preserve">и</w:t>
            </w:r>
            <w:r>
              <w:rPr>
                <w:sz w:val="20"/>
                <w:szCs w:val="20"/>
              </w:rPr>
              <w:t xml:space="preserve"> </w:t>
            </w:r>
            <w:r>
              <w:rPr>
                <w:sz w:val="20"/>
                <w:szCs w:val="20"/>
              </w:rPr>
              <w:t xml:space="preserve">зачисление</w:t>
            </w:r>
            <w:r>
              <w:rPr>
                <w:sz w:val="20"/>
                <w:szCs w:val="20"/>
              </w:rPr>
              <w:t xml:space="preserve"> </w:t>
            </w:r>
            <w:r>
              <w:rPr>
                <w:sz w:val="20"/>
                <w:szCs w:val="20"/>
              </w:rPr>
              <w:t xml:space="preserve">средств</w:t>
            </w:r>
            <w:r>
              <w:rPr>
                <w:sz w:val="20"/>
                <w:szCs w:val="20"/>
              </w:rPr>
              <w:t xml:space="preserve"> </w:t>
            </w:r>
            <w:r>
              <w:rPr>
                <w:sz w:val="20"/>
                <w:szCs w:val="20"/>
              </w:rPr>
              <w:t xml:space="preserve">на</w:t>
            </w:r>
            <w:r>
              <w:rPr>
                <w:sz w:val="20"/>
                <w:szCs w:val="20"/>
              </w:rPr>
              <w:t xml:space="preserve"> </w:t>
            </w:r>
            <w:r>
              <w:rPr>
                <w:sz w:val="20"/>
                <w:szCs w:val="20"/>
              </w:rPr>
              <w:t xml:space="preserve">счет</w:t>
            </w:r>
            <w:r>
              <w:rPr>
                <w:sz w:val="20"/>
                <w:szCs w:val="20"/>
              </w:rPr>
              <w:t xml:space="preserve"> </w:t>
            </w:r>
            <w:r>
              <w:rPr>
                <w:sz w:val="20"/>
                <w:szCs w:val="20"/>
              </w:rPr>
              <w:t xml:space="preserve">клиента</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распоряжения</w:t>
            </w:r>
            <w:r>
              <w:rPr>
                <w:sz w:val="20"/>
                <w:szCs w:val="20"/>
              </w:rPr>
              <w:t xml:space="preserve"> </w:t>
            </w:r>
            <w:r>
              <w:rPr>
                <w:sz w:val="20"/>
                <w:szCs w:val="20"/>
              </w:rPr>
              <w:t xml:space="preserve">в</w:t>
            </w:r>
            <w:r>
              <w:rPr>
                <w:sz w:val="20"/>
                <w:szCs w:val="20"/>
              </w:rPr>
              <w:t xml:space="preserve"> </w:t>
            </w:r>
            <w:r>
              <w:rPr>
                <w:sz w:val="20"/>
                <w:szCs w:val="20"/>
              </w:rPr>
              <w:t xml:space="preserve">день</w:t>
            </w:r>
            <w:r>
              <w:rPr>
                <w:sz w:val="20"/>
                <w:szCs w:val="20"/>
              </w:rPr>
              <w:t xml:space="preserve"> </w:t>
            </w:r>
            <w:r>
              <w:rPr>
                <w:sz w:val="20"/>
                <w:szCs w:val="20"/>
              </w:rPr>
              <w:t xml:space="preserve">подачи</w:t>
            </w:r>
            <w:r>
              <w:rPr>
                <w:sz w:val="20"/>
                <w:szCs w:val="20"/>
              </w:rPr>
              <w:t xml:space="preserve"> </w:t>
            </w:r>
            <w:r>
              <w:rPr>
                <w:sz w:val="20"/>
                <w:szCs w:val="20"/>
              </w:rPr>
              <w:t xml:space="preserve">клиентом</w:t>
            </w:r>
            <w:r>
              <w:rPr>
                <w:sz w:val="20"/>
                <w:szCs w:val="20"/>
              </w:rPr>
              <w:t xml:space="preserve"> </w:t>
            </w:r>
            <w:r>
              <w:rPr>
                <w:sz w:val="20"/>
                <w:szCs w:val="20"/>
              </w:rPr>
              <w:t xml:space="preserve">распоряжения.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7"/>
            <w:tcW w:w="10207" w:type="dxa"/>
            <w:vAlign w:val="top"/>
            <w:textDirection w:val="lrTb"/>
            <w:noWrap w:val="false"/>
          </w:tcPr>
          <w:p>
            <w:pPr>
              <w:pStyle w:val="1135"/>
              <w:jc w:val="center"/>
              <w:rPr>
                <w:sz w:val="20"/>
                <w:szCs w:val="20"/>
              </w:rPr>
            </w:pPr>
            <w:r>
              <w:rPr>
                <w:sz w:val="20"/>
                <w:szCs w:val="20"/>
              </w:rPr>
              <w:t xml:space="preserve">11.2.</w:t>
            </w:r>
            <w:r>
              <w:rPr>
                <w:sz w:val="20"/>
                <w:szCs w:val="20"/>
              </w:rPr>
              <w:t xml:space="preserve"> </w:t>
            </w:r>
            <w:r>
              <w:rPr>
                <w:sz w:val="20"/>
                <w:szCs w:val="20"/>
              </w:rPr>
              <w:t xml:space="preserve">Покупка иностранной валюты клиентом за российские рубли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restart"/>
            <w:textDirection w:val="lrTb"/>
            <w:noWrap w:val="false"/>
          </w:tcPr>
          <w:p>
            <w:pPr>
              <w:pStyle w:val="1135"/>
              <w:jc w:val="center"/>
              <w:rPr>
                <w:sz w:val="20"/>
                <w:szCs w:val="20"/>
              </w:rPr>
            </w:pPr>
            <w:r>
              <w:rPr>
                <w:sz w:val="20"/>
                <w:szCs w:val="20"/>
              </w:rPr>
              <w:t xml:space="preserve">11.2.1.</w:t>
            </w:r>
            <w:r>
              <w:rPr>
                <w:sz w:val="20"/>
                <w:szCs w:val="20"/>
              </w:rPr>
            </w:r>
            <w:r>
              <w:rPr>
                <w:sz w:val="20"/>
                <w:szCs w:val="20"/>
              </w:rPr>
            </w:r>
          </w:p>
        </w:tc>
        <w:tc>
          <w:tcPr>
            <w:gridSpan w:val="2"/>
            <w:tcW w:w="3969" w:type="dxa"/>
            <w:vAlign w:val="top"/>
            <w:textDirection w:val="lrTb"/>
            <w:noWrap w:val="false"/>
          </w:tcPr>
          <w:p>
            <w:pPr>
              <w:pStyle w:val="1135"/>
              <w:rPr>
                <w:sz w:val="20"/>
                <w:szCs w:val="20"/>
              </w:rPr>
            </w:pPr>
            <w:r>
              <w:rPr>
                <w:sz w:val="20"/>
                <w:szCs w:val="20"/>
              </w:rPr>
              <w:t xml:space="preserve">Покупка</w:t>
            </w:r>
            <w:r>
              <w:rPr>
                <w:sz w:val="20"/>
                <w:szCs w:val="20"/>
              </w:rPr>
              <w:t xml:space="preserve"> </w:t>
            </w:r>
            <w:r>
              <w:rPr>
                <w:sz w:val="20"/>
                <w:szCs w:val="20"/>
              </w:rPr>
              <w:t xml:space="preserve">непосредственно</w:t>
            </w:r>
            <w:r>
              <w:rPr>
                <w:sz w:val="20"/>
                <w:szCs w:val="20"/>
              </w:rPr>
              <w:t xml:space="preserve"> </w:t>
            </w:r>
            <w:r>
              <w:rPr>
                <w:sz w:val="20"/>
                <w:szCs w:val="20"/>
              </w:rPr>
              <w:t xml:space="preserve">у</w:t>
            </w:r>
            <w:r>
              <w:rPr>
                <w:sz w:val="20"/>
                <w:szCs w:val="20"/>
              </w:rPr>
              <w:t xml:space="preserve"> </w:t>
            </w:r>
            <w:r>
              <w:rPr>
                <w:sz w:val="20"/>
                <w:szCs w:val="20"/>
              </w:rPr>
              <w:t xml:space="preserve">Банка</w:t>
            </w:r>
            <w:r>
              <w:rPr>
                <w:sz w:val="20"/>
                <w:szCs w:val="20"/>
              </w:rPr>
              <w:t xml:space="preserve"> </w:t>
            </w:r>
            <w:r>
              <w:rPr>
                <w:sz w:val="20"/>
                <w:szCs w:val="20"/>
              </w:rPr>
              <w:t xml:space="preserve">иностранной</w:t>
            </w:r>
            <w:r>
              <w:rPr>
                <w:sz w:val="20"/>
                <w:szCs w:val="20"/>
              </w:rPr>
              <w:t xml:space="preserve"> </w:t>
            </w:r>
            <w:r>
              <w:rPr>
                <w:sz w:val="20"/>
                <w:szCs w:val="20"/>
              </w:rPr>
              <w:t xml:space="preserve">валюты</w:t>
            </w:r>
            <w:r>
              <w:rPr>
                <w:sz w:val="20"/>
                <w:szCs w:val="20"/>
              </w:rPr>
              <w:t xml:space="preserve"> </w:t>
            </w:r>
            <w:r>
              <w:rPr>
                <w:sz w:val="20"/>
                <w:szCs w:val="20"/>
              </w:rPr>
              <w:t xml:space="preserve">по</w:t>
            </w:r>
            <w:r>
              <w:rPr>
                <w:sz w:val="20"/>
                <w:szCs w:val="20"/>
              </w:rPr>
              <w:t xml:space="preserve"> </w:t>
            </w:r>
            <w:r>
              <w:rPr>
                <w:sz w:val="20"/>
                <w:szCs w:val="20"/>
              </w:rPr>
              <w:t xml:space="preserve">курсу</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r>
            <w:r>
              <w:rPr>
                <w:sz w:val="20"/>
                <w:szCs w:val="20"/>
              </w:rPr>
            </w:r>
          </w:p>
        </w:tc>
        <w:tc>
          <w:tcPr>
            <w:gridSpan w:val="2"/>
            <w:tcW w:w="1985" w:type="dxa"/>
            <w:vAlign w:val="top"/>
            <w:textDirection w:val="lrTb"/>
            <w:noWrap w:val="false"/>
          </w:tcPr>
          <w:p>
            <w:pPr>
              <w:pStyle w:val="1135"/>
              <w:jc w:val="center"/>
              <w:rPr>
                <w:sz w:val="20"/>
                <w:szCs w:val="20"/>
              </w:rPr>
            </w:pPr>
            <w:r>
              <w:rPr>
                <w:sz w:val="20"/>
                <w:szCs w:val="20"/>
              </w:rPr>
              <w:t xml:space="preserve">Курс</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t xml:space="preserve"> </w:t>
            </w:r>
            <w:r>
              <w:rPr>
                <w:sz w:val="20"/>
                <w:szCs w:val="20"/>
              </w:rPr>
              <w:t xml:space="preserve">действующий</w:t>
            </w:r>
            <w:r>
              <w:rPr>
                <w:sz w:val="20"/>
                <w:szCs w:val="20"/>
              </w:rPr>
              <w:t xml:space="preserve"> </w:t>
            </w:r>
            <w:r>
              <w:rPr>
                <w:sz w:val="20"/>
                <w:szCs w:val="20"/>
              </w:rPr>
              <w:t xml:space="preserve">на</w:t>
            </w:r>
            <w:r>
              <w:rPr>
                <w:sz w:val="20"/>
                <w:szCs w:val="20"/>
              </w:rPr>
              <w:t xml:space="preserve"> </w:t>
            </w:r>
            <w:r>
              <w:rPr>
                <w:sz w:val="20"/>
                <w:szCs w:val="20"/>
              </w:rPr>
              <w:t xml:space="preserve">дату</w:t>
            </w:r>
            <w:r>
              <w:rPr>
                <w:sz w:val="20"/>
                <w:szCs w:val="20"/>
              </w:rPr>
              <w:t xml:space="preserve"> </w:t>
            </w:r>
            <w:r>
              <w:rPr>
                <w:sz w:val="20"/>
                <w:szCs w:val="20"/>
              </w:rPr>
              <w:t xml:space="preserve">подачи</w:t>
            </w:r>
            <w:r>
              <w:rPr>
                <w:sz w:val="20"/>
                <w:szCs w:val="20"/>
              </w:rPr>
              <w:t xml:space="preserve"> </w:t>
            </w:r>
            <w:r>
              <w:rPr>
                <w:sz w:val="20"/>
                <w:szCs w:val="20"/>
              </w:rPr>
              <w:t xml:space="preserve">клиентом</w:t>
            </w:r>
            <w:r>
              <w:rPr>
                <w:sz w:val="20"/>
                <w:szCs w:val="20"/>
              </w:rPr>
              <w:t xml:space="preserve"> </w:t>
            </w:r>
            <w:r>
              <w:rPr>
                <w:sz w:val="20"/>
                <w:szCs w:val="20"/>
              </w:rPr>
              <w:t xml:space="preserve">заявки</w:t>
            </w:r>
            <w:r>
              <w:rPr>
                <w:sz w:val="20"/>
                <w:szCs w:val="20"/>
              </w:rPr>
            </w:r>
            <w:r>
              <w:rPr>
                <w:sz w:val="20"/>
                <w:szCs w:val="20"/>
              </w:rPr>
            </w:r>
          </w:p>
        </w:tc>
        <w:tc>
          <w:tcPr>
            <w:tcW w:w="1559" w:type="dxa"/>
            <w:vAlign w:val="top"/>
            <w:textDirection w:val="lrTb"/>
            <w:noWrap w:val="false"/>
          </w:tcPr>
          <w:p>
            <w:pPr>
              <w:pStyle w:val="1135"/>
              <w:jc w:val="center"/>
              <w:rPr>
                <w:sz w:val="20"/>
                <w:szCs w:val="20"/>
              </w:rPr>
            </w:pPr>
            <w:r>
              <w:rPr>
                <w:sz w:val="20"/>
                <w:szCs w:val="20"/>
              </w:rPr>
            </w:r>
            <w:r>
              <w:rPr>
                <w:sz w:val="20"/>
                <w:szCs w:val="20"/>
              </w:rPr>
            </w:r>
            <w:r>
              <w:rPr>
                <w:sz w:val="20"/>
                <w:szCs w:val="20"/>
              </w:rPr>
            </w:r>
          </w:p>
        </w:tc>
        <w:tc>
          <w:tcPr>
            <w:tcW w:w="1843" w:type="dxa"/>
            <w:vAlign w:val="top"/>
            <w:textDirection w:val="lrTb"/>
            <w:noWrap w:val="false"/>
          </w:tcPr>
          <w:p>
            <w:pPr>
              <w:pStyle w:val="1135"/>
              <w:jc w:val="center"/>
              <w:rPr>
                <w:sz w:val="20"/>
                <w:szCs w:val="20"/>
              </w:rPr>
            </w:pPr>
            <w:r>
              <w:rPr>
                <w:sz w:val="20"/>
                <w:szCs w:val="20"/>
              </w:rPr>
              <w:t xml:space="preserve">В</w:t>
            </w:r>
            <w:r>
              <w:rPr>
                <w:sz w:val="20"/>
                <w:szCs w:val="20"/>
              </w:rPr>
              <w:t xml:space="preserve"> </w:t>
            </w:r>
            <w:r>
              <w:rPr>
                <w:sz w:val="20"/>
                <w:szCs w:val="20"/>
              </w:rPr>
              <w:t xml:space="preserve">соответствии</w:t>
            </w:r>
            <w:r>
              <w:rPr>
                <w:sz w:val="20"/>
                <w:szCs w:val="20"/>
              </w:rPr>
              <w:t xml:space="preserve"> </w:t>
            </w:r>
            <w:r>
              <w:rPr>
                <w:sz w:val="20"/>
                <w:szCs w:val="20"/>
              </w:rPr>
              <w:t xml:space="preserve">с</w:t>
            </w:r>
            <w:r>
              <w:rPr>
                <w:sz w:val="20"/>
                <w:szCs w:val="20"/>
              </w:rPr>
              <w:t xml:space="preserve"> </w:t>
            </w:r>
            <w:r>
              <w:rPr>
                <w:sz w:val="20"/>
                <w:szCs w:val="20"/>
              </w:rPr>
              <w:t xml:space="preserve">установленным</w:t>
            </w:r>
            <w:r>
              <w:rPr>
                <w:sz w:val="20"/>
                <w:szCs w:val="20"/>
              </w:rPr>
              <w:t xml:space="preserve"> </w:t>
            </w:r>
            <w:r>
              <w:rPr>
                <w:sz w:val="20"/>
                <w:szCs w:val="20"/>
              </w:rPr>
              <w:t xml:space="preserve">Банком</w:t>
            </w:r>
            <w:r>
              <w:rPr>
                <w:sz w:val="20"/>
                <w:szCs w:val="20"/>
              </w:rPr>
              <w:t xml:space="preserve"> </w:t>
            </w:r>
            <w:r>
              <w:rPr>
                <w:sz w:val="20"/>
                <w:szCs w:val="20"/>
              </w:rPr>
              <w:t xml:space="preserve">размером</w:t>
            </w:r>
            <w:r>
              <w:rPr>
                <w:sz w:val="20"/>
                <w:szCs w:val="20"/>
              </w:rPr>
              <w:t xml:space="preserve"> </w:t>
            </w:r>
            <w:r>
              <w:rPr>
                <w:sz w:val="20"/>
                <w:szCs w:val="20"/>
              </w:rPr>
              <w:t xml:space="preserve">расчетной</w:t>
            </w:r>
            <w:r>
              <w:rPr>
                <w:sz w:val="20"/>
                <w:szCs w:val="20"/>
              </w:rPr>
              <w:t xml:space="preserve"> </w:t>
            </w:r>
            <w:r>
              <w:rPr>
                <w:sz w:val="20"/>
                <w:szCs w:val="20"/>
              </w:rPr>
              <w:t xml:space="preserve">комиссии,</w:t>
            </w:r>
            <w:r>
              <w:rPr>
                <w:sz w:val="20"/>
                <w:szCs w:val="20"/>
              </w:rPr>
              <w:t xml:space="preserve"> </w:t>
            </w:r>
            <w:r>
              <w:rPr>
                <w:sz w:val="20"/>
                <w:szCs w:val="20"/>
              </w:rPr>
              <w:t xml:space="preserve">действующим</w:t>
            </w:r>
            <w:r>
              <w:rPr>
                <w:sz w:val="20"/>
                <w:szCs w:val="20"/>
              </w:rPr>
              <w:t xml:space="preserve"> </w:t>
            </w:r>
            <w:r>
              <w:rPr>
                <w:sz w:val="20"/>
                <w:szCs w:val="20"/>
              </w:rPr>
              <w:t xml:space="preserve">на</w:t>
            </w:r>
            <w:r>
              <w:rPr>
                <w:sz w:val="20"/>
                <w:szCs w:val="20"/>
              </w:rPr>
              <w:t xml:space="preserve"> </w:t>
            </w:r>
            <w:r>
              <w:rPr>
                <w:sz w:val="20"/>
                <w:szCs w:val="20"/>
              </w:rPr>
              <w:t xml:space="preserve">соответствующую</w:t>
            </w:r>
            <w:r>
              <w:rPr>
                <w:sz w:val="20"/>
                <w:szCs w:val="20"/>
              </w:rPr>
              <w:t xml:space="preserve"> </w:t>
            </w:r>
            <w:r>
              <w:rPr>
                <w:sz w:val="20"/>
                <w:szCs w:val="20"/>
              </w:rPr>
              <w:t xml:space="preserve">дату</w:t>
            </w:r>
            <w:r>
              <w:rPr>
                <w:sz w:val="20"/>
                <w:szCs w:val="20"/>
              </w:rPr>
              <w:t xml:space="preserve"> </w:t>
            </w:r>
            <w:r>
              <w:rPr>
                <w:sz w:val="20"/>
                <w:szCs w:val="20"/>
              </w:rPr>
              <w:t xml:space="preserve">и</w:t>
            </w:r>
            <w:r>
              <w:rPr>
                <w:sz w:val="20"/>
                <w:szCs w:val="20"/>
              </w:rPr>
              <w:t xml:space="preserve"> </w:t>
            </w:r>
            <w:r>
              <w:rPr>
                <w:sz w:val="20"/>
                <w:szCs w:val="20"/>
              </w:rPr>
              <w:t xml:space="preserve">время</w:t>
            </w:r>
            <w:r>
              <w:rPr>
                <w:sz w:val="20"/>
                <w:szCs w:val="20"/>
              </w:rPr>
              <w:t xml:space="preserve"> </w:t>
            </w:r>
            <w:r>
              <w:rPr>
                <w:sz w:val="20"/>
                <w:szCs w:val="20"/>
              </w:rPr>
              <w:t xml:space="preserve">совершения</w:t>
            </w:r>
            <w:r>
              <w:rPr>
                <w:sz w:val="20"/>
                <w:szCs w:val="20"/>
              </w:rPr>
              <w:t xml:space="preserve"> </w:t>
            </w:r>
            <w:r>
              <w:rPr>
                <w:sz w:val="20"/>
                <w:szCs w:val="20"/>
              </w:rPr>
              <w:t xml:space="preserve">операции²</w:t>
            </w:r>
            <w:r>
              <w:rPr>
                <w:sz w:val="20"/>
                <w:szCs w:val="20"/>
              </w:rPr>
              <w:t xml:space="preserve"> </w:t>
            </w:r>
            <w:r>
              <w:rPr>
                <w:sz w:val="20"/>
                <w:szCs w:val="20"/>
              </w:rPr>
              <w:t xml:space="preserve">³</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135"/>
              <w:jc w:val="center"/>
              <w:rPr>
                <w:sz w:val="20"/>
                <w:szCs w:val="20"/>
              </w:rPr>
            </w:pPr>
            <w:r>
              <w:rPr>
                <w:sz w:val="20"/>
                <w:szCs w:val="20"/>
              </w:rPr>
            </w:r>
            <w:r>
              <w:rPr>
                <w:sz w:val="20"/>
                <w:szCs w:val="20"/>
              </w:rPr>
            </w:r>
            <w:r>
              <w:rPr>
                <w:sz w:val="20"/>
                <w:szCs w:val="20"/>
              </w:rPr>
            </w:r>
          </w:p>
        </w:tc>
        <w:tc>
          <w:tcPr>
            <w:gridSpan w:val="6"/>
            <w:tcW w:w="9356" w:type="dxa"/>
            <w:vAlign w:val="top"/>
            <w:textDirection w:val="lrTb"/>
            <w:noWrap w:val="false"/>
          </w:tcPr>
          <w:p>
            <w:pPr>
              <w:pStyle w:val="1135"/>
              <w:rPr>
                <w:sz w:val="20"/>
                <w:szCs w:val="20"/>
              </w:rPr>
            </w:pPr>
            <w:r>
              <w:rPr>
                <w:sz w:val="20"/>
                <w:szCs w:val="20"/>
              </w:rPr>
              <w:t xml:space="preserve">Операция</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заявки,</w:t>
            </w:r>
            <w:r>
              <w:rPr>
                <w:sz w:val="20"/>
                <w:szCs w:val="20"/>
              </w:rPr>
              <w:t xml:space="preserve"> </w:t>
            </w:r>
            <w:r>
              <w:rPr>
                <w:sz w:val="20"/>
                <w:szCs w:val="20"/>
              </w:rPr>
              <w:t xml:space="preserve">предоставленной</w:t>
            </w:r>
            <w:r>
              <w:rPr>
                <w:sz w:val="20"/>
                <w:szCs w:val="20"/>
              </w:rPr>
              <w:t xml:space="preserve"> </w:t>
            </w:r>
            <w:r>
              <w:rPr>
                <w:sz w:val="20"/>
                <w:szCs w:val="20"/>
              </w:rPr>
              <w:t xml:space="preserve">клиентом.</w:t>
            </w:r>
            <w:r>
              <w:rPr>
                <w:sz w:val="20"/>
                <w:szCs w:val="20"/>
              </w:rPr>
              <w:t xml:space="preserve"> </w:t>
            </w:r>
            <w:r>
              <w:rPr>
                <w:sz w:val="20"/>
                <w:szCs w:val="20"/>
              </w:rPr>
              <w:t xml:space="preserve">Срок</w:t>
            </w:r>
            <w:r>
              <w:rPr>
                <w:sz w:val="20"/>
                <w:szCs w:val="20"/>
              </w:rPr>
              <w:t xml:space="preserve"> </w:t>
            </w:r>
            <w:r>
              <w:rPr>
                <w:sz w:val="20"/>
                <w:szCs w:val="20"/>
              </w:rPr>
              <w:t xml:space="preserve">подачи</w:t>
            </w:r>
            <w:r>
              <w:rPr>
                <w:sz w:val="20"/>
                <w:szCs w:val="20"/>
              </w:rPr>
              <w:t xml:space="preserve"> </w:t>
            </w:r>
            <w:r>
              <w:rPr>
                <w:sz w:val="20"/>
                <w:szCs w:val="20"/>
              </w:rPr>
              <w:t xml:space="preserve">заявки</w:t>
            </w:r>
            <w:r>
              <w:rPr>
                <w:sz w:val="20"/>
                <w:szCs w:val="20"/>
              </w:rPr>
              <w:t xml:space="preserve"> </w:t>
            </w:r>
            <w:r>
              <w:rPr>
                <w:sz w:val="20"/>
                <w:szCs w:val="20"/>
              </w:rPr>
              <w:t xml:space="preserve">–</w:t>
            </w:r>
            <w:r>
              <w:rPr>
                <w:sz w:val="20"/>
                <w:szCs w:val="20"/>
              </w:rPr>
              <w:t xml:space="preserve"> </w:t>
            </w:r>
            <w:r>
              <w:rPr>
                <w:sz w:val="20"/>
                <w:szCs w:val="20"/>
              </w:rPr>
              <w:t xml:space="preserve">до</w:t>
            </w:r>
            <w:r>
              <w:rPr>
                <w:sz w:val="20"/>
                <w:szCs w:val="20"/>
              </w:rPr>
              <w:t xml:space="preserve"> </w:t>
            </w:r>
            <w:r>
              <w:rPr>
                <w:sz w:val="20"/>
                <w:szCs w:val="20"/>
              </w:rPr>
              <w:t xml:space="preserve">16.00</w:t>
            </w:r>
            <w:r>
              <w:rPr>
                <w:sz w:val="20"/>
                <w:szCs w:val="20"/>
              </w:rPr>
              <w:t xml:space="preserve"> </w:t>
            </w:r>
            <w:r>
              <w:rPr>
                <w:sz w:val="20"/>
                <w:szCs w:val="20"/>
              </w:rPr>
              <w:t xml:space="preserve">часов</w:t>
            </w:r>
            <w:r>
              <w:rPr>
                <w:sz w:val="20"/>
                <w:szCs w:val="20"/>
              </w:rPr>
              <w:t xml:space="preserve"> </w:t>
            </w:r>
            <w:r>
              <w:rPr>
                <w:sz w:val="20"/>
                <w:szCs w:val="20"/>
              </w:rPr>
              <w:t xml:space="preserve">(по</w:t>
            </w:r>
            <w:r>
              <w:rPr>
                <w:sz w:val="20"/>
                <w:szCs w:val="20"/>
              </w:rPr>
              <w:t xml:space="preserve"> </w:t>
            </w:r>
            <w:r>
              <w:rPr>
                <w:sz w:val="20"/>
                <w:szCs w:val="20"/>
              </w:rPr>
              <w:t xml:space="preserve">пятницам</w:t>
            </w:r>
            <w:r>
              <w:rPr>
                <w:sz w:val="20"/>
                <w:szCs w:val="20"/>
              </w:rPr>
              <w:t xml:space="preserve"> </w:t>
            </w:r>
            <w:r>
              <w:rPr>
                <w:sz w:val="20"/>
                <w:szCs w:val="20"/>
              </w:rPr>
              <w:t xml:space="preserve">и</w:t>
            </w:r>
            <w:r>
              <w:rPr>
                <w:sz w:val="20"/>
                <w:szCs w:val="20"/>
              </w:rPr>
              <w:t xml:space="preserve"> </w:t>
            </w:r>
            <w:r>
              <w:rPr>
                <w:sz w:val="20"/>
                <w:szCs w:val="20"/>
              </w:rPr>
              <w:t xml:space="preserve">в</w:t>
            </w:r>
            <w:r>
              <w:rPr>
                <w:sz w:val="20"/>
                <w:szCs w:val="20"/>
              </w:rPr>
              <w:t xml:space="preserve"> </w:t>
            </w:r>
            <w:r>
              <w:rPr>
                <w:sz w:val="20"/>
                <w:szCs w:val="20"/>
              </w:rPr>
              <w:t xml:space="preserve">предпраздничные</w:t>
            </w:r>
            <w:r>
              <w:rPr>
                <w:sz w:val="20"/>
                <w:szCs w:val="20"/>
              </w:rPr>
              <w:t xml:space="preserve"> </w:t>
            </w:r>
            <w:r>
              <w:rPr>
                <w:sz w:val="20"/>
                <w:szCs w:val="20"/>
              </w:rPr>
              <w:t xml:space="preserve">дни</w:t>
            </w:r>
            <w:r>
              <w:rPr>
                <w:sz w:val="20"/>
                <w:szCs w:val="20"/>
              </w:rPr>
              <w:t xml:space="preserve"> </w:t>
            </w:r>
            <w:r>
              <w:rPr>
                <w:sz w:val="20"/>
                <w:szCs w:val="20"/>
              </w:rPr>
              <w:t xml:space="preserve">время</w:t>
            </w:r>
            <w:r>
              <w:rPr>
                <w:sz w:val="20"/>
                <w:szCs w:val="20"/>
              </w:rPr>
              <w:t xml:space="preserve"> </w:t>
            </w:r>
            <w:r>
              <w:rPr>
                <w:sz w:val="20"/>
                <w:szCs w:val="20"/>
              </w:rPr>
              <w:t xml:space="preserve">подачи</w:t>
            </w:r>
            <w:r>
              <w:rPr>
                <w:sz w:val="20"/>
                <w:szCs w:val="20"/>
              </w:rPr>
              <w:t xml:space="preserve"> </w:t>
            </w:r>
            <w:r>
              <w:rPr>
                <w:sz w:val="20"/>
                <w:szCs w:val="20"/>
              </w:rPr>
              <w:t xml:space="preserve">заявки</w:t>
            </w:r>
            <w:r>
              <w:rPr>
                <w:sz w:val="20"/>
                <w:szCs w:val="20"/>
              </w:rPr>
              <w:t xml:space="preserve"> </w:t>
            </w:r>
            <w:r>
              <w:rPr>
                <w:sz w:val="20"/>
                <w:szCs w:val="20"/>
              </w:rPr>
              <w:t xml:space="preserve">уменьшается</w:t>
            </w:r>
            <w:r>
              <w:rPr>
                <w:sz w:val="20"/>
                <w:szCs w:val="20"/>
              </w:rPr>
              <w:t xml:space="preserve"> </w:t>
            </w:r>
            <w:r>
              <w:rPr>
                <w:sz w:val="20"/>
                <w:szCs w:val="20"/>
              </w:rPr>
              <w:t xml:space="preserve">на</w:t>
            </w:r>
            <w:r>
              <w:rPr>
                <w:sz w:val="20"/>
                <w:szCs w:val="20"/>
              </w:rPr>
              <w:t xml:space="preserve"> </w:t>
            </w:r>
            <w:r>
              <w:rPr>
                <w:sz w:val="20"/>
                <w:szCs w:val="20"/>
              </w:rPr>
              <w:t xml:space="preserve">соответствующее</w:t>
            </w:r>
            <w:r>
              <w:rPr>
                <w:sz w:val="20"/>
                <w:szCs w:val="20"/>
              </w:rPr>
              <w:t xml:space="preserve"> </w:t>
            </w:r>
            <w:r>
              <w:rPr>
                <w:sz w:val="20"/>
                <w:szCs w:val="20"/>
              </w:rPr>
              <w:t xml:space="preserve">сокращение</w:t>
            </w:r>
            <w:r>
              <w:rPr>
                <w:sz w:val="20"/>
                <w:szCs w:val="20"/>
              </w:rPr>
              <w:t xml:space="preserve"> </w:t>
            </w:r>
            <w:r>
              <w:rPr>
                <w:sz w:val="20"/>
                <w:szCs w:val="20"/>
              </w:rPr>
              <w:t xml:space="preserve">рабочего</w:t>
            </w:r>
            <w:r>
              <w:rPr>
                <w:sz w:val="20"/>
                <w:szCs w:val="20"/>
              </w:rPr>
              <w:t xml:space="preserve"> </w:t>
            </w:r>
            <w:r>
              <w:rPr>
                <w:sz w:val="20"/>
                <w:szCs w:val="20"/>
              </w:rPr>
              <w:t xml:space="preserve">времени</w:t>
            </w:r>
            <w:r>
              <w:rPr>
                <w:sz w:val="20"/>
                <w:szCs w:val="20"/>
              </w:rPr>
              <w:t xml:space="preserve"> </w:t>
            </w:r>
            <w:r>
              <w:rPr>
                <w:sz w:val="20"/>
                <w:szCs w:val="20"/>
              </w:rPr>
              <w:t xml:space="preserve">Банка).</w:t>
            </w:r>
            <w:r>
              <w:rPr>
                <w:sz w:val="20"/>
                <w:szCs w:val="20"/>
              </w:rPr>
              <w:t xml:space="preserve"> </w:t>
            </w:r>
            <w:r>
              <w:rPr>
                <w:sz w:val="20"/>
                <w:szCs w:val="20"/>
              </w:rPr>
              <w:t xml:space="preserve">Заявки,</w:t>
            </w:r>
            <w:r>
              <w:rPr>
                <w:sz w:val="20"/>
                <w:szCs w:val="20"/>
              </w:rPr>
              <w:t xml:space="preserve"> </w:t>
            </w:r>
            <w:r>
              <w:rPr>
                <w:sz w:val="20"/>
                <w:szCs w:val="20"/>
              </w:rPr>
              <w:t xml:space="preserve">предоставленные</w:t>
            </w:r>
            <w:r>
              <w:rPr>
                <w:sz w:val="20"/>
                <w:szCs w:val="20"/>
              </w:rPr>
              <w:t xml:space="preserve"> </w:t>
            </w:r>
            <w:r>
              <w:rPr>
                <w:sz w:val="20"/>
                <w:szCs w:val="20"/>
              </w:rPr>
              <w:t xml:space="preserve">клиентами</w:t>
            </w:r>
            <w:r>
              <w:rPr>
                <w:sz w:val="20"/>
                <w:szCs w:val="20"/>
              </w:rPr>
              <w:t xml:space="preserve"> </w:t>
            </w:r>
            <w:r>
              <w:rPr>
                <w:sz w:val="20"/>
                <w:szCs w:val="20"/>
              </w:rPr>
              <w:t xml:space="preserve">позже</w:t>
            </w:r>
            <w:r>
              <w:rPr>
                <w:sz w:val="20"/>
                <w:szCs w:val="20"/>
              </w:rPr>
              <w:t xml:space="preserve"> </w:t>
            </w:r>
            <w:r>
              <w:rPr>
                <w:sz w:val="20"/>
                <w:szCs w:val="20"/>
              </w:rPr>
              <w:t xml:space="preserve">указанного</w:t>
            </w:r>
            <w:r>
              <w:rPr>
                <w:sz w:val="20"/>
                <w:szCs w:val="20"/>
              </w:rPr>
              <w:t xml:space="preserve"> </w:t>
            </w:r>
            <w:r>
              <w:rPr>
                <w:sz w:val="20"/>
                <w:szCs w:val="20"/>
              </w:rPr>
              <w:t xml:space="preserve">срока,</w:t>
            </w:r>
            <w:r>
              <w:rPr>
                <w:sz w:val="20"/>
                <w:szCs w:val="20"/>
              </w:rPr>
              <w:t xml:space="preserve"> </w:t>
            </w:r>
            <w:r>
              <w:rPr>
                <w:sz w:val="20"/>
                <w:szCs w:val="20"/>
              </w:rPr>
              <w:t xml:space="preserve">к</w:t>
            </w:r>
            <w:r>
              <w:rPr>
                <w:sz w:val="20"/>
                <w:szCs w:val="20"/>
              </w:rPr>
              <w:t xml:space="preserve"> </w:t>
            </w:r>
            <w:r>
              <w:rPr>
                <w:sz w:val="20"/>
                <w:szCs w:val="20"/>
              </w:rPr>
              <w:t xml:space="preserve">исполнению</w:t>
            </w:r>
            <w:r>
              <w:rPr>
                <w:sz w:val="20"/>
                <w:szCs w:val="20"/>
              </w:rPr>
              <w:t xml:space="preserve"> </w:t>
            </w:r>
            <w:r>
              <w:rPr>
                <w:sz w:val="20"/>
                <w:szCs w:val="20"/>
              </w:rPr>
              <w:t xml:space="preserve">Банком</w:t>
            </w:r>
            <w:r>
              <w:rPr>
                <w:sz w:val="20"/>
                <w:szCs w:val="20"/>
              </w:rPr>
              <w:t xml:space="preserve"> </w:t>
            </w:r>
            <w:r>
              <w:rPr>
                <w:sz w:val="20"/>
                <w:szCs w:val="20"/>
              </w:rPr>
              <w:t xml:space="preserve">не</w:t>
            </w:r>
            <w:r>
              <w:rPr>
                <w:sz w:val="20"/>
                <w:szCs w:val="20"/>
              </w:rPr>
              <w:t xml:space="preserve"> </w:t>
            </w:r>
            <w:r>
              <w:rPr>
                <w:sz w:val="20"/>
                <w:szCs w:val="20"/>
              </w:rPr>
              <w:t xml:space="preserve">принимаются.</w:t>
            </w:r>
            <w:r>
              <w:rPr>
                <w:sz w:val="20"/>
                <w:szCs w:val="20"/>
              </w:rPr>
              <w:t xml:space="preserve"> </w:t>
            </w:r>
            <w:r>
              <w:rPr>
                <w:sz w:val="20"/>
                <w:szCs w:val="20"/>
              </w:rPr>
              <w:t xml:space="preserve">Списание</w:t>
            </w:r>
            <w:r>
              <w:rPr>
                <w:sz w:val="20"/>
                <w:szCs w:val="20"/>
              </w:rPr>
              <w:t xml:space="preserve"> </w:t>
            </w:r>
            <w:r>
              <w:rPr>
                <w:sz w:val="20"/>
                <w:szCs w:val="20"/>
              </w:rPr>
              <w:t xml:space="preserve">средств</w:t>
            </w:r>
            <w:r>
              <w:rPr>
                <w:sz w:val="20"/>
                <w:szCs w:val="20"/>
              </w:rPr>
              <w:t xml:space="preserve"> </w:t>
            </w:r>
            <w:r>
              <w:rPr>
                <w:sz w:val="20"/>
                <w:szCs w:val="20"/>
              </w:rPr>
              <w:t xml:space="preserve">со</w:t>
            </w:r>
            <w:r>
              <w:rPr>
                <w:sz w:val="20"/>
                <w:szCs w:val="20"/>
              </w:rPr>
              <w:t xml:space="preserve"> </w:t>
            </w:r>
            <w:r>
              <w:rPr>
                <w:sz w:val="20"/>
                <w:szCs w:val="20"/>
              </w:rPr>
              <w:t xml:space="preserve">счета</w:t>
            </w:r>
            <w:r>
              <w:rPr>
                <w:sz w:val="20"/>
                <w:szCs w:val="20"/>
              </w:rPr>
              <w:t xml:space="preserve"> </w:t>
            </w:r>
            <w:r>
              <w:rPr>
                <w:sz w:val="20"/>
                <w:szCs w:val="20"/>
              </w:rPr>
              <w:t xml:space="preserve">клиента</w:t>
            </w:r>
            <w:r>
              <w:rPr>
                <w:sz w:val="20"/>
                <w:szCs w:val="20"/>
              </w:rPr>
              <w:t xml:space="preserve"> </w:t>
            </w:r>
            <w:r>
              <w:rPr>
                <w:sz w:val="20"/>
                <w:szCs w:val="20"/>
              </w:rPr>
              <w:t xml:space="preserve">и</w:t>
            </w:r>
            <w:r>
              <w:rPr>
                <w:sz w:val="20"/>
                <w:szCs w:val="20"/>
              </w:rPr>
              <w:t xml:space="preserve"> </w:t>
            </w:r>
            <w:r>
              <w:rPr>
                <w:sz w:val="20"/>
                <w:szCs w:val="20"/>
              </w:rPr>
              <w:t xml:space="preserve">зачисление</w:t>
            </w:r>
            <w:r>
              <w:rPr>
                <w:sz w:val="20"/>
                <w:szCs w:val="20"/>
              </w:rPr>
              <w:t xml:space="preserve"> </w:t>
            </w:r>
            <w:r>
              <w:rPr>
                <w:sz w:val="20"/>
                <w:szCs w:val="20"/>
              </w:rPr>
              <w:t xml:space="preserve">средств</w:t>
            </w:r>
            <w:r>
              <w:rPr>
                <w:sz w:val="20"/>
                <w:szCs w:val="20"/>
              </w:rPr>
              <w:t xml:space="preserve"> </w:t>
            </w:r>
            <w:r>
              <w:rPr>
                <w:sz w:val="20"/>
                <w:szCs w:val="20"/>
              </w:rPr>
              <w:t xml:space="preserve">на</w:t>
            </w:r>
            <w:r>
              <w:rPr>
                <w:sz w:val="20"/>
                <w:szCs w:val="20"/>
              </w:rPr>
              <w:t xml:space="preserve"> </w:t>
            </w:r>
            <w:r>
              <w:rPr>
                <w:sz w:val="20"/>
                <w:szCs w:val="20"/>
              </w:rPr>
              <w:t xml:space="preserve">счет</w:t>
            </w:r>
            <w:r>
              <w:rPr>
                <w:sz w:val="20"/>
                <w:szCs w:val="20"/>
              </w:rPr>
              <w:t xml:space="preserve"> </w:t>
            </w:r>
            <w:r>
              <w:rPr>
                <w:sz w:val="20"/>
                <w:szCs w:val="20"/>
              </w:rPr>
              <w:t xml:space="preserve">клиента</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заявки</w:t>
            </w:r>
            <w:r>
              <w:rPr>
                <w:sz w:val="20"/>
                <w:szCs w:val="20"/>
              </w:rPr>
              <w:t xml:space="preserve"> </w:t>
            </w:r>
            <w:r>
              <w:rPr>
                <w:sz w:val="20"/>
                <w:szCs w:val="20"/>
              </w:rPr>
              <w:t xml:space="preserve">в</w:t>
            </w:r>
            <w:r>
              <w:rPr>
                <w:sz w:val="20"/>
                <w:szCs w:val="20"/>
              </w:rPr>
              <w:t xml:space="preserve"> </w:t>
            </w:r>
            <w:r>
              <w:rPr>
                <w:sz w:val="20"/>
                <w:szCs w:val="20"/>
              </w:rPr>
              <w:t xml:space="preserve">день</w:t>
            </w:r>
            <w:r>
              <w:rPr>
                <w:sz w:val="20"/>
                <w:szCs w:val="20"/>
              </w:rPr>
              <w:t xml:space="preserve"> </w:t>
            </w:r>
            <w:r>
              <w:rPr>
                <w:sz w:val="20"/>
                <w:szCs w:val="20"/>
              </w:rPr>
              <w:t xml:space="preserve">подачи</w:t>
            </w:r>
            <w:r>
              <w:rPr>
                <w:sz w:val="20"/>
                <w:szCs w:val="20"/>
              </w:rPr>
              <w:t xml:space="preserve"> </w:t>
            </w:r>
            <w:r>
              <w:rPr>
                <w:sz w:val="20"/>
                <w:szCs w:val="20"/>
              </w:rPr>
              <w:t xml:space="preserve">клиентом</w:t>
            </w:r>
            <w:r>
              <w:rPr>
                <w:sz w:val="20"/>
                <w:szCs w:val="20"/>
              </w:rPr>
              <w:t xml:space="preserve"> </w:t>
            </w:r>
            <w:r>
              <w:rPr>
                <w:sz w:val="20"/>
                <w:szCs w:val="20"/>
              </w:rPr>
              <w:t xml:space="preserve">заявки.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restart"/>
            <w:textDirection w:val="lrTb"/>
            <w:noWrap w:val="false"/>
          </w:tcPr>
          <w:p>
            <w:pPr>
              <w:pStyle w:val="1135"/>
              <w:jc w:val="center"/>
              <w:rPr>
                <w:sz w:val="20"/>
                <w:szCs w:val="20"/>
              </w:rPr>
            </w:pPr>
            <w:r>
              <w:rPr>
                <w:sz w:val="20"/>
                <w:szCs w:val="20"/>
              </w:rPr>
              <w:t xml:space="preserve">11.2.2.</w:t>
            </w:r>
            <w:r>
              <w:rPr>
                <w:sz w:val="20"/>
                <w:szCs w:val="20"/>
              </w:rPr>
            </w:r>
            <w:r>
              <w:rPr>
                <w:sz w:val="20"/>
                <w:szCs w:val="20"/>
              </w:rPr>
            </w:r>
          </w:p>
        </w:tc>
        <w:tc>
          <w:tcPr>
            <w:tcW w:w="2400" w:type="dxa"/>
            <w:vAlign w:val="top"/>
            <w:textDirection w:val="lrTb"/>
            <w:noWrap w:val="false"/>
          </w:tcPr>
          <w:p>
            <w:pPr>
              <w:pStyle w:val="1135"/>
              <w:rPr>
                <w:sz w:val="20"/>
                <w:szCs w:val="20"/>
              </w:rPr>
            </w:pPr>
            <w:r>
              <w:rPr>
                <w:sz w:val="20"/>
                <w:szCs w:val="20"/>
              </w:rPr>
              <w:t xml:space="preserve">Покупка</w:t>
            </w:r>
            <w:r>
              <w:rPr>
                <w:sz w:val="20"/>
                <w:szCs w:val="20"/>
              </w:rPr>
              <w:t xml:space="preserve"> </w:t>
            </w:r>
            <w:r>
              <w:rPr>
                <w:sz w:val="20"/>
                <w:szCs w:val="20"/>
              </w:rPr>
              <w:t xml:space="preserve">непосредственно</w:t>
            </w:r>
            <w:r>
              <w:rPr>
                <w:sz w:val="20"/>
                <w:szCs w:val="20"/>
              </w:rPr>
              <w:t xml:space="preserve"> </w:t>
            </w:r>
            <w:r>
              <w:rPr>
                <w:sz w:val="20"/>
                <w:szCs w:val="20"/>
              </w:rPr>
              <w:t xml:space="preserve">у</w:t>
            </w:r>
            <w:r>
              <w:rPr>
                <w:sz w:val="20"/>
                <w:szCs w:val="20"/>
              </w:rPr>
              <w:t xml:space="preserve"> </w:t>
            </w:r>
            <w:r>
              <w:rPr>
                <w:sz w:val="20"/>
                <w:szCs w:val="20"/>
              </w:rPr>
              <w:t xml:space="preserve">Банка</w:t>
            </w:r>
            <w:r>
              <w:rPr>
                <w:sz w:val="20"/>
                <w:szCs w:val="20"/>
              </w:rPr>
              <w:t xml:space="preserve"> </w:t>
            </w:r>
            <w:r>
              <w:rPr>
                <w:sz w:val="20"/>
                <w:szCs w:val="20"/>
              </w:rPr>
              <w:t xml:space="preserve">иностранной</w:t>
            </w:r>
            <w:r>
              <w:rPr>
                <w:sz w:val="20"/>
                <w:szCs w:val="20"/>
              </w:rPr>
              <w:t xml:space="preserve"> </w:t>
            </w:r>
            <w:r>
              <w:rPr>
                <w:sz w:val="20"/>
                <w:szCs w:val="20"/>
              </w:rPr>
              <w:t xml:space="preserve">валюты</w:t>
            </w:r>
            <w:r>
              <w:rPr>
                <w:sz w:val="20"/>
                <w:szCs w:val="20"/>
              </w:rPr>
              <w:t xml:space="preserve"> </w:t>
            </w:r>
            <w:r>
              <w:rPr>
                <w:sz w:val="20"/>
                <w:szCs w:val="20"/>
              </w:rPr>
              <w:t xml:space="preserve">по</w:t>
            </w:r>
            <w:r>
              <w:rPr>
                <w:sz w:val="20"/>
                <w:szCs w:val="20"/>
              </w:rPr>
              <w:t xml:space="preserve"> </w:t>
            </w:r>
            <w:r>
              <w:rPr>
                <w:sz w:val="20"/>
                <w:szCs w:val="20"/>
              </w:rPr>
              <w:t xml:space="preserve">курсу</w:t>
            </w:r>
            <w:r>
              <w:rPr>
                <w:sz w:val="20"/>
                <w:szCs w:val="20"/>
              </w:rPr>
              <w:t xml:space="preserve"> </w:t>
            </w:r>
            <w:r>
              <w:rPr>
                <w:sz w:val="20"/>
                <w:szCs w:val="20"/>
              </w:rPr>
              <w:t xml:space="preserve">Банка</w:t>
            </w:r>
            <w:r>
              <w:rPr>
                <w:sz w:val="20"/>
                <w:szCs w:val="20"/>
              </w:rPr>
            </w:r>
            <w:r>
              <w:rPr>
                <w:sz w:val="20"/>
                <w:szCs w:val="20"/>
              </w:rPr>
            </w:r>
          </w:p>
        </w:tc>
        <w:tc>
          <w:tcPr>
            <w:gridSpan w:val="2"/>
            <w:tcW w:w="2340" w:type="dxa"/>
            <w:vAlign w:val="top"/>
            <w:textDirection w:val="lrTb"/>
            <w:noWrap w:val="false"/>
          </w:tcPr>
          <w:p>
            <w:pPr>
              <w:pStyle w:val="1135"/>
              <w:jc w:val="center"/>
              <w:rPr>
                <w:sz w:val="20"/>
                <w:szCs w:val="20"/>
              </w:rPr>
            </w:pPr>
            <w:r>
              <w:rPr>
                <w:sz w:val="20"/>
                <w:szCs w:val="20"/>
              </w:rPr>
              <w:t xml:space="preserve">Курс</w:t>
            </w:r>
            <w:r>
              <w:rPr>
                <w:sz w:val="20"/>
                <w:szCs w:val="20"/>
              </w:rPr>
              <w:t xml:space="preserve"> </w:t>
            </w:r>
            <w:r>
              <w:rPr>
                <w:sz w:val="20"/>
                <w:szCs w:val="20"/>
              </w:rPr>
              <w:t xml:space="preserve">Банка²</w:t>
            </w:r>
            <w:r>
              <w:rPr>
                <w:sz w:val="20"/>
                <w:szCs w:val="20"/>
              </w:rPr>
              <w:t xml:space="preserve"> </w:t>
            </w:r>
            <w:r>
              <w:rPr>
                <w:sz w:val="20"/>
                <w:szCs w:val="20"/>
              </w:rPr>
              <w:t xml:space="preserve">³</w:t>
            </w:r>
            <w:r>
              <w:rPr>
                <w:sz w:val="20"/>
                <w:szCs w:val="20"/>
              </w:rPr>
            </w:r>
            <w:r>
              <w:rPr>
                <w:sz w:val="20"/>
                <w:szCs w:val="20"/>
              </w:rPr>
            </w:r>
          </w:p>
        </w:tc>
        <w:tc>
          <w:tcPr>
            <w:gridSpan w:val="2"/>
            <w:tcW w:w="2773" w:type="dxa"/>
            <w:vAlign w:val="top"/>
            <w:textDirection w:val="lrTb"/>
            <w:noWrap w:val="false"/>
          </w:tcPr>
          <w:p>
            <w:pPr>
              <w:pStyle w:val="1135"/>
              <w:jc w:val="center"/>
              <w:rPr>
                <w:sz w:val="20"/>
                <w:szCs w:val="20"/>
              </w:rPr>
            </w:pPr>
            <w:r>
              <w:rPr>
                <w:sz w:val="20"/>
                <w:szCs w:val="20"/>
              </w:rPr>
            </w:r>
            <w:r>
              <w:rPr>
                <w:sz w:val="20"/>
                <w:szCs w:val="20"/>
              </w:rPr>
            </w:r>
            <w:r>
              <w:rPr>
                <w:sz w:val="20"/>
                <w:szCs w:val="20"/>
              </w:rPr>
            </w:r>
          </w:p>
        </w:tc>
        <w:tc>
          <w:tcPr>
            <w:tcW w:w="1843" w:type="dxa"/>
            <w:vAlign w:val="top"/>
            <w:textDirection w:val="lrTb"/>
            <w:noWrap w:val="false"/>
          </w:tcPr>
          <w:p>
            <w:pPr>
              <w:pStyle w:val="1135"/>
              <w:jc w:val="center"/>
              <w:rPr>
                <w:sz w:val="20"/>
                <w:szCs w:val="20"/>
              </w:rPr>
            </w:pPr>
            <w:r>
              <w:rPr>
                <w:sz w:val="20"/>
                <w:szCs w:val="20"/>
              </w:rPr>
              <w:t xml:space="preserve">Не</w:t>
            </w:r>
            <w:r>
              <w:rPr>
                <w:sz w:val="20"/>
                <w:szCs w:val="20"/>
              </w:rPr>
              <w:t xml:space="preserve"> </w:t>
            </w:r>
            <w:r>
              <w:rPr>
                <w:sz w:val="20"/>
                <w:szCs w:val="20"/>
              </w:rPr>
              <w:t xml:space="preserve">взимается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135"/>
              <w:jc w:val="center"/>
              <w:rPr>
                <w:sz w:val="20"/>
                <w:szCs w:val="20"/>
              </w:rPr>
            </w:pPr>
            <w:r>
              <w:rPr>
                <w:sz w:val="20"/>
                <w:szCs w:val="20"/>
              </w:rPr>
            </w:r>
            <w:r>
              <w:rPr>
                <w:sz w:val="20"/>
                <w:szCs w:val="20"/>
              </w:rPr>
            </w:r>
            <w:r>
              <w:rPr>
                <w:sz w:val="20"/>
                <w:szCs w:val="20"/>
              </w:rPr>
            </w:r>
          </w:p>
        </w:tc>
        <w:tc>
          <w:tcPr>
            <w:gridSpan w:val="6"/>
            <w:tcW w:w="9356" w:type="dxa"/>
            <w:vAlign w:val="top"/>
            <w:textDirection w:val="lrTb"/>
            <w:noWrap w:val="false"/>
          </w:tcPr>
          <w:p>
            <w:pPr>
              <w:pStyle w:val="1135"/>
              <w:rPr>
                <w:sz w:val="20"/>
                <w:szCs w:val="20"/>
              </w:rPr>
            </w:pPr>
            <w:r>
              <w:rPr>
                <w:sz w:val="20"/>
                <w:szCs w:val="20"/>
              </w:rPr>
              <w:t xml:space="preserve">Операция</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заявки,</w:t>
            </w:r>
            <w:r>
              <w:rPr>
                <w:sz w:val="20"/>
                <w:szCs w:val="20"/>
              </w:rPr>
              <w:t xml:space="preserve"> </w:t>
            </w:r>
            <w:r>
              <w:rPr>
                <w:sz w:val="20"/>
                <w:szCs w:val="20"/>
              </w:rPr>
              <w:t xml:space="preserve">предоставленной</w:t>
            </w:r>
            <w:r>
              <w:rPr>
                <w:sz w:val="20"/>
                <w:szCs w:val="20"/>
              </w:rPr>
              <w:t xml:space="preserve"> </w:t>
            </w:r>
            <w:r>
              <w:rPr>
                <w:sz w:val="20"/>
                <w:szCs w:val="20"/>
              </w:rPr>
              <w:t xml:space="preserve">клиентом.</w:t>
            </w:r>
            <w:r>
              <w:rPr>
                <w:sz w:val="20"/>
                <w:szCs w:val="20"/>
              </w:rPr>
              <w:t xml:space="preserve"> </w:t>
            </w:r>
            <w:r>
              <w:rPr>
                <w:sz w:val="20"/>
                <w:szCs w:val="20"/>
              </w:rPr>
              <w:t xml:space="preserve">Срок</w:t>
            </w:r>
            <w:r>
              <w:rPr>
                <w:sz w:val="20"/>
                <w:szCs w:val="20"/>
              </w:rPr>
              <w:t xml:space="preserve"> </w:t>
            </w:r>
            <w:r>
              <w:rPr>
                <w:sz w:val="20"/>
                <w:szCs w:val="20"/>
              </w:rPr>
              <w:t xml:space="preserve">подачи</w:t>
            </w:r>
            <w:r>
              <w:rPr>
                <w:sz w:val="20"/>
                <w:szCs w:val="20"/>
              </w:rPr>
              <w:t xml:space="preserve"> </w:t>
            </w:r>
            <w:r>
              <w:rPr>
                <w:sz w:val="20"/>
                <w:szCs w:val="20"/>
              </w:rPr>
              <w:t xml:space="preserve">заявки</w:t>
            </w:r>
            <w:r>
              <w:rPr>
                <w:sz w:val="20"/>
                <w:szCs w:val="20"/>
              </w:rPr>
              <w:t xml:space="preserve"> </w:t>
            </w:r>
            <w:r>
              <w:rPr>
                <w:sz w:val="20"/>
                <w:szCs w:val="20"/>
              </w:rPr>
              <w:t xml:space="preserve">–</w:t>
            </w:r>
            <w:r>
              <w:rPr>
                <w:sz w:val="20"/>
                <w:szCs w:val="20"/>
              </w:rPr>
              <w:t xml:space="preserve"> </w:t>
            </w:r>
            <w:r>
              <w:rPr>
                <w:sz w:val="20"/>
                <w:szCs w:val="20"/>
              </w:rPr>
              <w:t xml:space="preserve">до</w:t>
            </w:r>
            <w:r>
              <w:rPr>
                <w:sz w:val="20"/>
                <w:szCs w:val="20"/>
              </w:rPr>
              <w:t xml:space="preserve"> </w:t>
            </w:r>
            <w:r>
              <w:rPr>
                <w:sz w:val="20"/>
                <w:szCs w:val="20"/>
              </w:rPr>
              <w:t xml:space="preserve">16.00</w:t>
            </w:r>
            <w:r>
              <w:rPr>
                <w:sz w:val="20"/>
                <w:szCs w:val="20"/>
              </w:rPr>
              <w:t xml:space="preserve"> </w:t>
            </w:r>
            <w:r>
              <w:rPr>
                <w:sz w:val="20"/>
                <w:szCs w:val="20"/>
              </w:rPr>
              <w:t xml:space="preserve">часов</w:t>
            </w:r>
            <w:r>
              <w:rPr>
                <w:sz w:val="20"/>
                <w:szCs w:val="20"/>
              </w:rPr>
              <w:t xml:space="preserve"> </w:t>
            </w:r>
            <w:r>
              <w:rPr>
                <w:sz w:val="20"/>
                <w:szCs w:val="20"/>
              </w:rPr>
              <w:t xml:space="preserve">(по</w:t>
            </w:r>
            <w:r>
              <w:rPr>
                <w:sz w:val="20"/>
                <w:szCs w:val="20"/>
              </w:rPr>
              <w:t xml:space="preserve"> </w:t>
            </w:r>
            <w:r>
              <w:rPr>
                <w:sz w:val="20"/>
                <w:szCs w:val="20"/>
              </w:rPr>
              <w:t xml:space="preserve">пятницам</w:t>
            </w:r>
            <w:r>
              <w:rPr>
                <w:sz w:val="20"/>
                <w:szCs w:val="20"/>
              </w:rPr>
              <w:t xml:space="preserve"> </w:t>
            </w:r>
            <w:r>
              <w:rPr>
                <w:sz w:val="20"/>
                <w:szCs w:val="20"/>
              </w:rPr>
              <w:t xml:space="preserve">и</w:t>
            </w:r>
            <w:r>
              <w:rPr>
                <w:sz w:val="20"/>
                <w:szCs w:val="20"/>
              </w:rPr>
              <w:t xml:space="preserve"> </w:t>
            </w:r>
            <w:r>
              <w:rPr>
                <w:sz w:val="20"/>
                <w:szCs w:val="20"/>
              </w:rPr>
              <w:t xml:space="preserve">в</w:t>
            </w:r>
            <w:r>
              <w:rPr>
                <w:sz w:val="20"/>
                <w:szCs w:val="20"/>
              </w:rPr>
              <w:t xml:space="preserve"> </w:t>
            </w:r>
            <w:r>
              <w:rPr>
                <w:sz w:val="20"/>
                <w:szCs w:val="20"/>
              </w:rPr>
              <w:t xml:space="preserve">предпраздничные</w:t>
            </w:r>
            <w:r>
              <w:rPr>
                <w:sz w:val="20"/>
                <w:szCs w:val="20"/>
              </w:rPr>
              <w:t xml:space="preserve"> </w:t>
            </w:r>
            <w:r>
              <w:rPr>
                <w:sz w:val="20"/>
                <w:szCs w:val="20"/>
              </w:rPr>
              <w:t xml:space="preserve">дни</w:t>
            </w:r>
            <w:r>
              <w:rPr>
                <w:sz w:val="20"/>
                <w:szCs w:val="20"/>
              </w:rPr>
              <w:t xml:space="preserve"> </w:t>
            </w:r>
            <w:r>
              <w:rPr>
                <w:sz w:val="20"/>
                <w:szCs w:val="20"/>
              </w:rPr>
              <w:t xml:space="preserve">время</w:t>
            </w:r>
            <w:r>
              <w:rPr>
                <w:sz w:val="20"/>
                <w:szCs w:val="20"/>
              </w:rPr>
              <w:t xml:space="preserve"> </w:t>
            </w:r>
            <w:r>
              <w:rPr>
                <w:sz w:val="20"/>
                <w:szCs w:val="20"/>
              </w:rPr>
              <w:t xml:space="preserve">подачи</w:t>
            </w:r>
            <w:r>
              <w:rPr>
                <w:sz w:val="20"/>
                <w:szCs w:val="20"/>
              </w:rPr>
              <w:t xml:space="preserve"> </w:t>
            </w:r>
            <w:r>
              <w:rPr>
                <w:sz w:val="20"/>
                <w:szCs w:val="20"/>
              </w:rPr>
              <w:t xml:space="preserve">заявки</w:t>
            </w:r>
            <w:r>
              <w:rPr>
                <w:sz w:val="20"/>
                <w:szCs w:val="20"/>
              </w:rPr>
              <w:t xml:space="preserve"> </w:t>
            </w:r>
            <w:r>
              <w:rPr>
                <w:sz w:val="20"/>
                <w:szCs w:val="20"/>
              </w:rPr>
              <w:t xml:space="preserve">уменьшается</w:t>
            </w:r>
            <w:r>
              <w:rPr>
                <w:sz w:val="20"/>
                <w:szCs w:val="20"/>
              </w:rPr>
              <w:t xml:space="preserve"> </w:t>
            </w:r>
            <w:r>
              <w:rPr>
                <w:sz w:val="20"/>
                <w:szCs w:val="20"/>
              </w:rPr>
              <w:t xml:space="preserve">на</w:t>
            </w:r>
            <w:r>
              <w:rPr>
                <w:sz w:val="20"/>
                <w:szCs w:val="20"/>
              </w:rPr>
              <w:t xml:space="preserve"> </w:t>
            </w:r>
            <w:r>
              <w:rPr>
                <w:sz w:val="20"/>
                <w:szCs w:val="20"/>
              </w:rPr>
              <w:t xml:space="preserve">соответствующее</w:t>
            </w:r>
            <w:r>
              <w:rPr>
                <w:sz w:val="20"/>
                <w:szCs w:val="20"/>
              </w:rPr>
              <w:t xml:space="preserve"> </w:t>
            </w:r>
            <w:r>
              <w:rPr>
                <w:sz w:val="20"/>
                <w:szCs w:val="20"/>
              </w:rPr>
              <w:t xml:space="preserve">сокращение</w:t>
            </w:r>
            <w:r>
              <w:rPr>
                <w:sz w:val="20"/>
                <w:szCs w:val="20"/>
              </w:rPr>
              <w:t xml:space="preserve"> </w:t>
            </w:r>
            <w:r>
              <w:rPr>
                <w:sz w:val="20"/>
                <w:szCs w:val="20"/>
              </w:rPr>
              <w:t xml:space="preserve">рабочего</w:t>
            </w:r>
            <w:r>
              <w:rPr>
                <w:sz w:val="20"/>
                <w:szCs w:val="20"/>
              </w:rPr>
              <w:t xml:space="preserve"> </w:t>
            </w:r>
            <w:r>
              <w:rPr>
                <w:sz w:val="20"/>
                <w:szCs w:val="20"/>
              </w:rPr>
              <w:t xml:space="preserve">времени</w:t>
            </w:r>
            <w:r>
              <w:rPr>
                <w:sz w:val="20"/>
                <w:szCs w:val="20"/>
              </w:rPr>
              <w:t xml:space="preserve"> </w:t>
            </w:r>
            <w:r>
              <w:rPr>
                <w:sz w:val="20"/>
                <w:szCs w:val="20"/>
              </w:rPr>
              <w:t xml:space="preserve">Банка).</w:t>
            </w:r>
            <w:r>
              <w:rPr>
                <w:sz w:val="20"/>
                <w:szCs w:val="20"/>
              </w:rPr>
              <w:t xml:space="preserve"> </w:t>
            </w:r>
            <w:r>
              <w:rPr>
                <w:sz w:val="20"/>
                <w:szCs w:val="20"/>
              </w:rPr>
              <w:t xml:space="preserve">Заявки,</w:t>
            </w:r>
            <w:r>
              <w:rPr>
                <w:sz w:val="20"/>
                <w:szCs w:val="20"/>
              </w:rPr>
              <w:t xml:space="preserve"> </w:t>
            </w:r>
            <w:r>
              <w:rPr>
                <w:sz w:val="20"/>
                <w:szCs w:val="20"/>
              </w:rPr>
              <w:t xml:space="preserve">предоставленные</w:t>
            </w:r>
            <w:r>
              <w:rPr>
                <w:sz w:val="20"/>
                <w:szCs w:val="20"/>
              </w:rPr>
              <w:t xml:space="preserve"> </w:t>
            </w:r>
            <w:r>
              <w:rPr>
                <w:sz w:val="20"/>
                <w:szCs w:val="20"/>
              </w:rPr>
              <w:t xml:space="preserve">клиентами</w:t>
            </w:r>
            <w:r>
              <w:rPr>
                <w:sz w:val="20"/>
                <w:szCs w:val="20"/>
              </w:rPr>
              <w:t xml:space="preserve"> </w:t>
            </w:r>
            <w:r>
              <w:rPr>
                <w:sz w:val="20"/>
                <w:szCs w:val="20"/>
              </w:rPr>
              <w:t xml:space="preserve">позже</w:t>
            </w:r>
            <w:r>
              <w:rPr>
                <w:sz w:val="20"/>
                <w:szCs w:val="20"/>
              </w:rPr>
              <w:t xml:space="preserve"> </w:t>
            </w:r>
            <w:r>
              <w:rPr>
                <w:sz w:val="20"/>
                <w:szCs w:val="20"/>
              </w:rPr>
              <w:t xml:space="preserve">указанного</w:t>
            </w:r>
            <w:r>
              <w:rPr>
                <w:sz w:val="20"/>
                <w:szCs w:val="20"/>
              </w:rPr>
              <w:t xml:space="preserve"> </w:t>
            </w:r>
            <w:r>
              <w:rPr>
                <w:sz w:val="20"/>
                <w:szCs w:val="20"/>
              </w:rPr>
              <w:t xml:space="preserve">срока,</w:t>
            </w:r>
            <w:r>
              <w:rPr>
                <w:sz w:val="20"/>
                <w:szCs w:val="20"/>
              </w:rPr>
              <w:t xml:space="preserve"> </w:t>
            </w:r>
            <w:r>
              <w:rPr>
                <w:sz w:val="20"/>
                <w:szCs w:val="20"/>
              </w:rPr>
              <w:t xml:space="preserve">к</w:t>
            </w:r>
            <w:r>
              <w:rPr>
                <w:sz w:val="20"/>
                <w:szCs w:val="20"/>
              </w:rPr>
              <w:t xml:space="preserve"> </w:t>
            </w:r>
            <w:r>
              <w:rPr>
                <w:sz w:val="20"/>
                <w:szCs w:val="20"/>
              </w:rPr>
              <w:t xml:space="preserve">исполнению</w:t>
            </w:r>
            <w:r>
              <w:rPr>
                <w:sz w:val="20"/>
                <w:szCs w:val="20"/>
              </w:rPr>
              <w:t xml:space="preserve"> </w:t>
            </w:r>
            <w:r>
              <w:rPr>
                <w:sz w:val="20"/>
                <w:szCs w:val="20"/>
              </w:rPr>
              <w:t xml:space="preserve">Банком</w:t>
            </w:r>
            <w:r>
              <w:rPr>
                <w:sz w:val="20"/>
                <w:szCs w:val="20"/>
              </w:rPr>
              <w:t xml:space="preserve"> </w:t>
            </w:r>
            <w:r>
              <w:rPr>
                <w:sz w:val="20"/>
                <w:szCs w:val="20"/>
              </w:rPr>
              <w:t xml:space="preserve">не</w:t>
            </w:r>
            <w:r>
              <w:rPr>
                <w:sz w:val="20"/>
                <w:szCs w:val="20"/>
              </w:rPr>
              <w:t xml:space="preserve"> </w:t>
            </w:r>
            <w:r>
              <w:rPr>
                <w:sz w:val="20"/>
                <w:szCs w:val="20"/>
              </w:rPr>
              <w:t xml:space="preserve">принимаются.</w:t>
            </w:r>
            <w:r>
              <w:rPr>
                <w:sz w:val="20"/>
                <w:szCs w:val="20"/>
              </w:rPr>
              <w:t xml:space="preserve"> </w:t>
            </w:r>
            <w:r>
              <w:rPr>
                <w:sz w:val="20"/>
                <w:szCs w:val="20"/>
              </w:rPr>
              <w:t xml:space="preserve">Списание</w:t>
            </w:r>
            <w:r>
              <w:rPr>
                <w:sz w:val="20"/>
                <w:szCs w:val="20"/>
              </w:rPr>
              <w:t xml:space="preserve"> </w:t>
            </w:r>
            <w:r>
              <w:rPr>
                <w:sz w:val="20"/>
                <w:szCs w:val="20"/>
              </w:rPr>
              <w:t xml:space="preserve">средств</w:t>
            </w:r>
            <w:r>
              <w:rPr>
                <w:sz w:val="20"/>
                <w:szCs w:val="20"/>
              </w:rPr>
              <w:t xml:space="preserve"> </w:t>
            </w:r>
            <w:r>
              <w:rPr>
                <w:sz w:val="20"/>
                <w:szCs w:val="20"/>
              </w:rPr>
              <w:t xml:space="preserve">со</w:t>
            </w:r>
            <w:r>
              <w:rPr>
                <w:sz w:val="20"/>
                <w:szCs w:val="20"/>
              </w:rPr>
              <w:t xml:space="preserve"> </w:t>
            </w:r>
            <w:r>
              <w:rPr>
                <w:sz w:val="20"/>
                <w:szCs w:val="20"/>
              </w:rPr>
              <w:t xml:space="preserve">счета</w:t>
            </w:r>
            <w:r>
              <w:rPr>
                <w:sz w:val="20"/>
                <w:szCs w:val="20"/>
              </w:rPr>
              <w:t xml:space="preserve"> </w:t>
            </w:r>
            <w:r>
              <w:rPr>
                <w:sz w:val="20"/>
                <w:szCs w:val="20"/>
              </w:rPr>
              <w:t xml:space="preserve">клиента</w:t>
            </w:r>
            <w:r>
              <w:rPr>
                <w:sz w:val="20"/>
                <w:szCs w:val="20"/>
              </w:rPr>
              <w:t xml:space="preserve"> </w:t>
            </w:r>
            <w:r>
              <w:rPr>
                <w:sz w:val="20"/>
                <w:szCs w:val="20"/>
              </w:rPr>
              <w:t xml:space="preserve">и</w:t>
            </w:r>
            <w:r>
              <w:rPr>
                <w:sz w:val="20"/>
                <w:szCs w:val="20"/>
              </w:rPr>
              <w:t xml:space="preserve"> </w:t>
            </w:r>
            <w:r>
              <w:rPr>
                <w:sz w:val="20"/>
                <w:szCs w:val="20"/>
              </w:rPr>
              <w:t xml:space="preserve">зачисление</w:t>
            </w:r>
            <w:r>
              <w:rPr>
                <w:sz w:val="20"/>
                <w:szCs w:val="20"/>
              </w:rPr>
              <w:t xml:space="preserve"> </w:t>
            </w:r>
            <w:r>
              <w:rPr>
                <w:sz w:val="20"/>
                <w:szCs w:val="20"/>
              </w:rPr>
              <w:t xml:space="preserve">средств</w:t>
            </w:r>
            <w:r>
              <w:rPr>
                <w:sz w:val="20"/>
                <w:szCs w:val="20"/>
              </w:rPr>
              <w:t xml:space="preserve"> </w:t>
            </w:r>
            <w:r>
              <w:rPr>
                <w:sz w:val="20"/>
                <w:szCs w:val="20"/>
              </w:rPr>
              <w:t xml:space="preserve">на</w:t>
            </w:r>
            <w:r>
              <w:rPr>
                <w:sz w:val="20"/>
                <w:szCs w:val="20"/>
              </w:rPr>
              <w:t xml:space="preserve"> </w:t>
            </w:r>
            <w:r>
              <w:rPr>
                <w:sz w:val="20"/>
                <w:szCs w:val="20"/>
              </w:rPr>
              <w:t xml:space="preserve">счет</w:t>
            </w:r>
            <w:r>
              <w:rPr>
                <w:sz w:val="20"/>
                <w:szCs w:val="20"/>
              </w:rPr>
              <w:t xml:space="preserve"> </w:t>
            </w:r>
            <w:r>
              <w:rPr>
                <w:sz w:val="20"/>
                <w:szCs w:val="20"/>
              </w:rPr>
              <w:t xml:space="preserve">клиента</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заявки</w:t>
            </w:r>
            <w:r>
              <w:rPr>
                <w:sz w:val="20"/>
                <w:szCs w:val="20"/>
              </w:rPr>
              <w:t xml:space="preserve"> </w:t>
            </w:r>
            <w:r>
              <w:rPr>
                <w:sz w:val="20"/>
                <w:szCs w:val="20"/>
              </w:rPr>
              <w:t xml:space="preserve">в</w:t>
            </w:r>
            <w:r>
              <w:rPr>
                <w:sz w:val="20"/>
                <w:szCs w:val="20"/>
              </w:rPr>
              <w:t xml:space="preserve"> </w:t>
            </w:r>
            <w:r>
              <w:rPr>
                <w:sz w:val="20"/>
                <w:szCs w:val="20"/>
              </w:rPr>
              <w:t xml:space="preserve">день</w:t>
            </w:r>
            <w:r>
              <w:rPr>
                <w:sz w:val="20"/>
                <w:szCs w:val="20"/>
              </w:rPr>
              <w:t xml:space="preserve"> </w:t>
            </w:r>
            <w:r>
              <w:rPr>
                <w:sz w:val="20"/>
                <w:szCs w:val="20"/>
              </w:rPr>
              <w:t xml:space="preserve">подачи</w:t>
            </w:r>
            <w:r>
              <w:rPr>
                <w:sz w:val="20"/>
                <w:szCs w:val="20"/>
              </w:rPr>
              <w:t xml:space="preserve"> </w:t>
            </w:r>
            <w:r>
              <w:rPr>
                <w:sz w:val="20"/>
                <w:szCs w:val="20"/>
              </w:rPr>
              <w:t xml:space="preserve">клиентом</w:t>
            </w:r>
            <w:r>
              <w:rPr>
                <w:sz w:val="20"/>
                <w:szCs w:val="20"/>
              </w:rPr>
              <w:t xml:space="preserve"> </w:t>
            </w:r>
            <w:r>
              <w:rPr>
                <w:sz w:val="20"/>
                <w:szCs w:val="20"/>
              </w:rPr>
              <w:t xml:space="preserve">заявки.</w:t>
            </w:r>
            <w:r>
              <w:rPr>
                <w:sz w:val="20"/>
                <w:szCs w:val="20"/>
              </w:rPr>
            </w:r>
            <w:r>
              <w:rPr>
                <w:sz w:val="20"/>
                <w:szCs w:val="20"/>
              </w:rPr>
            </w:r>
          </w:p>
        </w:tc>
      </w:tr>
    </w:tbl>
    <w:p>
      <w:pPr>
        <w:rPr>
          <w:bCs/>
          <w:i/>
          <w:sz w:val="16"/>
          <w:szCs w:val="16"/>
        </w:rPr>
      </w:pPr>
      <w:r>
        <w:rPr>
          <w:i/>
          <w:sz w:val="16"/>
          <w:szCs w:val="16"/>
          <w:highlight w:val="none"/>
        </w:rPr>
      </w:r>
      <w:r>
        <w:rPr>
          <w:bCs/>
          <w:i/>
          <w:sz w:val="16"/>
          <w:szCs w:val="16"/>
        </w:rPr>
      </w:r>
      <w:r>
        <w:rPr>
          <w:bCs/>
          <w:i/>
          <w:sz w:val="16"/>
          <w:szCs w:val="16"/>
        </w:rPr>
      </w:r>
    </w:p>
    <w:p>
      <w:pPr>
        <w:pStyle w:val="1135"/>
        <w:rPr>
          <w:bCs/>
          <w:i/>
          <w:sz w:val="16"/>
          <w:szCs w:val="16"/>
          <w:highlight w:val="none"/>
        </w:rPr>
      </w:pPr>
      <w:r>
        <w:rPr>
          <w:rFonts w:ascii="Symbol" w:hAnsi="Symbol" w:eastAsia="Symbol" w:cs="Symbol"/>
          <w:i/>
          <w:sz w:val="16"/>
          <w:szCs w:val="16"/>
        </w:rPr>
        <w:t xml:space="preserve">*</w:t>
      </w:r>
      <w:r>
        <w:rPr>
          <w:i/>
          <w:sz w:val="16"/>
          <w:szCs w:val="16"/>
        </w:rPr>
        <w:t xml:space="preserve"> Операции по обязательной продаже части валютной выручки на внутреннем валютном рынке Российской Федерации осуществляются Банком по правилам пункта 11.1 настоящих Тарифов с учетом требований нормативных документов Банка России.</w:t>
      </w:r>
      <w:r>
        <w:rPr>
          <w:bCs/>
          <w:i/>
          <w:sz w:val="16"/>
          <w:szCs w:val="16"/>
          <w:highlight w:val="none"/>
        </w:rPr>
      </w:r>
      <w:r>
        <w:rPr>
          <w:bCs/>
          <w:i/>
          <w:sz w:val="16"/>
          <w:szCs w:val="16"/>
          <w:highlight w:val="none"/>
        </w:rPr>
      </w:r>
    </w:p>
    <w:p>
      <w:pPr>
        <w:pStyle w:val="1135"/>
        <w:rPr>
          <w:i/>
          <w:sz w:val="16"/>
          <w:szCs w:val="16"/>
        </w:rPr>
      </w:pPr>
      <w:r>
        <w:rPr>
          <w:i/>
          <w:sz w:val="16"/>
          <w:szCs w:val="16"/>
        </w:rPr>
        <w:t xml:space="preserve">Примечание:</w:t>
      </w:r>
      <w:r>
        <w:rPr>
          <w:i/>
          <w:sz w:val="16"/>
          <w:szCs w:val="16"/>
        </w:rPr>
      </w:r>
      <w:r>
        <w:rPr>
          <w:i/>
          <w:sz w:val="16"/>
          <w:szCs w:val="16"/>
        </w:rPr>
      </w:r>
    </w:p>
    <w:p>
      <w:pPr>
        <w:pStyle w:val="1135"/>
        <w:rPr>
          <w:i/>
          <w:sz w:val="16"/>
          <w:szCs w:val="16"/>
        </w:rPr>
      </w:pPr>
      <w:r>
        <w:rPr>
          <w:i/>
          <w:sz w:val="16"/>
          <w:szCs w:val="16"/>
        </w:rPr>
        <w:t xml:space="preserve">1</w:t>
      </w:r>
      <w:r>
        <w:rPr>
          <w:i/>
          <w:sz w:val="16"/>
          <w:szCs w:val="16"/>
        </w:rPr>
        <w:t xml:space="preserve"> </w:t>
      </w:r>
      <w:r>
        <w:rPr>
          <w:i/>
          <w:sz w:val="16"/>
          <w:szCs w:val="16"/>
        </w:rPr>
        <w:t xml:space="preserve">Покупка</w:t>
      </w:r>
      <w:r>
        <w:rPr>
          <w:i/>
          <w:sz w:val="16"/>
          <w:szCs w:val="16"/>
        </w:rPr>
        <w:t xml:space="preserve"> </w:t>
      </w:r>
      <w:r>
        <w:rPr>
          <w:i/>
          <w:sz w:val="16"/>
          <w:szCs w:val="16"/>
        </w:rPr>
        <w:t xml:space="preserve">и</w:t>
      </w:r>
      <w:r>
        <w:rPr>
          <w:i/>
          <w:sz w:val="16"/>
          <w:szCs w:val="16"/>
        </w:rPr>
        <w:t xml:space="preserve"> </w:t>
      </w:r>
      <w:r>
        <w:rPr>
          <w:i/>
          <w:sz w:val="16"/>
          <w:szCs w:val="16"/>
        </w:rPr>
        <w:t xml:space="preserve">продажа</w:t>
      </w:r>
      <w:r>
        <w:rPr>
          <w:i/>
          <w:sz w:val="16"/>
          <w:szCs w:val="16"/>
        </w:rPr>
        <w:t xml:space="preserve"> </w:t>
      </w:r>
      <w:r>
        <w:rPr>
          <w:i/>
          <w:sz w:val="16"/>
          <w:szCs w:val="16"/>
        </w:rPr>
        <w:t xml:space="preserve">валюты</w:t>
      </w:r>
      <w:r>
        <w:rPr>
          <w:i/>
          <w:sz w:val="16"/>
          <w:szCs w:val="16"/>
        </w:rPr>
        <w:t xml:space="preserve"> </w:t>
      </w:r>
      <w:r>
        <w:rPr>
          <w:i/>
          <w:sz w:val="16"/>
          <w:szCs w:val="16"/>
        </w:rPr>
        <w:t xml:space="preserve">непосредственно</w:t>
      </w:r>
      <w:r>
        <w:rPr>
          <w:i/>
          <w:sz w:val="16"/>
          <w:szCs w:val="16"/>
        </w:rPr>
        <w:t xml:space="preserve"> </w:t>
      </w:r>
      <w:r>
        <w:rPr>
          <w:i/>
          <w:sz w:val="16"/>
          <w:szCs w:val="16"/>
        </w:rPr>
        <w:t xml:space="preserve">Банком</w:t>
      </w:r>
      <w:r>
        <w:rPr>
          <w:i/>
          <w:sz w:val="16"/>
          <w:szCs w:val="16"/>
        </w:rPr>
        <w:t xml:space="preserve"> </w:t>
      </w:r>
      <w:r>
        <w:rPr>
          <w:i/>
          <w:sz w:val="16"/>
          <w:szCs w:val="16"/>
        </w:rPr>
        <w:t xml:space="preserve">осуществляется</w:t>
      </w:r>
      <w:r>
        <w:rPr>
          <w:i/>
          <w:sz w:val="16"/>
          <w:szCs w:val="16"/>
        </w:rPr>
        <w:t xml:space="preserve"> </w:t>
      </w:r>
      <w:r>
        <w:rPr>
          <w:i/>
          <w:sz w:val="16"/>
          <w:szCs w:val="16"/>
        </w:rPr>
        <w:t xml:space="preserve">только</w:t>
      </w:r>
      <w:r>
        <w:rPr>
          <w:i/>
          <w:sz w:val="16"/>
          <w:szCs w:val="16"/>
        </w:rPr>
        <w:t xml:space="preserve"> </w:t>
      </w:r>
      <w:r>
        <w:rPr>
          <w:i/>
          <w:sz w:val="16"/>
          <w:szCs w:val="16"/>
        </w:rPr>
        <w:t xml:space="preserve">по</w:t>
      </w:r>
      <w:r>
        <w:rPr>
          <w:i/>
          <w:sz w:val="16"/>
          <w:szCs w:val="16"/>
        </w:rPr>
        <w:t xml:space="preserve"> </w:t>
      </w:r>
      <w:r>
        <w:rPr>
          <w:i/>
          <w:sz w:val="16"/>
          <w:szCs w:val="16"/>
        </w:rPr>
        <w:t xml:space="preserve">тем</w:t>
      </w:r>
      <w:r>
        <w:rPr>
          <w:i/>
          <w:sz w:val="16"/>
          <w:szCs w:val="16"/>
        </w:rPr>
        <w:t xml:space="preserve"> </w:t>
      </w:r>
      <w:r>
        <w:rPr>
          <w:i/>
          <w:sz w:val="16"/>
          <w:szCs w:val="16"/>
        </w:rPr>
        <w:t xml:space="preserve">видам</w:t>
      </w:r>
      <w:r>
        <w:rPr>
          <w:i/>
          <w:sz w:val="16"/>
          <w:szCs w:val="16"/>
        </w:rPr>
        <w:t xml:space="preserve"> </w:t>
      </w:r>
      <w:r>
        <w:rPr>
          <w:i/>
          <w:sz w:val="16"/>
          <w:szCs w:val="16"/>
        </w:rPr>
        <w:t xml:space="preserve">валют,</w:t>
      </w:r>
      <w:r>
        <w:rPr>
          <w:i/>
          <w:sz w:val="16"/>
          <w:szCs w:val="16"/>
        </w:rPr>
        <w:t xml:space="preserve"> </w:t>
      </w:r>
      <w:r>
        <w:rPr>
          <w:i/>
          <w:sz w:val="16"/>
          <w:szCs w:val="16"/>
        </w:rPr>
        <w:t xml:space="preserve">по</w:t>
      </w:r>
      <w:r>
        <w:rPr>
          <w:i/>
          <w:sz w:val="16"/>
          <w:szCs w:val="16"/>
        </w:rPr>
        <w:t xml:space="preserve"> </w:t>
      </w:r>
      <w:r>
        <w:rPr>
          <w:i/>
          <w:sz w:val="16"/>
          <w:szCs w:val="16"/>
        </w:rPr>
        <w:t xml:space="preserve">которым</w:t>
      </w:r>
      <w:r>
        <w:rPr>
          <w:i/>
          <w:sz w:val="16"/>
          <w:szCs w:val="16"/>
        </w:rPr>
        <w:t xml:space="preserve"> </w:t>
      </w:r>
      <w:r>
        <w:rPr>
          <w:i/>
          <w:sz w:val="16"/>
          <w:szCs w:val="16"/>
        </w:rPr>
        <w:t xml:space="preserve">головным</w:t>
      </w:r>
      <w:r>
        <w:rPr>
          <w:i/>
          <w:sz w:val="16"/>
          <w:szCs w:val="16"/>
        </w:rPr>
        <w:t xml:space="preserve"> </w:t>
      </w:r>
      <w:r>
        <w:rPr>
          <w:i/>
          <w:sz w:val="16"/>
          <w:szCs w:val="16"/>
        </w:rPr>
        <w:t xml:space="preserve">офисом</w:t>
      </w:r>
      <w:r>
        <w:rPr>
          <w:i/>
          <w:sz w:val="16"/>
          <w:szCs w:val="16"/>
        </w:rPr>
        <w:t xml:space="preserve"> </w:t>
      </w:r>
      <w:r>
        <w:rPr>
          <w:i/>
          <w:sz w:val="16"/>
          <w:szCs w:val="16"/>
        </w:rPr>
        <w:t xml:space="preserve">Банка</w:t>
      </w:r>
      <w:r>
        <w:rPr>
          <w:i/>
          <w:sz w:val="16"/>
          <w:szCs w:val="16"/>
        </w:rPr>
        <w:t xml:space="preserve"> </w:t>
      </w:r>
      <w:r>
        <w:rPr>
          <w:i/>
          <w:sz w:val="16"/>
          <w:szCs w:val="16"/>
        </w:rPr>
        <w:t xml:space="preserve">установлены</w:t>
      </w:r>
      <w:r>
        <w:rPr>
          <w:i/>
          <w:sz w:val="16"/>
          <w:szCs w:val="16"/>
        </w:rPr>
        <w:t xml:space="preserve"> </w:t>
      </w:r>
      <w:r>
        <w:rPr>
          <w:i/>
          <w:sz w:val="16"/>
          <w:szCs w:val="16"/>
        </w:rPr>
        <w:t xml:space="preserve">соответствующие</w:t>
      </w:r>
      <w:r>
        <w:rPr>
          <w:i/>
          <w:sz w:val="16"/>
          <w:szCs w:val="16"/>
        </w:rPr>
        <w:t xml:space="preserve"> </w:t>
      </w:r>
      <w:r>
        <w:rPr>
          <w:i/>
          <w:sz w:val="16"/>
          <w:szCs w:val="16"/>
        </w:rPr>
        <w:t xml:space="preserve">курсы</w:t>
      </w:r>
      <w:r>
        <w:rPr>
          <w:i/>
          <w:sz w:val="16"/>
          <w:szCs w:val="16"/>
        </w:rPr>
        <w:t xml:space="preserve"> </w:t>
      </w:r>
      <w:r>
        <w:rPr>
          <w:i/>
          <w:sz w:val="16"/>
          <w:szCs w:val="16"/>
        </w:rPr>
        <w:t xml:space="preserve">(Курс(ы)</w:t>
      </w:r>
      <w:r>
        <w:rPr>
          <w:i/>
          <w:sz w:val="16"/>
          <w:szCs w:val="16"/>
        </w:rPr>
        <w:t xml:space="preserve"> </w:t>
      </w:r>
      <w:r>
        <w:rPr>
          <w:i/>
          <w:sz w:val="16"/>
          <w:szCs w:val="16"/>
        </w:rPr>
        <w:t xml:space="preserve">Банка).</w:t>
      </w:r>
      <w:r>
        <w:rPr>
          <w:i/>
          <w:sz w:val="16"/>
          <w:szCs w:val="16"/>
        </w:rPr>
      </w:r>
      <w:r>
        <w:rPr>
          <w:i/>
          <w:sz w:val="16"/>
          <w:szCs w:val="16"/>
        </w:rPr>
      </w:r>
    </w:p>
    <w:p>
      <w:pPr>
        <w:pStyle w:val="1135"/>
        <w:rPr>
          <w:i/>
          <w:sz w:val="16"/>
          <w:szCs w:val="16"/>
        </w:rPr>
      </w:pPr>
      <w:r>
        <w:rPr>
          <w:i/>
          <w:sz w:val="16"/>
          <w:szCs w:val="16"/>
        </w:rPr>
        <w:t xml:space="preserve">2</w:t>
      </w:r>
      <w:r>
        <w:rPr>
          <w:i/>
          <w:sz w:val="16"/>
          <w:szCs w:val="16"/>
        </w:rPr>
        <w:t xml:space="preserve"> </w:t>
      </w:r>
      <w:r>
        <w:rPr>
          <w:i/>
          <w:sz w:val="16"/>
          <w:szCs w:val="16"/>
        </w:rPr>
        <w:t xml:space="preserve">Банк</w:t>
      </w:r>
      <w:r>
        <w:rPr>
          <w:i/>
          <w:sz w:val="16"/>
          <w:szCs w:val="16"/>
        </w:rPr>
        <w:t xml:space="preserve"> </w:t>
      </w:r>
      <w:r>
        <w:rPr>
          <w:i/>
          <w:sz w:val="16"/>
          <w:szCs w:val="16"/>
        </w:rPr>
        <w:t xml:space="preserve">имеет</w:t>
      </w:r>
      <w:r>
        <w:rPr>
          <w:i/>
          <w:sz w:val="16"/>
          <w:szCs w:val="16"/>
        </w:rPr>
        <w:t xml:space="preserve"> </w:t>
      </w:r>
      <w:r>
        <w:rPr>
          <w:i/>
          <w:sz w:val="16"/>
          <w:szCs w:val="16"/>
        </w:rPr>
        <w:t xml:space="preserve">право</w:t>
      </w:r>
      <w:r>
        <w:rPr>
          <w:i/>
          <w:sz w:val="16"/>
          <w:szCs w:val="16"/>
        </w:rPr>
        <w:t xml:space="preserve"> </w:t>
      </w:r>
      <w:r>
        <w:rPr>
          <w:i/>
          <w:sz w:val="16"/>
          <w:szCs w:val="16"/>
        </w:rPr>
        <w:t xml:space="preserve">изменять</w:t>
      </w:r>
      <w:r>
        <w:rPr>
          <w:i/>
          <w:sz w:val="16"/>
          <w:szCs w:val="16"/>
        </w:rPr>
        <w:t xml:space="preserve"> </w:t>
      </w:r>
      <w:r>
        <w:rPr>
          <w:i/>
          <w:sz w:val="16"/>
          <w:szCs w:val="16"/>
        </w:rPr>
        <w:t xml:space="preserve">Курс(ы)</w:t>
      </w:r>
      <w:r>
        <w:rPr>
          <w:i/>
          <w:sz w:val="16"/>
          <w:szCs w:val="16"/>
        </w:rPr>
        <w:t xml:space="preserve"> </w:t>
      </w:r>
      <w:r>
        <w:rPr>
          <w:i/>
          <w:sz w:val="16"/>
          <w:szCs w:val="16"/>
        </w:rPr>
        <w:t xml:space="preserve">Банка</w:t>
      </w:r>
      <w:r>
        <w:rPr>
          <w:i/>
          <w:sz w:val="16"/>
          <w:szCs w:val="16"/>
        </w:rPr>
        <w:t xml:space="preserve"> </w:t>
      </w:r>
      <w:r>
        <w:rPr>
          <w:i/>
          <w:sz w:val="16"/>
          <w:szCs w:val="16"/>
        </w:rPr>
        <w:t xml:space="preserve">и/или</w:t>
      </w:r>
      <w:r>
        <w:rPr>
          <w:i/>
          <w:sz w:val="16"/>
          <w:szCs w:val="16"/>
        </w:rPr>
        <w:t xml:space="preserve"> </w:t>
      </w:r>
      <w:r>
        <w:rPr>
          <w:i/>
          <w:sz w:val="16"/>
          <w:szCs w:val="16"/>
        </w:rPr>
        <w:t xml:space="preserve">размер</w:t>
      </w:r>
      <w:r>
        <w:rPr>
          <w:i/>
          <w:sz w:val="16"/>
          <w:szCs w:val="16"/>
        </w:rPr>
        <w:t xml:space="preserve"> </w:t>
      </w:r>
      <w:r>
        <w:rPr>
          <w:i/>
          <w:sz w:val="16"/>
          <w:szCs w:val="16"/>
        </w:rPr>
        <w:t xml:space="preserve">расчетной</w:t>
      </w:r>
      <w:r>
        <w:rPr>
          <w:i/>
          <w:sz w:val="16"/>
          <w:szCs w:val="16"/>
        </w:rPr>
        <w:t xml:space="preserve"> </w:t>
      </w:r>
      <w:r>
        <w:rPr>
          <w:i/>
          <w:sz w:val="16"/>
          <w:szCs w:val="16"/>
        </w:rPr>
        <w:t xml:space="preserve">комиссии</w:t>
      </w:r>
      <w:r>
        <w:rPr>
          <w:i/>
          <w:sz w:val="16"/>
          <w:szCs w:val="16"/>
        </w:rPr>
        <w:t xml:space="preserve"> </w:t>
      </w:r>
      <w:r>
        <w:rPr>
          <w:i/>
          <w:sz w:val="16"/>
          <w:szCs w:val="16"/>
        </w:rPr>
        <w:t xml:space="preserve">в</w:t>
      </w:r>
      <w:r>
        <w:rPr>
          <w:i/>
          <w:sz w:val="16"/>
          <w:szCs w:val="16"/>
        </w:rPr>
        <w:t xml:space="preserve"> </w:t>
      </w:r>
      <w:r>
        <w:rPr>
          <w:i/>
          <w:sz w:val="16"/>
          <w:szCs w:val="16"/>
        </w:rPr>
        <w:t xml:space="preserve">течение</w:t>
      </w:r>
      <w:r>
        <w:rPr>
          <w:i/>
          <w:sz w:val="16"/>
          <w:szCs w:val="16"/>
        </w:rPr>
        <w:t xml:space="preserve"> </w:t>
      </w:r>
      <w:r>
        <w:rPr>
          <w:i/>
          <w:sz w:val="16"/>
          <w:szCs w:val="16"/>
        </w:rPr>
        <w:t xml:space="preserve">дня.</w:t>
      </w:r>
      <w:r>
        <w:rPr>
          <w:i/>
          <w:sz w:val="16"/>
          <w:szCs w:val="16"/>
        </w:rPr>
        <w:t xml:space="preserve"> </w:t>
      </w:r>
      <w:r>
        <w:rPr>
          <w:i/>
          <w:sz w:val="16"/>
          <w:szCs w:val="16"/>
        </w:rPr>
      </w:r>
      <w:r>
        <w:rPr>
          <w:i/>
          <w:sz w:val="16"/>
          <w:szCs w:val="16"/>
        </w:rPr>
      </w:r>
    </w:p>
    <w:p>
      <w:pPr>
        <w:pStyle w:val="1135"/>
        <w:rPr>
          <w:i/>
          <w:sz w:val="16"/>
          <w:szCs w:val="16"/>
        </w:rPr>
      </w:pPr>
      <w:r>
        <w:rPr>
          <w:i/>
          <w:sz w:val="16"/>
          <w:szCs w:val="16"/>
        </w:rPr>
        <w:t xml:space="preserve">3</w:t>
      </w:r>
      <w:r>
        <w:rPr>
          <w:i/>
          <w:sz w:val="16"/>
          <w:szCs w:val="16"/>
        </w:rPr>
        <w:t xml:space="preserve"> </w:t>
      </w:r>
      <w:r>
        <w:rPr>
          <w:i/>
          <w:sz w:val="16"/>
          <w:szCs w:val="16"/>
        </w:rPr>
        <w:t xml:space="preserve">При</w:t>
      </w:r>
      <w:r>
        <w:rPr>
          <w:i/>
          <w:sz w:val="16"/>
          <w:szCs w:val="16"/>
        </w:rPr>
        <w:t xml:space="preserve"> </w:t>
      </w:r>
      <w:r>
        <w:rPr>
          <w:i/>
          <w:sz w:val="16"/>
          <w:szCs w:val="16"/>
        </w:rPr>
        <w:t xml:space="preserve">совершении</w:t>
      </w:r>
      <w:r>
        <w:rPr>
          <w:i/>
          <w:sz w:val="16"/>
          <w:szCs w:val="16"/>
        </w:rPr>
        <w:t xml:space="preserve"> </w:t>
      </w:r>
      <w:r>
        <w:rPr>
          <w:i/>
          <w:sz w:val="16"/>
          <w:szCs w:val="16"/>
        </w:rPr>
        <w:t xml:space="preserve">Банком</w:t>
      </w:r>
      <w:r>
        <w:rPr>
          <w:i/>
          <w:sz w:val="16"/>
          <w:szCs w:val="16"/>
        </w:rPr>
        <w:t xml:space="preserve"> </w:t>
      </w:r>
      <w:r>
        <w:rPr>
          <w:i/>
          <w:sz w:val="16"/>
          <w:szCs w:val="16"/>
        </w:rPr>
        <w:t xml:space="preserve">операций,</w:t>
      </w:r>
      <w:r>
        <w:rPr>
          <w:i/>
          <w:sz w:val="16"/>
          <w:szCs w:val="16"/>
        </w:rPr>
        <w:t xml:space="preserve"> </w:t>
      </w:r>
      <w:r>
        <w:rPr>
          <w:i/>
          <w:sz w:val="16"/>
          <w:szCs w:val="16"/>
        </w:rPr>
        <w:t xml:space="preserve">указанных</w:t>
      </w:r>
      <w:r>
        <w:rPr>
          <w:i/>
          <w:sz w:val="16"/>
          <w:szCs w:val="16"/>
        </w:rPr>
        <w:t xml:space="preserve"> </w:t>
      </w:r>
      <w:r>
        <w:rPr>
          <w:i/>
          <w:sz w:val="16"/>
          <w:szCs w:val="16"/>
        </w:rPr>
        <w:t xml:space="preserve">в</w:t>
      </w:r>
      <w:r>
        <w:rPr>
          <w:i/>
          <w:sz w:val="16"/>
          <w:szCs w:val="16"/>
        </w:rPr>
        <w:t xml:space="preserve"> </w:t>
      </w:r>
      <w:r>
        <w:rPr>
          <w:i/>
          <w:sz w:val="16"/>
          <w:szCs w:val="16"/>
        </w:rPr>
        <w:t xml:space="preserve">пунктах</w:t>
      </w:r>
      <w:r>
        <w:rPr>
          <w:i/>
          <w:sz w:val="16"/>
          <w:szCs w:val="16"/>
        </w:rPr>
        <w:t xml:space="preserve"> </w:t>
      </w:r>
      <w:r>
        <w:rPr>
          <w:i/>
          <w:sz w:val="16"/>
          <w:szCs w:val="16"/>
        </w:rPr>
        <w:t xml:space="preserve">11.1.1,</w:t>
      </w:r>
      <w:r>
        <w:rPr>
          <w:i/>
          <w:sz w:val="16"/>
          <w:szCs w:val="16"/>
        </w:rPr>
        <w:t xml:space="preserve"> </w:t>
      </w:r>
      <w:r>
        <w:rPr>
          <w:i/>
          <w:sz w:val="16"/>
          <w:szCs w:val="16"/>
        </w:rPr>
        <w:t xml:space="preserve">11.1.2,</w:t>
      </w:r>
      <w:r>
        <w:rPr>
          <w:i/>
          <w:sz w:val="16"/>
          <w:szCs w:val="16"/>
        </w:rPr>
        <w:t xml:space="preserve"> </w:t>
      </w:r>
      <w:r>
        <w:rPr>
          <w:i/>
          <w:sz w:val="16"/>
          <w:szCs w:val="16"/>
        </w:rPr>
        <w:t xml:space="preserve">11.2.1</w:t>
      </w:r>
      <w:r>
        <w:rPr>
          <w:i/>
          <w:sz w:val="16"/>
          <w:szCs w:val="16"/>
        </w:rPr>
        <w:t xml:space="preserve"> </w:t>
      </w:r>
      <w:r>
        <w:rPr>
          <w:i/>
          <w:sz w:val="16"/>
          <w:szCs w:val="16"/>
        </w:rPr>
        <w:t xml:space="preserve">и</w:t>
      </w:r>
      <w:r>
        <w:rPr>
          <w:i/>
          <w:sz w:val="16"/>
          <w:szCs w:val="16"/>
        </w:rPr>
        <w:t xml:space="preserve"> </w:t>
      </w:r>
      <w:r>
        <w:rPr>
          <w:i/>
          <w:sz w:val="16"/>
          <w:szCs w:val="16"/>
        </w:rPr>
        <w:t xml:space="preserve">11.2.2,</w:t>
      </w:r>
      <w:r>
        <w:rPr>
          <w:i/>
          <w:sz w:val="16"/>
          <w:szCs w:val="16"/>
        </w:rPr>
        <w:t xml:space="preserve"> </w:t>
      </w:r>
      <w:r>
        <w:rPr>
          <w:i/>
          <w:sz w:val="16"/>
          <w:szCs w:val="16"/>
        </w:rPr>
        <w:t xml:space="preserve">Курс</w:t>
      </w:r>
      <w:r>
        <w:rPr>
          <w:i/>
          <w:sz w:val="16"/>
          <w:szCs w:val="16"/>
        </w:rPr>
        <w:t xml:space="preserve"> </w:t>
      </w:r>
      <w:r>
        <w:rPr>
          <w:i/>
          <w:sz w:val="16"/>
          <w:szCs w:val="16"/>
        </w:rPr>
        <w:t xml:space="preserve">Банка</w:t>
      </w:r>
      <w:r>
        <w:rPr>
          <w:i/>
          <w:sz w:val="16"/>
          <w:szCs w:val="16"/>
        </w:rPr>
        <w:t xml:space="preserve"> </w:t>
      </w:r>
      <w:r>
        <w:rPr>
          <w:i/>
          <w:sz w:val="16"/>
          <w:szCs w:val="16"/>
        </w:rPr>
        <w:t xml:space="preserve">и/или</w:t>
      </w:r>
      <w:r>
        <w:rPr>
          <w:i/>
          <w:sz w:val="16"/>
          <w:szCs w:val="16"/>
        </w:rPr>
        <w:t xml:space="preserve"> </w:t>
      </w:r>
      <w:r>
        <w:rPr>
          <w:i/>
          <w:sz w:val="16"/>
          <w:szCs w:val="16"/>
        </w:rPr>
        <w:t xml:space="preserve">размер</w:t>
      </w:r>
      <w:r>
        <w:rPr>
          <w:i/>
          <w:sz w:val="16"/>
          <w:szCs w:val="16"/>
        </w:rPr>
        <w:t xml:space="preserve"> </w:t>
      </w:r>
      <w:r>
        <w:rPr>
          <w:i/>
          <w:sz w:val="16"/>
          <w:szCs w:val="16"/>
        </w:rPr>
        <w:t xml:space="preserve">расчетной</w:t>
      </w:r>
      <w:r>
        <w:rPr>
          <w:i/>
          <w:sz w:val="16"/>
          <w:szCs w:val="16"/>
        </w:rPr>
        <w:t xml:space="preserve"> </w:t>
      </w:r>
      <w:r>
        <w:rPr>
          <w:i/>
          <w:sz w:val="16"/>
          <w:szCs w:val="16"/>
        </w:rPr>
        <w:t xml:space="preserve">комиссии,</w:t>
      </w:r>
      <w:r>
        <w:rPr>
          <w:i/>
          <w:sz w:val="16"/>
          <w:szCs w:val="16"/>
        </w:rPr>
        <w:t xml:space="preserve"> </w:t>
      </w:r>
      <w:r>
        <w:rPr>
          <w:i/>
          <w:sz w:val="16"/>
          <w:szCs w:val="16"/>
        </w:rPr>
        <w:t xml:space="preserve">действующий(ие)</w:t>
      </w:r>
      <w:r>
        <w:rPr>
          <w:i/>
          <w:sz w:val="16"/>
          <w:szCs w:val="16"/>
        </w:rPr>
        <w:t xml:space="preserve"> </w:t>
      </w:r>
      <w:r>
        <w:rPr>
          <w:i/>
          <w:sz w:val="16"/>
          <w:szCs w:val="16"/>
        </w:rPr>
        <w:t xml:space="preserve">на</w:t>
      </w:r>
      <w:r>
        <w:rPr>
          <w:i/>
          <w:sz w:val="16"/>
          <w:szCs w:val="16"/>
        </w:rPr>
        <w:t xml:space="preserve"> </w:t>
      </w:r>
      <w:r>
        <w:rPr>
          <w:i/>
          <w:sz w:val="16"/>
          <w:szCs w:val="16"/>
        </w:rPr>
        <w:t xml:space="preserve">дату</w:t>
      </w:r>
      <w:r>
        <w:rPr>
          <w:i/>
          <w:sz w:val="16"/>
          <w:szCs w:val="16"/>
        </w:rPr>
        <w:t xml:space="preserve"> </w:t>
      </w:r>
      <w:r>
        <w:rPr>
          <w:i/>
          <w:sz w:val="16"/>
          <w:szCs w:val="16"/>
        </w:rPr>
        <w:t xml:space="preserve">и</w:t>
      </w:r>
      <w:r>
        <w:rPr>
          <w:i/>
          <w:sz w:val="16"/>
          <w:szCs w:val="16"/>
        </w:rPr>
        <w:t xml:space="preserve"> </w:t>
      </w:r>
      <w:r>
        <w:rPr>
          <w:i/>
          <w:sz w:val="16"/>
          <w:szCs w:val="16"/>
        </w:rPr>
        <w:t xml:space="preserve">время</w:t>
      </w:r>
      <w:r>
        <w:rPr>
          <w:i/>
          <w:sz w:val="16"/>
          <w:szCs w:val="16"/>
        </w:rPr>
        <w:t xml:space="preserve"> </w:t>
      </w:r>
      <w:r>
        <w:rPr>
          <w:i/>
          <w:sz w:val="16"/>
          <w:szCs w:val="16"/>
        </w:rPr>
        <w:t xml:space="preserve">совершения</w:t>
      </w:r>
      <w:r>
        <w:rPr>
          <w:i/>
          <w:sz w:val="16"/>
          <w:szCs w:val="16"/>
        </w:rPr>
        <w:t xml:space="preserve"> </w:t>
      </w:r>
      <w:r>
        <w:rPr>
          <w:i/>
          <w:sz w:val="16"/>
          <w:szCs w:val="16"/>
        </w:rPr>
        <w:t xml:space="preserve">операции,</w:t>
      </w:r>
      <w:r>
        <w:rPr>
          <w:i/>
          <w:sz w:val="16"/>
          <w:szCs w:val="16"/>
        </w:rPr>
        <w:t xml:space="preserve"> </w:t>
      </w:r>
      <w:r>
        <w:rPr>
          <w:i/>
          <w:sz w:val="16"/>
          <w:szCs w:val="16"/>
        </w:rPr>
        <w:t xml:space="preserve">сообщаются</w:t>
      </w:r>
      <w:r>
        <w:rPr>
          <w:i/>
          <w:sz w:val="16"/>
          <w:szCs w:val="16"/>
        </w:rPr>
        <w:t xml:space="preserve"> </w:t>
      </w:r>
      <w:r>
        <w:rPr>
          <w:i/>
          <w:sz w:val="16"/>
          <w:szCs w:val="16"/>
        </w:rPr>
        <w:t xml:space="preserve">клиенту</w:t>
      </w:r>
      <w:r>
        <w:rPr>
          <w:i/>
          <w:sz w:val="16"/>
          <w:szCs w:val="16"/>
        </w:rPr>
        <w:t xml:space="preserve"> </w:t>
      </w:r>
      <w:r>
        <w:rPr>
          <w:i/>
          <w:sz w:val="16"/>
          <w:szCs w:val="16"/>
        </w:rPr>
        <w:t xml:space="preserve">после</w:t>
      </w:r>
      <w:r>
        <w:rPr>
          <w:i/>
          <w:sz w:val="16"/>
          <w:szCs w:val="16"/>
        </w:rPr>
        <w:t xml:space="preserve"> </w:t>
      </w:r>
      <w:r>
        <w:rPr>
          <w:i/>
          <w:sz w:val="16"/>
          <w:szCs w:val="16"/>
        </w:rPr>
        <w:t xml:space="preserve">приема</w:t>
      </w:r>
      <w:r>
        <w:rPr>
          <w:i/>
          <w:sz w:val="16"/>
          <w:szCs w:val="16"/>
        </w:rPr>
        <w:t xml:space="preserve"> </w:t>
      </w:r>
      <w:r>
        <w:rPr>
          <w:i/>
          <w:sz w:val="16"/>
          <w:szCs w:val="16"/>
        </w:rPr>
        <w:t xml:space="preserve">Банком</w:t>
      </w:r>
      <w:r>
        <w:rPr>
          <w:i/>
          <w:sz w:val="16"/>
          <w:szCs w:val="16"/>
        </w:rPr>
        <w:t xml:space="preserve"> </w:t>
      </w:r>
      <w:r>
        <w:rPr>
          <w:i/>
          <w:sz w:val="16"/>
          <w:szCs w:val="16"/>
        </w:rPr>
        <w:t xml:space="preserve">к</w:t>
      </w:r>
      <w:r>
        <w:rPr>
          <w:i/>
          <w:sz w:val="16"/>
          <w:szCs w:val="16"/>
        </w:rPr>
        <w:t xml:space="preserve"> </w:t>
      </w:r>
      <w:r>
        <w:rPr>
          <w:i/>
          <w:sz w:val="16"/>
          <w:szCs w:val="16"/>
        </w:rPr>
        <w:t xml:space="preserve">исполнению</w:t>
      </w:r>
      <w:r>
        <w:rPr>
          <w:i/>
          <w:sz w:val="16"/>
          <w:szCs w:val="16"/>
        </w:rPr>
        <w:t xml:space="preserve"> </w:t>
      </w:r>
      <w:r>
        <w:rPr>
          <w:i/>
          <w:sz w:val="16"/>
          <w:szCs w:val="16"/>
        </w:rPr>
        <w:t xml:space="preserve">распоряжения/заявки.</w:t>
      </w:r>
      <w:r>
        <w:rPr>
          <w:i/>
          <w:sz w:val="16"/>
          <w:szCs w:val="16"/>
        </w:rPr>
      </w:r>
      <w:r>
        <w:rPr>
          <w:i/>
          <w:sz w:val="16"/>
          <w:szCs w:val="16"/>
        </w:rPr>
      </w:r>
    </w:p>
    <w:p>
      <w:pPr>
        <w:rPr>
          <w:lang w:val="en-US"/>
        </w:rPr>
      </w:pPr>
      <w:r>
        <w:rPr>
          <w:lang w:val="en-US"/>
        </w:rPr>
      </w:r>
      <w:r>
        <w:rPr>
          <w:lang w:val="en-US"/>
        </w:rPr>
      </w:r>
      <w:r>
        <w:rPr>
          <w:lang w:val="en-US"/>
        </w:rPr>
      </w:r>
    </w:p>
    <w:p>
      <w:pPr>
        <w:pStyle w:val="1135"/>
        <w:jc w:val="center"/>
        <w:keepNext/>
        <w:spacing w:after="120"/>
        <w:rPr>
          <w:b/>
          <w:bCs/>
          <w:sz w:val="22"/>
          <w:szCs w:val="22"/>
        </w:rPr>
        <w:outlineLvl w:val="4"/>
      </w:pPr>
      <w:r>
        <w:rPr>
          <w:b/>
          <w:bCs/>
          <w:sz w:val="22"/>
          <w:szCs w:val="22"/>
        </w:rPr>
        <w:t xml:space="preserve">12. Кредитные операции</w:t>
      </w:r>
      <w:r>
        <w:rPr>
          <w:b/>
          <w:bCs/>
          <w:sz w:val="22"/>
          <w:szCs w:val="22"/>
        </w:rPr>
      </w:r>
      <w:r>
        <w:rPr>
          <w:b/>
          <w:bCs/>
          <w:sz w:val="22"/>
          <w:szCs w:val="22"/>
        </w:rPr>
      </w:r>
    </w:p>
    <w:tbl>
      <w:tblPr>
        <w:tblW w:w="9894" w:type="dxa"/>
        <w:tblInd w:w="13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3969"/>
        <w:gridCol w:w="2097"/>
        <w:gridCol w:w="29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blHeader/>
        </w:trPr>
        <w:tc>
          <w:tcPr>
            <w:tcBorders>
              <w:top w:val="single" w:color="000000" w:sz="4" w:space="0"/>
              <w:left w:val="single" w:color="000000" w:sz="4" w:space="0"/>
              <w:bottom w:val="single" w:color="000000" w:sz="4" w:space="0"/>
              <w:right w:val="single" w:color="000000" w:sz="4" w:space="0"/>
            </w:tcBorders>
            <w:tcW w:w="851" w:type="dxa"/>
            <w:vAlign w:val="center"/>
            <w:textDirection w:val="lrTb"/>
            <w:noWrap w:val="false"/>
          </w:tcPr>
          <w:p>
            <w:pPr>
              <w:pStyle w:val="1135"/>
              <w:jc w:val="center"/>
              <w:spacing w:before="120" w:after="120"/>
              <w:rPr>
                <w:b/>
                <w:bCs/>
                <w:sz w:val="20"/>
                <w:szCs w:val="20"/>
              </w:rPr>
            </w:pPr>
            <w:r>
              <w:rPr>
                <w:b/>
                <w:bCs/>
                <w:sz w:val="20"/>
                <w:szCs w:val="20"/>
              </w:rPr>
              <w:t xml:space="preserve">№ п/п</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3969" w:type="dxa"/>
            <w:vAlign w:val="center"/>
            <w:textDirection w:val="lrTb"/>
            <w:noWrap w:val="false"/>
          </w:tcPr>
          <w:p>
            <w:pPr>
              <w:pStyle w:val="1135"/>
              <w:jc w:val="center"/>
              <w:spacing w:before="120" w:after="120"/>
              <w:rPr>
                <w:b/>
                <w:bCs/>
                <w:sz w:val="20"/>
                <w:szCs w:val="20"/>
              </w:rPr>
            </w:pPr>
            <w:r>
              <w:rPr>
                <w:b/>
                <w:bCs/>
                <w:sz w:val="20"/>
                <w:szCs w:val="20"/>
              </w:rPr>
              <w:t xml:space="preserve">Наименование услуги</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2097" w:type="dxa"/>
            <w:vAlign w:val="center"/>
            <w:textDirection w:val="lrTb"/>
            <w:noWrap w:val="false"/>
          </w:tcPr>
          <w:p>
            <w:pPr>
              <w:pStyle w:val="1135"/>
              <w:jc w:val="center"/>
              <w:spacing w:before="120" w:after="120"/>
              <w:rPr>
                <w:b/>
                <w:bCs/>
                <w:sz w:val="20"/>
                <w:szCs w:val="20"/>
              </w:rPr>
            </w:pPr>
            <w:r>
              <w:rPr>
                <w:b/>
                <w:bCs/>
                <w:sz w:val="20"/>
                <w:szCs w:val="20"/>
              </w:rPr>
              <w:t xml:space="preserve">Тариф</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2977" w:type="dxa"/>
            <w:vAlign w:val="center"/>
            <w:textDirection w:val="lrTb"/>
            <w:noWrap w:val="false"/>
          </w:tcPr>
          <w:p>
            <w:pPr>
              <w:pStyle w:val="1135"/>
              <w:jc w:val="center"/>
              <w:spacing w:before="120" w:after="120"/>
              <w:rPr>
                <w:b/>
                <w:bCs/>
                <w:sz w:val="20"/>
                <w:szCs w:val="20"/>
              </w:rPr>
            </w:pPr>
            <w:r>
              <w:rPr>
                <w:b/>
                <w:bCs/>
                <w:sz w:val="20"/>
                <w:szCs w:val="20"/>
              </w:rPr>
              <w:t xml:space="preserve">Примечание</w:t>
            </w:r>
            <w:r>
              <w:rPr>
                <w:b/>
                <w:bCs/>
                <w:sz w:val="20"/>
                <w:szCs w:val="20"/>
              </w:rPr>
            </w:r>
            <w:r>
              <w:rPr>
                <w:b/>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35"/>
              <w:jc w:val="center"/>
              <w:spacing w:before="120"/>
              <w:tabs>
                <w:tab w:val="left" w:pos="0" w:leader="none"/>
              </w:tabs>
              <w:rPr>
                <w:bCs/>
                <w:sz w:val="20"/>
                <w:szCs w:val="20"/>
              </w:rPr>
            </w:pPr>
            <w:r>
              <w:rPr>
                <w:bCs/>
                <w:sz w:val="20"/>
                <w:szCs w:val="20"/>
              </w:rPr>
              <w:t xml:space="preserve">12.1.</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135"/>
              <w:jc w:val="both"/>
              <w:spacing w:before="120"/>
              <w:rPr>
                <w:sz w:val="20"/>
                <w:szCs w:val="20"/>
              </w:rPr>
            </w:pPr>
            <w:r>
              <w:rPr>
                <w:sz w:val="20"/>
                <w:szCs w:val="20"/>
              </w:rPr>
              <w:t xml:space="preserve">Предоставление кредита, в том числе способами открытия кредитной линии и кредитованием банковского счета (овердрафт)</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135"/>
              <w:jc w:val="center"/>
              <w:spacing w:before="120"/>
              <w:widowControl w:val="off"/>
              <w:tabs>
                <w:tab w:val="left" w:pos="2844" w:leader="none"/>
              </w:tabs>
              <w:rPr>
                <w:sz w:val="20"/>
                <w:szCs w:val="20"/>
              </w:rPr>
            </w:pPr>
            <w:r>
              <w:rPr>
                <w:sz w:val="20"/>
                <w:szCs w:val="20"/>
              </w:rPr>
              <w:t xml:space="preserve">Не менее 0,8%</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977" w:type="dxa"/>
            <w:vAlign w:val="top"/>
            <w:vMerge w:val="restart"/>
            <w:textDirection w:val="lrTb"/>
            <w:noWrap w:val="false"/>
          </w:tcPr>
          <w:p>
            <w:pPr>
              <w:pStyle w:val="1135"/>
              <w:jc w:val="both"/>
              <w:spacing w:before="120" w:after="40"/>
              <w:rPr>
                <w:sz w:val="20"/>
                <w:szCs w:val="20"/>
              </w:rPr>
            </w:pPr>
            <w:r>
              <w:rPr>
                <w:sz w:val="20"/>
                <w:szCs w:val="20"/>
              </w:rPr>
              <w:t xml:space="preserve">Комиссия начисляется на сумму кредита (лимита кредитования) и уплачивается единовременно до выдачи кредита (первой части кредита). </w:t>
            </w:r>
            <w:r>
              <w:rPr>
                <w:sz w:val="20"/>
                <w:szCs w:val="20"/>
              </w:rPr>
            </w:r>
            <w:r>
              <w:rPr>
                <w:sz w:val="20"/>
                <w:szCs w:val="20"/>
              </w:rPr>
            </w:r>
          </w:p>
          <w:p>
            <w:pPr>
              <w:pStyle w:val="1135"/>
              <w:jc w:val="both"/>
              <w:spacing w:before="40" w:after="40"/>
              <w:rPr>
                <w:sz w:val="20"/>
                <w:szCs w:val="20"/>
              </w:rPr>
            </w:pPr>
            <w:r>
              <w:rPr>
                <w:sz w:val="20"/>
                <w:szCs w:val="20"/>
              </w:rPr>
              <w:t xml:space="preserve">При увеличении лимита кредитования (лимита овердрафта) комиссия начисляется на сумму увеличения данного лимита и уплачивается в день заключения соответствующего дополнительного соглашения к договору</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5"/>
              <w:jc w:val="center"/>
              <w:spacing w:before="40"/>
              <w:tabs>
                <w:tab w:val="left" w:pos="0" w:leader="none"/>
              </w:tabs>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35"/>
              <w:jc w:val="both"/>
              <w:spacing w:before="40"/>
              <w:rPr>
                <w:sz w:val="20"/>
                <w:szCs w:val="20"/>
              </w:rPr>
            </w:pPr>
            <w:r>
              <w:rPr>
                <w:sz w:val="20"/>
                <w:szCs w:val="20"/>
              </w:rPr>
              <w:t xml:space="preserve">- при кредитовании в рамках кредитного продукта «Стань фермером» в соответствии с Положением о кредитовании АО «Россельхозбанк» начинающих фермеров № 423-П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35"/>
              <w:jc w:val="center"/>
              <w:spacing w:before="40"/>
              <w:rPr>
                <w:sz w:val="20"/>
                <w:szCs w:val="20"/>
              </w:rPr>
            </w:pPr>
            <w:r>
              <w:rPr>
                <w:sz w:val="20"/>
                <w:szCs w:val="20"/>
              </w:rPr>
              <w:t xml:space="preserve">Не менее 0,1%</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13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5"/>
              <w:jc w:val="center"/>
              <w:spacing w:before="40"/>
              <w:tabs>
                <w:tab w:val="left" w:pos="0" w:leader="none"/>
              </w:tabs>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35"/>
              <w:jc w:val="both"/>
              <w:spacing w:before="40"/>
              <w:rPr>
                <w:sz w:val="20"/>
                <w:szCs w:val="20"/>
              </w:rPr>
            </w:pPr>
            <w:r>
              <w:rPr>
                <w:sz w:val="20"/>
                <w:szCs w:val="20"/>
              </w:rPr>
              <w:t xml:space="preserve">- при кредитовании в рамках кредитного продукта «Агростарт» в соответствии с Положением о кредитовании АО «Россельхозбанк» начинающих фермеров № 423-П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35"/>
              <w:jc w:val="center"/>
              <w:spacing w:before="40"/>
              <w:widowControl w:val="off"/>
              <w:tabs>
                <w:tab w:val="left" w:pos="2844" w:leader="none"/>
              </w:tabs>
              <w:rPr>
                <w:sz w:val="20"/>
                <w:szCs w:val="20"/>
              </w:rPr>
            </w:pP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13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5"/>
              <w:jc w:val="center"/>
              <w:spacing w:before="40"/>
              <w:tabs>
                <w:tab w:val="left" w:pos="0" w:leader="none"/>
              </w:tabs>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35"/>
              <w:jc w:val="both"/>
              <w:spacing w:before="40"/>
              <w:rPr>
                <w:bCs/>
                <w:sz w:val="20"/>
                <w:szCs w:val="20"/>
              </w:rPr>
            </w:pPr>
            <w:r>
              <w:rPr>
                <w:bCs/>
                <w:sz w:val="20"/>
                <w:szCs w:val="20"/>
              </w:rPr>
              <w:t xml:space="preserve">- при кредитовании на проведение</w:t>
            </w:r>
            <w:r>
              <w:rPr>
                <w:bCs/>
                <w:sz w:val="20"/>
                <w:szCs w:val="20"/>
              </w:rPr>
              <w:t xml:space="preserve"> сезонных работ в рамках Порядка предоставления АО «Россельхозбанк» кредитов на цели, связанные с проведением сезонных работ, № 411-П, Порядка предоставления </w:t>
              <w:br/>
              <w:t xml:space="preserve">АО «Россельхозбанк» кредитов на приобретение зерна из федерального интервенционного фонда № 372-П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35"/>
              <w:jc w:val="center"/>
              <w:spacing w:before="40"/>
              <w:rPr>
                <w:sz w:val="20"/>
                <w:szCs w:val="20"/>
              </w:rPr>
            </w:pP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13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5"/>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35"/>
              <w:jc w:val="both"/>
              <w:spacing w:before="40"/>
              <w:rPr>
                <w:sz w:val="20"/>
                <w:szCs w:val="20"/>
              </w:rPr>
            </w:pPr>
            <w:r>
              <w:rPr>
                <w:sz w:val="20"/>
                <w:szCs w:val="20"/>
              </w:rPr>
              <w:t xml:space="preserve">- при кредитовании в рамках </w:t>
            </w:r>
            <w:r>
              <w:rPr>
                <w:bCs/>
                <w:sz w:val="20"/>
                <w:szCs w:val="20"/>
              </w:rPr>
              <w:t xml:space="preserve">Положения о предоставлении кредитов «Оборотный – стандарт» № 495-П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35"/>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35"/>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5"/>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35"/>
              <w:jc w:val="both"/>
              <w:spacing w:before="40"/>
              <w:rPr>
                <w:bCs/>
                <w:sz w:val="20"/>
                <w:szCs w:val="20"/>
              </w:rPr>
            </w:pPr>
            <w:r>
              <w:rPr>
                <w:bCs/>
                <w:sz w:val="20"/>
                <w:szCs w:val="20"/>
              </w:rPr>
              <w:t xml:space="preserve">- при кредитовании в </w:t>
            </w:r>
            <w:r>
              <w:rPr>
                <w:sz w:val="20"/>
                <w:szCs w:val="20"/>
              </w:rPr>
              <w:t xml:space="preserve">соответствии с Положением о предоставлении кредитов в </w:t>
            </w:r>
            <w:r>
              <w:rPr>
                <w:bCs/>
                <w:sz w:val="20"/>
                <w:szCs w:val="20"/>
              </w:rPr>
              <w:t xml:space="preserve">рамках реализации Программы стимулирования кредитования субъектов малого и среднего предпринимательства </w:t>
              <w:br w:type="textWrapping" w:clear="all"/>
            </w:r>
            <w:r>
              <w:rPr>
                <w:sz w:val="20"/>
                <w:szCs w:val="20"/>
              </w:rPr>
              <w:t xml:space="preserve">№ 540-П на период </w:t>
            </w:r>
            <w:r>
              <w:rPr>
                <w:bCs/>
                <w:sz w:val="20"/>
                <w:szCs w:val="20"/>
              </w:rPr>
              <w:t xml:space="preserve">действия льготных условий</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35"/>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35"/>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5"/>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35"/>
              <w:jc w:val="both"/>
              <w:spacing w:before="40"/>
              <w:rPr>
                <w:sz w:val="20"/>
                <w:szCs w:val="20"/>
              </w:rPr>
            </w:pPr>
            <w:r>
              <w:rPr>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35"/>
              <w:ind w:left="74"/>
              <w:jc w:val="center"/>
              <w:spacing w:before="40"/>
              <w:rPr>
                <w:sz w:val="20"/>
                <w:szCs w:val="20"/>
              </w:rPr>
            </w:pPr>
            <w:r>
              <w:rPr>
                <w:sz w:val="20"/>
                <w:szCs w:val="20"/>
              </w:rPr>
              <w:t xml:space="preserve">Не взимается</w:t>
            </w:r>
            <w:r>
              <w:rPr>
                <w:sz w:val="20"/>
                <w:szCs w:val="20"/>
              </w:rPr>
            </w:r>
            <w:r>
              <w:rPr>
                <w:sz w:val="20"/>
                <w:szCs w:val="20"/>
              </w:rPr>
            </w:r>
          </w:p>
          <w:p>
            <w:pPr>
              <w:pStyle w:val="1135"/>
              <w:ind w:left="72"/>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35"/>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5"/>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35"/>
              <w:ind w:left="74"/>
              <w:jc w:val="both"/>
              <w:spacing w:before="40"/>
              <w:tabs>
                <w:tab w:val="left" w:pos="0" w:leader="none"/>
              </w:tabs>
              <w:rPr>
                <w:bCs/>
                <w:sz w:val="20"/>
                <w:szCs w:val="20"/>
              </w:rPr>
            </w:pPr>
            <w:r>
              <w:rPr>
                <w:bCs/>
                <w:sz w:val="20"/>
                <w:szCs w:val="20"/>
              </w:rPr>
              <w:t xml:space="preserve">- при кредитовании в рамках</w:t>
            </w:r>
            <w:r>
              <w:rPr>
                <w:sz w:val="20"/>
                <w:szCs w:val="20"/>
              </w:rPr>
              <w:t xml:space="preserve"> </w:t>
            </w:r>
            <w:r>
              <w:rPr>
                <w:bCs/>
                <w:sz w:val="20"/>
                <w:szCs w:val="20"/>
              </w:rPr>
              <w:t xml:space="preserve">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35"/>
              <w:ind w:left="74"/>
              <w:jc w:val="center"/>
              <w:spacing w:before="40"/>
              <w:tabs>
                <w:tab w:val="left" w:pos="0" w:leader="none"/>
              </w:tabs>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35"/>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5"/>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35"/>
              <w:ind w:left="74"/>
              <w:jc w:val="both"/>
              <w:spacing w:before="40"/>
              <w:rPr>
                <w:bCs/>
                <w:sz w:val="20"/>
                <w:szCs w:val="20"/>
              </w:rPr>
            </w:pPr>
            <w:r>
              <w:rPr>
                <w:bCs/>
                <w:sz w:val="20"/>
                <w:szCs w:val="20"/>
              </w:rPr>
              <w:t xml:space="preserve">- при кредитовании в рамках кредитных продуктов «АПК_Инвест» и «Микро_АПК» в соответствии с Положением о кредитовании клиентов микробизнеса в АО «Россельхозбанк» № 656-П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35"/>
              <w:ind w:left="72"/>
              <w:jc w:val="center"/>
              <w:spacing w:before="40"/>
              <w:rPr>
                <w:bCs/>
                <w:sz w:val="20"/>
                <w:szCs w:val="20"/>
              </w:rPr>
            </w:pPr>
            <w:r>
              <w:rPr>
                <w:bCs/>
                <w:sz w:val="20"/>
                <w:szCs w:val="20"/>
              </w:rPr>
              <w:t xml:space="preserve">Не взимается</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35"/>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5"/>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35"/>
              <w:jc w:val="both"/>
              <w:spacing w:before="40"/>
              <w:rPr>
                <w:bCs/>
                <w:sz w:val="20"/>
                <w:szCs w:val="20"/>
              </w:rPr>
            </w:pPr>
            <w:r>
              <w:rPr>
                <w:bCs/>
                <w:sz w:val="20"/>
                <w:szCs w:val="20"/>
              </w:rPr>
              <w:t xml:space="preserve">- при кредитовании в соответствии с Порядком рефинансирования </w:t>
              <w:br w:type="textWrapping" w:clear="all"/>
              <w:t xml:space="preserve">АО «Россельхозбанк» кредитов, предоставленных сторонними кредитными организациями № 376-П в рамках кредитных продуктов «Сезонный Рефинанс», «Оборотный-стандарт Рефинанс»</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35"/>
              <w:ind w:left="74"/>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35"/>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5"/>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35"/>
              <w:jc w:val="both"/>
              <w:spacing w:before="40"/>
              <w:rPr>
                <w:bCs/>
                <w:sz w:val="20"/>
                <w:szCs w:val="20"/>
              </w:rPr>
            </w:pPr>
            <w:r>
              <w:rPr>
                <w:bCs/>
                <w:sz w:val="20"/>
                <w:szCs w:val="20"/>
              </w:rPr>
              <w:t xml:space="preserve">- при кредитовании в рамках Положения о предоставлении </w:t>
              <w:br w:type="textWrapping" w:clear="all"/>
              <w:t xml:space="preserve">АО «Россельхозбанк» кредитов на цели приобретения залогового имущества с торгов/имущества Банка № 694-П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35"/>
              <w:ind w:left="74"/>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35"/>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5"/>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35"/>
              <w:jc w:val="both"/>
              <w:spacing w:before="40"/>
              <w:rPr>
                <w:bCs/>
                <w:sz w:val="20"/>
                <w:szCs w:val="20"/>
              </w:rPr>
            </w:pPr>
            <w:r>
              <w:rPr>
                <w:bCs/>
                <w:sz w:val="20"/>
                <w:szCs w:val="20"/>
              </w:rPr>
              <w:t xml:space="preserve">- при кредитовании в рамках Порядка кредитования клиентов микробизнеса по кредитному продукту «Бизнес-карта с лимитом кредитования» в </w:t>
              <w:br w:type="textWrapping" w:clear="all"/>
              <w:t xml:space="preserve">АО «Россельхозбанк» № 738-П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35"/>
              <w:ind w:left="74"/>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35"/>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5"/>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35"/>
              <w:jc w:val="both"/>
              <w:spacing w:before="40"/>
              <w:rPr>
                <w:bCs/>
                <w:sz w:val="20"/>
                <w:szCs w:val="20"/>
              </w:rPr>
            </w:pPr>
            <w:r>
              <w:rPr>
                <w:bCs/>
                <w:sz w:val="20"/>
                <w:szCs w:val="20"/>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35"/>
              <w:ind w:left="74"/>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35"/>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5"/>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35"/>
              <w:jc w:val="both"/>
              <w:spacing w:before="40"/>
              <w:rPr>
                <w:bCs/>
                <w:sz w:val="20"/>
                <w:szCs w:val="20"/>
              </w:rPr>
            </w:pPr>
            <w:r>
              <w:rPr>
                <w:bCs/>
                <w:sz w:val="20"/>
                <w:szCs w:val="20"/>
              </w:rPr>
              <w:t xml:space="preserve">- при кредитовании в рамках льготных программ в соответствии с Перечнем 1 раздела 12 «Кредитные операции» настоящих Тарифов</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35"/>
              <w:ind w:left="74"/>
              <w:jc w:val="center"/>
              <w:spacing w:before="40"/>
              <w:rPr>
                <w:sz w:val="20"/>
                <w:szCs w:val="20"/>
              </w:rPr>
            </w:pPr>
            <w:r>
              <w:rPr>
                <w:sz w:val="20"/>
                <w:szCs w:val="20"/>
              </w:rPr>
              <w:t xml:space="preserve">Не взимается </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35"/>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35"/>
              <w:jc w:val="center"/>
              <w:spacing w:before="120"/>
              <w:tabs>
                <w:tab w:val="left" w:pos="0" w:leader="none"/>
              </w:tabs>
              <w:rPr>
                <w:bCs/>
                <w:sz w:val="20"/>
                <w:szCs w:val="20"/>
              </w:rPr>
            </w:pPr>
            <w:r>
              <w:rPr>
                <w:bCs/>
                <w:sz w:val="20"/>
                <w:szCs w:val="20"/>
              </w:rPr>
              <w:t xml:space="preserve">12.2.</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135"/>
              <w:jc w:val="both"/>
              <w:spacing w:before="120"/>
              <w:rPr>
                <w:sz w:val="20"/>
                <w:szCs w:val="20"/>
              </w:rPr>
            </w:pPr>
            <w:r>
              <w:rPr>
                <w:sz w:val="20"/>
                <w:szCs w:val="20"/>
              </w:rPr>
              <w:t xml:space="preserve">Обслуживание кредита, кредитной линии и кредита в форме «овердрафт» в течение всего периода действия</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135"/>
              <w:jc w:val="center"/>
              <w:spacing w:before="120"/>
              <w:widowControl w:val="off"/>
              <w:tabs>
                <w:tab w:val="left" w:pos="2844" w:leader="none"/>
              </w:tabs>
              <w:rPr>
                <w:sz w:val="20"/>
                <w:szCs w:val="20"/>
              </w:rPr>
            </w:pPr>
            <w:r>
              <w:rPr>
                <w:sz w:val="20"/>
                <w:szCs w:val="20"/>
              </w:rPr>
              <w:t xml:space="preserve">Не менее 0,5% годовых</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977" w:type="dxa"/>
            <w:vAlign w:val="top"/>
            <w:vMerge w:val="restart"/>
            <w:textDirection w:val="lrTb"/>
            <w:noWrap w:val="false"/>
          </w:tcPr>
          <w:p>
            <w:pPr>
              <w:pStyle w:val="1135"/>
              <w:ind w:left="34"/>
              <w:jc w:val="both"/>
              <w:spacing w:before="120" w:after="40"/>
              <w:tabs>
                <w:tab w:val="left" w:pos="1276" w:leader="none"/>
              </w:tabs>
              <w:rPr>
                <w:sz w:val="20"/>
                <w:szCs w:val="20"/>
              </w:rPr>
            </w:pPr>
            <w:r>
              <w:rPr>
                <w:sz w:val="20"/>
                <w:szCs w:val="20"/>
              </w:rPr>
              <w:t xml:space="preserve">Комиссия начисляется и уплачивается в порядке, предусмотренном для упл</w:t>
            </w:r>
            <w:r>
              <w:rPr>
                <w:sz w:val="20"/>
                <w:szCs w:val="20"/>
              </w:rPr>
              <w:t xml:space="preserve">аты процентов за пользование кредитом, в течение всего периода действия кредитного договора/договора об открытии кредитной линии / дополнительного соглашения к договору банковского счета о кредитовании счета путем предоставления кредита в форме «овердрафт»</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5"/>
              <w:jc w:val="both"/>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35"/>
              <w:jc w:val="both"/>
              <w:spacing w:before="40"/>
              <w:rPr>
                <w:sz w:val="20"/>
                <w:szCs w:val="20"/>
              </w:rPr>
            </w:pPr>
            <w:r>
              <w:rPr>
                <w:sz w:val="20"/>
                <w:szCs w:val="20"/>
              </w:rPr>
              <w:t xml:space="preserve">- при кредитовании в рамках кредитного продукта «Агростарт» в соответствии с Положением о кредитовании АО «Россельхозбанк» начинающих фермеров № 423-П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35"/>
              <w:jc w:val="center"/>
              <w:spacing w:before="40"/>
              <w:rPr>
                <w:bCs/>
                <w:sz w:val="20"/>
                <w:szCs w:val="20"/>
                <w:lang w:val="en-US"/>
              </w:rPr>
            </w:pPr>
            <w:r>
              <w:rPr>
                <w:sz w:val="20"/>
                <w:szCs w:val="20"/>
              </w:rPr>
              <w:t xml:space="preserve">Не взимается</w:t>
            </w:r>
            <w:r>
              <w:rPr>
                <w:bCs/>
                <w:sz w:val="20"/>
                <w:szCs w:val="20"/>
                <w:lang w:val="en-US"/>
              </w:rPr>
            </w:r>
            <w:r>
              <w:rPr>
                <w:bCs/>
                <w:sz w:val="20"/>
                <w:szCs w:val="20"/>
                <w:lang w:val="en-US"/>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13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5"/>
              <w:jc w:val="center"/>
              <w:spacing w:before="40"/>
              <w:tabs>
                <w:tab w:val="left" w:pos="0" w:leader="none"/>
              </w:tabs>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35"/>
              <w:jc w:val="both"/>
              <w:spacing w:before="40"/>
              <w:rPr>
                <w:sz w:val="20"/>
                <w:szCs w:val="20"/>
              </w:rPr>
            </w:pPr>
            <w:r>
              <w:rPr>
                <w:sz w:val="20"/>
                <w:szCs w:val="20"/>
              </w:rPr>
              <w:t xml:space="preserve">- </w:t>
            </w:r>
            <w:r>
              <w:rPr>
                <w:bCs/>
                <w:sz w:val="20"/>
                <w:szCs w:val="20"/>
              </w:rPr>
              <w:t xml:space="preserve">при кредитовании на проведение</w:t>
            </w:r>
            <w:r>
              <w:rPr>
                <w:bCs/>
                <w:sz w:val="20"/>
                <w:szCs w:val="20"/>
              </w:rPr>
              <w:t xml:space="preserve"> сезонных работ в рамках Порядка предоставления АО «Россельхозбанк» кредитов на цели, связанные с проведением сезонных работ, № 411-П, Порядка предоставления </w:t>
              <w:br/>
              <w:t xml:space="preserve">АО «Россельхозбанк» кредитов на приобретение зерна из федерального интервенционного фонда № 372-П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35"/>
              <w:jc w:val="center"/>
              <w:spacing w:before="40"/>
              <w:rPr>
                <w:sz w:val="20"/>
                <w:szCs w:val="20"/>
              </w:rPr>
            </w:pP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13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5"/>
              <w:jc w:val="center"/>
              <w:spacing w:before="40"/>
              <w:tabs>
                <w:tab w:val="left" w:pos="0" w:leader="none"/>
              </w:tabs>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35"/>
              <w:jc w:val="both"/>
              <w:spacing w:before="40"/>
              <w:rPr>
                <w:sz w:val="20"/>
                <w:szCs w:val="20"/>
              </w:rPr>
            </w:pPr>
            <w:r>
              <w:rPr>
                <w:sz w:val="20"/>
                <w:szCs w:val="20"/>
              </w:rPr>
              <w:t xml:space="preserve">- при кредитовании с использованием связанного финансирования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35"/>
              <w:jc w:val="center"/>
              <w:spacing w:before="40"/>
              <w:widowControl w:val="off"/>
              <w:tabs>
                <w:tab w:val="left" w:pos="2844" w:leader="none"/>
              </w:tabs>
              <w:rPr>
                <w:sz w:val="20"/>
                <w:szCs w:val="20"/>
              </w:rPr>
            </w:pPr>
            <w:r>
              <w:rPr>
                <w:bCs/>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13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5"/>
              <w:jc w:val="center"/>
              <w:spacing w:before="40"/>
              <w:tabs>
                <w:tab w:val="left" w:pos="0" w:leader="none"/>
              </w:tabs>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35"/>
              <w:jc w:val="both"/>
              <w:spacing w:before="40"/>
              <w:rPr>
                <w:sz w:val="20"/>
                <w:szCs w:val="20"/>
              </w:rPr>
            </w:pPr>
            <w:r>
              <w:rPr>
                <w:sz w:val="20"/>
                <w:szCs w:val="20"/>
              </w:rPr>
              <w:t xml:space="preserve">- при кредитовании в рамках </w:t>
            </w:r>
            <w:r>
              <w:rPr>
                <w:bCs/>
                <w:sz w:val="20"/>
                <w:szCs w:val="20"/>
              </w:rPr>
              <w:t xml:space="preserve">Положения о предоставлении кредитов «Оборотный – стандарт» № 495-П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35"/>
              <w:jc w:val="center"/>
              <w:spacing w:before="40"/>
              <w:rPr>
                <w:sz w:val="20"/>
                <w:szCs w:val="20"/>
              </w:rPr>
            </w:pP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13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5"/>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35"/>
              <w:jc w:val="both"/>
              <w:spacing w:before="40"/>
              <w:rPr>
                <w:sz w:val="20"/>
                <w:szCs w:val="20"/>
              </w:rPr>
            </w:pPr>
            <w:r>
              <w:rPr>
                <w:bCs/>
                <w:sz w:val="20"/>
                <w:szCs w:val="20"/>
              </w:rPr>
              <w:t xml:space="preserve">- при кредитовании в </w:t>
            </w:r>
            <w:r>
              <w:rPr>
                <w:sz w:val="20"/>
                <w:szCs w:val="20"/>
              </w:rPr>
              <w:t xml:space="preserve">соответствии с Положением о предоставлении кредитов в </w:t>
            </w:r>
            <w:r>
              <w:rPr>
                <w:bCs/>
                <w:sz w:val="20"/>
                <w:szCs w:val="20"/>
              </w:rPr>
              <w:t xml:space="preserve">рамках реализации Программы стимулирования кредитования субъектов малого и среднего предпринимательства </w:t>
              <w:br w:type="textWrapping" w:clear="all"/>
            </w:r>
            <w:r>
              <w:rPr>
                <w:sz w:val="20"/>
                <w:szCs w:val="20"/>
              </w:rPr>
              <w:t xml:space="preserve">№ 540-П на период </w:t>
            </w:r>
            <w:r>
              <w:rPr>
                <w:bCs/>
                <w:sz w:val="20"/>
                <w:szCs w:val="20"/>
              </w:rPr>
              <w:t xml:space="preserve">действия льготных условий</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35"/>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35"/>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5"/>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35"/>
              <w:jc w:val="both"/>
              <w:spacing w:before="40"/>
              <w:rPr>
                <w:sz w:val="20"/>
                <w:szCs w:val="20"/>
              </w:rPr>
            </w:pPr>
            <w:r>
              <w:rPr>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35"/>
              <w:ind w:left="72"/>
              <w:jc w:val="center"/>
              <w:spacing w:before="40"/>
              <w:rPr>
                <w:sz w:val="20"/>
                <w:szCs w:val="20"/>
              </w:rPr>
            </w:pPr>
            <w:r>
              <w:rPr>
                <w:sz w:val="20"/>
                <w:szCs w:val="20"/>
              </w:rPr>
              <w:t xml:space="preserve">Не взимается</w:t>
            </w:r>
            <w:r>
              <w:rPr>
                <w:sz w:val="20"/>
                <w:szCs w:val="20"/>
              </w:rPr>
            </w:r>
            <w:r>
              <w:rPr>
                <w:sz w:val="20"/>
                <w:szCs w:val="20"/>
              </w:rPr>
            </w:r>
          </w:p>
          <w:p>
            <w:pPr>
              <w:pStyle w:val="1135"/>
              <w:ind w:left="72"/>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35"/>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5"/>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35"/>
              <w:jc w:val="both"/>
              <w:spacing w:before="40"/>
              <w:rPr>
                <w:bCs/>
                <w:sz w:val="20"/>
                <w:szCs w:val="20"/>
              </w:rPr>
            </w:pPr>
            <w:r>
              <w:rPr>
                <w:bCs/>
                <w:sz w:val="20"/>
                <w:szCs w:val="20"/>
              </w:rPr>
              <w:t xml:space="preserve">- при кредитовании в рамках 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35"/>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35"/>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5"/>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35"/>
              <w:jc w:val="both"/>
              <w:spacing w:before="40"/>
              <w:rPr>
                <w:bCs/>
                <w:sz w:val="20"/>
                <w:szCs w:val="20"/>
              </w:rPr>
            </w:pPr>
            <w:r>
              <w:rPr>
                <w:bCs/>
                <w:sz w:val="20"/>
                <w:szCs w:val="20"/>
              </w:rPr>
              <w:t xml:space="preserve">- при кредитовании в рамках кредитных продуктов «АПК_Инвест» и «Микро_АПК» в соответствии с Положением о кредитовании клиентов микробизнеса в АО «Россельхозбанк» № 656-П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35"/>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35"/>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5"/>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35"/>
              <w:jc w:val="both"/>
              <w:spacing w:before="40"/>
              <w:rPr>
                <w:bCs/>
                <w:sz w:val="20"/>
                <w:szCs w:val="20"/>
              </w:rPr>
            </w:pPr>
            <w:r>
              <w:rPr>
                <w:bCs/>
                <w:sz w:val="20"/>
                <w:szCs w:val="20"/>
              </w:rPr>
              <w:t xml:space="preserve">- при кредитовании в соответствии с Порядком рефинансирования </w:t>
              <w:br w:type="textWrapping" w:clear="all"/>
              <w:t xml:space="preserve">АО «Россельхозбанк» кредитов, предоставленных сторонними кредитными организациями № 376-П в рамках кредитных продуктов «Сезонный Рефинанс», «Оборотный-стандарт Рефинанс»</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35"/>
              <w:ind w:left="74"/>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35"/>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5"/>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35"/>
              <w:jc w:val="both"/>
              <w:spacing w:before="40"/>
              <w:rPr>
                <w:sz w:val="20"/>
                <w:szCs w:val="20"/>
              </w:rPr>
            </w:pPr>
            <w:r>
              <w:rPr>
                <w:sz w:val="20"/>
                <w:szCs w:val="20"/>
              </w:rPr>
              <w:t xml:space="preserve">- при кредитовании в рамках Порядка кредитования клиентов микробизнеса по кредитному продукту «Бизнес-карта с лимитом кредитования» в </w:t>
              <w:br w:type="textWrapping" w:clear="all"/>
              <w:t xml:space="preserve">АО «Россельхозбанк» № 738-П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35"/>
              <w:ind w:left="74"/>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35"/>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5"/>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35"/>
              <w:jc w:val="both"/>
              <w:spacing w:before="40"/>
              <w:rPr>
                <w:sz w:val="20"/>
                <w:szCs w:val="20"/>
              </w:rPr>
            </w:pPr>
            <w:r>
              <w:rPr>
                <w:sz w:val="20"/>
                <w:szCs w:val="20"/>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35"/>
              <w:ind w:left="74"/>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35"/>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5"/>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35"/>
              <w:jc w:val="both"/>
              <w:spacing w:before="40"/>
              <w:rPr>
                <w:sz w:val="20"/>
                <w:szCs w:val="20"/>
              </w:rPr>
            </w:pPr>
            <w:r>
              <w:rPr>
                <w:bCs/>
                <w:sz w:val="20"/>
                <w:szCs w:val="20"/>
              </w:rPr>
              <w:t xml:space="preserve">- при кредитовании в рамках льготных программ в соответствии с Перечнем 1 раздела 12 «Кредитные операции» настоящих Тарифов на период действия льготной/ увеличенной льготной ставки</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35"/>
              <w:ind w:left="74"/>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35"/>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35"/>
              <w:jc w:val="center"/>
              <w:spacing w:before="120" w:after="40"/>
              <w:rPr>
                <w:bCs/>
                <w:sz w:val="20"/>
                <w:szCs w:val="20"/>
              </w:rPr>
            </w:pPr>
            <w:r>
              <w:rPr>
                <w:bCs/>
                <w:sz w:val="20"/>
                <w:szCs w:val="20"/>
              </w:rPr>
              <w:t xml:space="preserve">12.3.</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135"/>
              <w:jc w:val="both"/>
              <w:spacing w:before="120" w:after="120"/>
              <w:rPr>
                <w:bCs/>
                <w:sz w:val="20"/>
                <w:szCs w:val="20"/>
              </w:rPr>
            </w:pPr>
            <w:r>
              <w:rPr>
                <w:bCs/>
                <w:sz w:val="20"/>
                <w:szCs w:val="20"/>
              </w:rPr>
              <w:t xml:space="preserve">Резервирование (бронирование) денежных средств для выдачи кредита:</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135"/>
              <w:jc w:val="center"/>
              <w:spacing w:before="40" w:after="40"/>
              <w:rPr>
                <w:sz w:val="20"/>
                <w:szCs w:val="20"/>
              </w:rPr>
            </w:pPr>
            <w:r>
              <w:rPr>
                <w:sz w:val="20"/>
                <w:szCs w:val="20"/>
              </w:rPr>
            </w:r>
            <w:r>
              <w:rPr>
                <w:sz w:val="20"/>
                <w:szCs w:val="20"/>
              </w:rPr>
            </w:r>
            <w:r>
              <w:rPr>
                <w:sz w:val="20"/>
                <w:szCs w:val="20"/>
              </w:rPr>
            </w:r>
          </w:p>
        </w:tc>
        <w:tc>
          <w:tcPr>
            <w:tcBorders>
              <w:top w:val="single" w:color="000000" w:sz="4" w:space="0"/>
              <w:left w:val="single" w:color="000000" w:sz="4" w:space="0"/>
              <w:right w:val="single" w:color="000000" w:sz="4" w:space="0"/>
            </w:tcBorders>
            <w:tcW w:w="2977" w:type="dxa"/>
            <w:vAlign w:val="top"/>
            <w:vMerge w:val="restart"/>
            <w:textDirection w:val="lrTb"/>
            <w:noWrap w:val="false"/>
          </w:tcPr>
          <w:p>
            <w:pPr>
              <w:pStyle w:val="1135"/>
              <w:ind w:left="34"/>
              <w:jc w:val="both"/>
              <w:spacing w:before="120"/>
              <w:tabs>
                <w:tab w:val="left" w:pos="1276" w:leader="none"/>
              </w:tabs>
              <w:rPr>
                <w:sz w:val="20"/>
                <w:szCs w:val="20"/>
              </w:rPr>
            </w:pPr>
            <w:r>
              <w:rPr>
                <w:sz w:val="20"/>
                <w:szCs w:val="20"/>
              </w:rPr>
              <w:t xml:space="preserve">Комиссия начисляется по формуле простых процентов на сумму неиспользованного остатка лимита кредитования</w:t>
            </w:r>
            <w:r>
              <w:rPr>
                <w:rStyle w:val="1180"/>
                <w:sz w:val="20"/>
                <w:szCs w:val="20"/>
              </w:rPr>
              <w:footnoteReference w:id="2"/>
            </w:r>
            <w:r>
              <w:rPr>
                <w:sz w:val="20"/>
                <w:szCs w:val="20"/>
              </w:rPr>
              <w:t xml:space="preserve"> со дня, следующего за: </w:t>
            </w:r>
            <w:r>
              <w:rPr>
                <w:sz w:val="20"/>
                <w:szCs w:val="20"/>
              </w:rPr>
            </w:r>
            <w:r>
              <w:rPr>
                <w:sz w:val="20"/>
                <w:szCs w:val="20"/>
              </w:rPr>
            </w:r>
          </w:p>
          <w:p>
            <w:pPr>
              <w:pStyle w:val="1135"/>
              <w:ind w:left="33"/>
              <w:jc w:val="both"/>
              <w:tabs>
                <w:tab w:val="left" w:pos="1134" w:leader="none"/>
              </w:tabs>
              <w:rPr>
                <w:sz w:val="20"/>
                <w:szCs w:val="20"/>
              </w:rPr>
            </w:pPr>
            <w:r>
              <w:rPr>
                <w:sz w:val="20"/>
                <w:szCs w:val="20"/>
              </w:rPr>
              <w:t xml:space="preserve">- при отсутствии отлагательных условий выдачи кредитных средств:</w:t>
            </w:r>
            <w:r>
              <w:rPr>
                <w:sz w:val="20"/>
                <w:szCs w:val="20"/>
              </w:rPr>
            </w:r>
            <w:r>
              <w:rPr>
                <w:sz w:val="20"/>
                <w:szCs w:val="20"/>
              </w:rPr>
            </w:r>
          </w:p>
          <w:p>
            <w:pPr>
              <w:pStyle w:val="1135"/>
              <w:numPr>
                <w:ilvl w:val="0"/>
                <w:numId w:val="42"/>
              </w:numPr>
              <w:ind w:left="0" w:firstLine="175"/>
              <w:jc w:val="both"/>
              <w:tabs>
                <w:tab w:val="left" w:pos="306" w:leader="none"/>
                <w:tab w:val="left" w:pos="993" w:leader="none"/>
              </w:tabs>
              <w:rPr>
                <w:sz w:val="20"/>
                <w:szCs w:val="20"/>
              </w:rPr>
            </w:pPr>
            <w:r>
              <w:rPr>
                <w:sz w:val="20"/>
                <w:szCs w:val="20"/>
              </w:rPr>
              <w:t xml:space="preserve">датой заключения договора (об открытии кредитной линии/ дополнительного соглашения к договору о кредитовании путем предоставления кредита в форме «овердрафт»);</w:t>
            </w:r>
            <w:r>
              <w:rPr>
                <w:sz w:val="20"/>
                <w:szCs w:val="20"/>
              </w:rPr>
            </w:r>
            <w:r>
              <w:rPr>
                <w:sz w:val="20"/>
                <w:szCs w:val="20"/>
              </w:rPr>
            </w:r>
          </w:p>
          <w:p>
            <w:pPr>
              <w:pStyle w:val="1135"/>
              <w:ind w:left="175"/>
              <w:jc w:val="both"/>
              <w:tabs>
                <w:tab w:val="left" w:pos="306" w:leader="none"/>
                <w:tab w:val="left" w:pos="993" w:leader="none"/>
              </w:tabs>
              <w:rPr>
                <w:sz w:val="20"/>
                <w:szCs w:val="20"/>
              </w:rPr>
            </w:pPr>
            <w:r>
              <w:rPr>
                <w:sz w:val="20"/>
                <w:szCs w:val="20"/>
              </w:rPr>
              <w:t xml:space="preserve">или</w:t>
            </w:r>
            <w:r>
              <w:rPr>
                <w:sz w:val="20"/>
                <w:szCs w:val="20"/>
              </w:rPr>
            </w:r>
            <w:r>
              <w:rPr>
                <w:sz w:val="20"/>
                <w:szCs w:val="20"/>
              </w:rPr>
            </w:r>
          </w:p>
          <w:p>
            <w:pPr>
              <w:pStyle w:val="1135"/>
              <w:numPr>
                <w:ilvl w:val="0"/>
                <w:numId w:val="42"/>
              </w:numPr>
              <w:ind w:left="0" w:firstLine="175"/>
              <w:jc w:val="both"/>
              <w:tabs>
                <w:tab w:val="left" w:pos="306" w:leader="none"/>
                <w:tab w:val="left" w:pos="993" w:leader="none"/>
              </w:tabs>
              <w:rPr>
                <w:sz w:val="20"/>
                <w:szCs w:val="20"/>
              </w:rPr>
            </w:pPr>
            <w:r>
              <w:rPr>
                <w:sz w:val="20"/>
                <w:szCs w:val="20"/>
              </w:rPr>
              <w:t xml:space="preserve">датой заключения дополнительного соглашения к договору о выдаче транша (если выдача кредитных средств осуществляется на основании дополнительного соглашения к договору);</w:t>
            </w:r>
            <w:r>
              <w:rPr>
                <w:sz w:val="20"/>
                <w:szCs w:val="20"/>
              </w:rPr>
            </w:r>
            <w:r>
              <w:rPr>
                <w:sz w:val="20"/>
                <w:szCs w:val="20"/>
              </w:rPr>
            </w:r>
          </w:p>
          <w:p>
            <w:pPr>
              <w:pStyle w:val="1135"/>
              <w:ind w:left="33"/>
              <w:jc w:val="both"/>
              <w:tabs>
                <w:tab w:val="left" w:pos="306" w:leader="none"/>
                <w:tab w:val="left" w:pos="1134" w:leader="none"/>
              </w:tabs>
              <w:rPr>
                <w:sz w:val="20"/>
                <w:szCs w:val="20"/>
              </w:rPr>
            </w:pPr>
            <w:r>
              <w:rPr>
                <w:sz w:val="20"/>
                <w:szCs w:val="20"/>
              </w:rPr>
              <w:t xml:space="preserve">- при наличии отлагательных условий выдачи кредитных средств:</w:t>
            </w:r>
            <w:r>
              <w:rPr>
                <w:sz w:val="20"/>
                <w:szCs w:val="20"/>
              </w:rPr>
            </w:r>
            <w:r>
              <w:rPr>
                <w:sz w:val="20"/>
                <w:szCs w:val="20"/>
              </w:rPr>
            </w:r>
          </w:p>
          <w:p>
            <w:pPr>
              <w:pStyle w:val="1184"/>
              <w:numPr>
                <w:ilvl w:val="0"/>
                <w:numId w:val="42"/>
              </w:numPr>
              <w:ind w:left="0" w:firstLine="0"/>
              <w:jc w:val="both"/>
              <w:spacing w:after="0" w:line="240" w:lineRule="auto"/>
              <w:tabs>
                <w:tab w:val="left" w:pos="306" w:leader="none"/>
                <w:tab w:val="left" w:pos="993" w:leader="none"/>
              </w:tabs>
              <w:rPr>
                <w:rFonts w:ascii="Times New Roman" w:hAnsi="Times New Roman"/>
                <w:sz w:val="20"/>
                <w:szCs w:val="20"/>
              </w:rPr>
            </w:pPr>
            <w:r>
              <w:rPr>
                <w:rFonts w:ascii="Times New Roman" w:hAnsi="Times New Roman"/>
                <w:sz w:val="20"/>
                <w:szCs w:val="20"/>
              </w:rPr>
              <w:t xml:space="preserve">датой выполнения отлагательных условий </w:t>
            </w:r>
            <w:r>
              <w:rPr>
                <w:rFonts w:ascii="Times New Roman" w:hAnsi="Times New Roman"/>
                <w:bCs/>
                <w:sz w:val="20"/>
                <w:szCs w:val="20"/>
              </w:rPr>
              <w:t xml:space="preserve">выдачи кредита/ транша</w:t>
            </w:r>
            <w:r>
              <w:rPr>
                <w:rFonts w:ascii="Times New Roman" w:hAnsi="Times New Roman"/>
                <w:sz w:val="20"/>
                <w:szCs w:val="20"/>
              </w:rPr>
              <w:t xml:space="preserve">.</w:t>
            </w:r>
            <w:r>
              <w:rPr>
                <w:rFonts w:ascii="Times New Roman" w:hAnsi="Times New Roman"/>
                <w:sz w:val="20"/>
                <w:szCs w:val="20"/>
              </w:rPr>
            </w:r>
            <w:r>
              <w:rPr>
                <w:rFonts w:ascii="Times New Roman" w:hAnsi="Times New Roman"/>
                <w:sz w:val="20"/>
                <w:szCs w:val="20"/>
              </w:rPr>
            </w:r>
          </w:p>
          <w:p>
            <w:pPr>
              <w:pStyle w:val="1135"/>
              <w:jc w:val="both"/>
              <w:tabs>
                <w:tab w:val="left" w:pos="1276" w:leader="none"/>
              </w:tabs>
              <w:rPr>
                <w:sz w:val="20"/>
                <w:szCs w:val="20"/>
              </w:rPr>
            </w:pPr>
            <w:r>
              <w:rPr>
                <w:sz w:val="20"/>
                <w:szCs w:val="20"/>
              </w:rPr>
              <w:t xml:space="preserve">Комиссия начисляется по дату окончания срока предоставления кредитных средств/ срока действия лимита кредитования (включительно), определенную договором.</w:t>
            </w:r>
            <w:r>
              <w:rPr>
                <w:sz w:val="20"/>
                <w:szCs w:val="20"/>
              </w:rPr>
            </w:r>
            <w:r>
              <w:rPr>
                <w:sz w:val="20"/>
                <w:szCs w:val="20"/>
              </w:rPr>
            </w:r>
          </w:p>
          <w:p>
            <w:pPr>
              <w:pStyle w:val="1135"/>
              <w:jc w:val="both"/>
              <w:spacing w:before="40"/>
              <w:rPr>
                <w:sz w:val="20"/>
                <w:szCs w:val="20"/>
              </w:rPr>
            </w:pPr>
            <w:r>
              <w:rPr>
                <w:sz w:val="20"/>
                <w:szCs w:val="20"/>
              </w:rPr>
              <w:t xml:space="preserve">Комиссия уплачивается в порядке, предусмотренном договором.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5"/>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35"/>
              <w:jc w:val="both"/>
              <w:spacing w:before="40"/>
              <w:rPr>
                <w:bCs/>
                <w:sz w:val="20"/>
                <w:szCs w:val="20"/>
              </w:rPr>
            </w:pPr>
            <w:r>
              <w:rPr>
                <w:bCs/>
                <w:sz w:val="20"/>
                <w:szCs w:val="20"/>
              </w:rPr>
              <w:t xml:space="preserve">- по договору об открытии кредитной линии</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35"/>
              <w:jc w:val="center"/>
              <w:spacing w:before="40"/>
              <w:rPr>
                <w:bCs/>
                <w:sz w:val="20"/>
                <w:szCs w:val="20"/>
              </w:rPr>
            </w:pPr>
            <w:r>
              <w:rPr>
                <w:sz w:val="20"/>
                <w:szCs w:val="20"/>
              </w:rPr>
              <w:t xml:space="preserve">По договоренности сторон</w:t>
            </w:r>
            <w:r>
              <w:rPr>
                <w:bCs/>
                <w:sz w:val="20"/>
                <w:szCs w:val="20"/>
              </w:rPr>
            </w:r>
            <w:r>
              <w:rPr>
                <w:bCs/>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13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5"/>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35"/>
              <w:jc w:val="both"/>
              <w:spacing w:before="40"/>
              <w:rPr>
                <w:bCs/>
                <w:sz w:val="20"/>
                <w:szCs w:val="20"/>
                <w:lang w:val="en-US"/>
              </w:rPr>
            </w:pPr>
            <w:r>
              <w:rPr>
                <w:bCs/>
                <w:sz w:val="20"/>
                <w:szCs w:val="20"/>
              </w:rPr>
              <w:t xml:space="preserve">- в форме «овердрафт» </w:t>
            </w:r>
            <w:r>
              <w:rPr>
                <w:bCs/>
                <w:sz w:val="20"/>
                <w:szCs w:val="20"/>
                <w:lang w:val="en-US"/>
              </w:rPr>
            </w:r>
            <w:r>
              <w:rPr>
                <w:bCs/>
                <w:sz w:val="20"/>
                <w:szCs w:val="20"/>
                <w:lang w:val="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35"/>
              <w:jc w:val="center"/>
              <w:spacing w:before="40"/>
              <w:rPr>
                <w:bCs/>
                <w:sz w:val="20"/>
                <w:szCs w:val="20"/>
              </w:rPr>
            </w:pPr>
            <w:r>
              <w:rPr>
                <w:sz w:val="20"/>
                <w:szCs w:val="20"/>
              </w:rPr>
              <w:t xml:space="preserve">По договоренности сторон</w:t>
            </w:r>
            <w:r>
              <w:rPr>
                <w:bCs/>
                <w:sz w:val="20"/>
                <w:szCs w:val="20"/>
              </w:rPr>
            </w:r>
            <w:r>
              <w:rPr>
                <w:bCs/>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13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5"/>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35"/>
              <w:jc w:val="both"/>
              <w:spacing w:before="40"/>
              <w:rPr>
                <w:bCs/>
                <w:sz w:val="20"/>
                <w:szCs w:val="20"/>
              </w:rPr>
            </w:pPr>
            <w:r>
              <w:rPr>
                <w:bCs/>
                <w:sz w:val="20"/>
                <w:szCs w:val="20"/>
              </w:rPr>
              <w:t xml:space="preserve">- при кредитовании в рамках Порядка кредитования клиентов микробизнеса по кредитному продукту «Бизнес-карта с лимитом кредитования» в </w:t>
              <w:br w:type="textWrapping" w:clear="all"/>
              <w:t xml:space="preserve">АО «Россельхозбанк» № 738-П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35"/>
              <w:jc w:val="center"/>
              <w:spacing w:before="40"/>
              <w:rPr>
                <w:sz w:val="20"/>
                <w:szCs w:val="20"/>
              </w:rPr>
            </w:pPr>
            <w:r>
              <w:rPr>
                <w:sz w:val="20"/>
                <w:szCs w:val="20"/>
              </w:rPr>
              <w:t xml:space="preserve">Не взимается</w:t>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13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5"/>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35"/>
              <w:jc w:val="both"/>
              <w:spacing w:before="40"/>
              <w:rPr>
                <w:bCs/>
                <w:sz w:val="20"/>
                <w:szCs w:val="20"/>
              </w:rPr>
            </w:pPr>
            <w:r>
              <w:rPr>
                <w:bCs/>
                <w:sz w:val="20"/>
                <w:szCs w:val="20"/>
              </w:rPr>
              <w:t xml:space="preserve">- с использованием связанного финансирования</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35"/>
              <w:jc w:val="center"/>
              <w:spacing w:before="40"/>
              <w:rPr>
                <w:bCs/>
                <w:sz w:val="20"/>
                <w:szCs w:val="20"/>
              </w:rPr>
            </w:pPr>
            <w:r>
              <w:rPr>
                <w:sz w:val="20"/>
                <w:szCs w:val="20"/>
              </w:rPr>
              <w:t xml:space="preserve">Не взимается</w:t>
            </w:r>
            <w:r>
              <w:rPr>
                <w:bCs/>
                <w:sz w:val="20"/>
                <w:szCs w:val="20"/>
              </w:rPr>
            </w:r>
            <w:r>
              <w:rPr>
                <w:bCs/>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13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5"/>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35"/>
              <w:jc w:val="both"/>
              <w:spacing w:before="40"/>
              <w:rPr>
                <w:bCs/>
                <w:sz w:val="20"/>
                <w:szCs w:val="20"/>
              </w:rPr>
            </w:pPr>
            <w:r>
              <w:rPr>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35"/>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13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5"/>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35"/>
              <w:jc w:val="both"/>
              <w:spacing w:before="40"/>
              <w:tabs>
                <w:tab w:val="left" w:pos="0" w:leader="none"/>
              </w:tabs>
              <w:rPr>
                <w:bCs/>
                <w:sz w:val="20"/>
                <w:szCs w:val="20"/>
              </w:rPr>
            </w:pPr>
            <w:r>
              <w:rPr>
                <w:bCs/>
                <w:sz w:val="20"/>
                <w:szCs w:val="20"/>
              </w:rPr>
              <w:t xml:space="preserve">- при кредитовании в рамках</w:t>
            </w:r>
            <w:r>
              <w:rPr>
                <w:sz w:val="20"/>
                <w:szCs w:val="20"/>
              </w:rPr>
              <w:t xml:space="preserve"> </w:t>
            </w:r>
            <w:r>
              <w:rPr>
                <w:bCs/>
                <w:sz w:val="20"/>
                <w:szCs w:val="20"/>
              </w:rPr>
              <w:t xml:space="preserve">Положения о предоставлении 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w:t>
              <w:br w:type="textWrapping" w:clear="all"/>
              <w:t xml:space="preserve">№ 598-П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35"/>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13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5"/>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35"/>
              <w:jc w:val="both"/>
              <w:spacing w:before="40"/>
              <w:tabs>
                <w:tab w:val="left" w:pos="0" w:leader="none"/>
              </w:tabs>
              <w:rPr>
                <w:bCs/>
                <w:sz w:val="20"/>
                <w:szCs w:val="20"/>
              </w:rPr>
            </w:pPr>
            <w:r>
              <w:rPr>
                <w:bCs/>
                <w:sz w:val="20"/>
                <w:szCs w:val="20"/>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35"/>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13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937"/>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5"/>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35"/>
              <w:jc w:val="both"/>
              <w:spacing w:before="40"/>
              <w:tabs>
                <w:tab w:val="left" w:pos="0" w:leader="none"/>
              </w:tabs>
              <w:rPr>
                <w:bCs/>
                <w:sz w:val="20"/>
                <w:szCs w:val="20"/>
              </w:rPr>
            </w:pPr>
            <w:r>
              <w:rPr>
                <w:bCs/>
                <w:sz w:val="20"/>
                <w:szCs w:val="20"/>
              </w:rPr>
              <w:t xml:space="preserve">- при кредитовании по договору об открытии кредитной линии,  заключенному в рамках льготных программ в соответствии с Перечнем 2 раздела 12 «Кредитные операции» настоящих Тарифов</w:t>
            </w:r>
            <w:r>
              <w:rPr>
                <w:rStyle w:val="1180"/>
                <w:bCs/>
                <w:sz w:val="20"/>
                <w:szCs w:val="20"/>
              </w:rPr>
              <w:footnoteReference w:id="3"/>
            </w:r>
            <w:r>
              <w:rPr>
                <w:bCs/>
                <w:sz w:val="20"/>
                <w:szCs w:val="20"/>
              </w:rPr>
            </w:r>
            <w:r>
              <w:rPr>
                <w:bCs/>
                <w:sz w:val="20"/>
                <w:szCs w:val="20"/>
              </w:rPr>
            </w:r>
          </w:p>
          <w:p>
            <w:pPr>
              <w:ind w:left="0" w:firstLine="0"/>
              <w:jc w:val="both"/>
              <w:rPr>
                <w:sz w:val="20"/>
                <w:szCs w:val="20"/>
              </w:rPr>
            </w:pPr>
            <w:r>
              <w:rPr>
                <w:rFonts w:ascii="Times New Roman" w:hAnsi="Times New Roman"/>
                <w:bCs/>
                <w:sz w:val="20"/>
                <w:szCs w:val="20"/>
              </w:rPr>
              <w:t xml:space="preserve">- </w:t>
            </w:r>
            <w:r>
              <w:rPr>
                <w:rFonts w:ascii="Times New Roman" w:hAnsi="Times New Roman"/>
                <w:bCs/>
                <w:sz w:val="20"/>
                <w:szCs w:val="20"/>
              </w:rPr>
              <w:t xml:space="preserve">при кредитовании по </w:t>
            </w:r>
            <w:r>
              <w:rPr>
                <w:rFonts w:ascii="Times New Roman" w:hAnsi="Times New Roman" w:eastAsia="Times New Roman"/>
                <w:bCs/>
                <w:sz w:val="20"/>
                <w:szCs w:val="20"/>
                <w:lang w:eastAsia="ru-RU"/>
              </w:rPr>
              <w:t xml:space="preserve">договору об </w:t>
            </w:r>
            <w:r>
              <w:rPr>
                <w:rFonts w:ascii="Times New Roman" w:hAnsi="Times New Roman"/>
                <w:bCs/>
                <w:sz w:val="20"/>
                <w:szCs w:val="20"/>
              </w:rPr>
              <w:t xml:space="preserve">открытии кредитной линии,  заключенному </w:t>
            </w:r>
            <w:r>
              <w:rPr>
                <w:rFonts w:ascii="Times New Roman" w:hAnsi="Times New Roman"/>
                <w:sz w:val="20"/>
                <w:szCs w:val="20"/>
              </w:rPr>
              <w:t xml:space="preserve">в рамках решения Министерства промышленности и торговли Российской Федерации о порядке предоставления субсидии № 23-60109-00982-Р</w:t>
            </w:r>
            <w:r>
              <w:rPr>
                <w:rFonts w:ascii="Times New Roman" w:hAnsi="Times New Roman"/>
                <w:bCs/>
                <w:sz w:val="20"/>
                <w:szCs w:val="20"/>
              </w:rPr>
              <w:t xml:space="preserve"> (принятому в соответствии с постановлением Правительства Российской Федерации от 25.10.2023 № 1780) в течение периода льготного кредитования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35"/>
              <w:ind w:left="72"/>
              <w:jc w:val="center"/>
              <w:spacing w:before="40"/>
              <w:rPr>
                <w:sz w:val="20"/>
                <w:szCs w:val="20"/>
              </w:rPr>
            </w:pPr>
            <w:r>
              <w:rPr>
                <w:sz w:val="20"/>
                <w:szCs w:val="20"/>
              </w:rPr>
              <w:t xml:space="preserve">Не взимается</w:t>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t xml:space="preserve">Не более 1% годовых</w:t>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13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35"/>
              <w:jc w:val="center"/>
              <w:spacing w:before="120" w:after="40"/>
              <w:rPr>
                <w:bCs/>
                <w:sz w:val="20"/>
                <w:szCs w:val="20"/>
              </w:rPr>
            </w:pPr>
            <w:r>
              <w:rPr>
                <w:sz w:val="20"/>
                <w:szCs w:val="20"/>
              </w:rPr>
              <w:t xml:space="preserve">12.4.</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135"/>
              <w:jc w:val="both"/>
              <w:spacing w:before="120" w:after="40"/>
              <w:rPr>
                <w:bCs/>
                <w:sz w:val="20"/>
                <w:szCs w:val="20"/>
              </w:rPr>
            </w:pPr>
            <w:r>
              <w:rPr>
                <w:sz w:val="20"/>
                <w:szCs w:val="20"/>
              </w:rPr>
              <w:t xml:space="preserve">Изменение срока(ов) возврата кредита (основного долга) по инициативе заемщика </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135"/>
              <w:jc w:val="center"/>
              <w:rPr>
                <w:sz w:val="20"/>
                <w:szCs w:val="20"/>
              </w:rPr>
            </w:pPr>
            <w:r>
              <w:rPr>
                <w:sz w:val="20"/>
                <w:szCs w:val="20"/>
              </w:rPr>
              <w:t xml:space="preserve">При изменении:</w:t>
            </w:r>
            <w:r>
              <w:rPr>
                <w:sz w:val="20"/>
                <w:szCs w:val="20"/>
              </w:rPr>
            </w:r>
            <w:r>
              <w:rPr>
                <w:sz w:val="20"/>
                <w:szCs w:val="20"/>
              </w:rPr>
            </w:r>
          </w:p>
          <w:p>
            <w:pPr>
              <w:pStyle w:val="1135"/>
              <w:jc w:val="center"/>
              <w:rPr>
                <w:sz w:val="20"/>
                <w:szCs w:val="20"/>
              </w:rPr>
            </w:pPr>
            <w:r>
              <w:rPr>
                <w:sz w:val="20"/>
                <w:szCs w:val="20"/>
              </w:rPr>
              <w:t xml:space="preserve">1) окончательного срока возврата кредита (основного долга) – не менее</w:t>
            </w:r>
            <w:r>
              <w:rPr>
                <w:i/>
                <w:sz w:val="20"/>
                <w:szCs w:val="20"/>
              </w:rPr>
              <w:t xml:space="preserve"> </w:t>
            </w:r>
            <w:r>
              <w:rPr>
                <w:sz w:val="20"/>
                <w:szCs w:val="20"/>
              </w:rPr>
              <w:t xml:space="preserve">1%;</w:t>
            </w:r>
            <w:r>
              <w:rPr>
                <w:sz w:val="20"/>
                <w:szCs w:val="20"/>
              </w:rPr>
            </w:r>
            <w:r>
              <w:rPr>
                <w:sz w:val="20"/>
                <w:szCs w:val="20"/>
              </w:rPr>
            </w:r>
          </w:p>
          <w:p>
            <w:pPr>
              <w:pStyle w:val="1135"/>
              <w:jc w:val="center"/>
              <w:rPr>
                <w:sz w:val="20"/>
                <w:szCs w:val="20"/>
              </w:rPr>
            </w:pPr>
            <w:r>
              <w:rPr>
                <w:sz w:val="20"/>
                <w:szCs w:val="20"/>
              </w:rPr>
              <w:t xml:space="preserve">2) промежуточного (ых) срока(ов) возврата кредита:</w:t>
            </w:r>
            <w:r>
              <w:rPr>
                <w:sz w:val="20"/>
                <w:szCs w:val="20"/>
              </w:rPr>
            </w:r>
            <w:r>
              <w:rPr>
                <w:sz w:val="20"/>
                <w:szCs w:val="20"/>
              </w:rPr>
            </w:r>
          </w:p>
          <w:p>
            <w:pPr>
              <w:pStyle w:val="1135"/>
              <w:jc w:val="center"/>
              <w:rPr>
                <w:sz w:val="20"/>
                <w:szCs w:val="20"/>
              </w:rPr>
            </w:pPr>
            <w:r>
              <w:rPr>
                <w:sz w:val="20"/>
                <w:szCs w:val="20"/>
              </w:rPr>
              <w:t xml:space="preserve">до 5 календарных дней (включительно) – не менее</w:t>
            </w:r>
            <w:r>
              <w:rPr>
                <w:i/>
                <w:sz w:val="20"/>
                <w:szCs w:val="20"/>
              </w:rPr>
              <w:t xml:space="preserve"> </w:t>
            </w:r>
            <w:r>
              <w:rPr>
                <w:sz w:val="20"/>
                <w:szCs w:val="20"/>
              </w:rPr>
              <w:t xml:space="preserve">0,15%;</w:t>
            </w:r>
            <w:r>
              <w:rPr>
                <w:sz w:val="20"/>
                <w:szCs w:val="20"/>
              </w:rPr>
            </w:r>
            <w:r>
              <w:rPr>
                <w:sz w:val="20"/>
                <w:szCs w:val="20"/>
              </w:rPr>
            </w:r>
          </w:p>
          <w:p>
            <w:pPr>
              <w:pStyle w:val="1135"/>
              <w:jc w:val="center"/>
              <w:rPr>
                <w:sz w:val="20"/>
                <w:szCs w:val="20"/>
              </w:rPr>
            </w:pPr>
            <w:r>
              <w:rPr>
                <w:sz w:val="20"/>
                <w:szCs w:val="20"/>
              </w:rPr>
              <w:t xml:space="preserve">от 6 до 30 календарных дней (включительно) – не менее</w:t>
            </w:r>
            <w:r>
              <w:rPr>
                <w:i/>
                <w:sz w:val="20"/>
                <w:szCs w:val="20"/>
              </w:rPr>
              <w:t xml:space="preserve"> </w:t>
            </w:r>
            <w:r>
              <w:rPr>
                <w:sz w:val="20"/>
                <w:szCs w:val="20"/>
              </w:rPr>
              <w:t xml:space="preserve">0,35%;</w:t>
            </w:r>
            <w:r>
              <w:rPr>
                <w:sz w:val="20"/>
                <w:szCs w:val="20"/>
              </w:rPr>
            </w:r>
            <w:r>
              <w:rPr>
                <w:sz w:val="20"/>
                <w:szCs w:val="20"/>
              </w:rPr>
            </w:r>
          </w:p>
          <w:p>
            <w:pPr>
              <w:pStyle w:val="1135"/>
              <w:jc w:val="center"/>
              <w:rPr>
                <w:sz w:val="20"/>
                <w:szCs w:val="20"/>
              </w:rPr>
            </w:pPr>
            <w:r>
              <w:rPr>
                <w:sz w:val="20"/>
                <w:szCs w:val="20"/>
              </w:rPr>
              <w:t xml:space="preserve">от 31 до 60 календарных дней (включительно) – не менее</w:t>
            </w:r>
            <w:r>
              <w:rPr>
                <w:i/>
                <w:sz w:val="20"/>
                <w:szCs w:val="20"/>
              </w:rPr>
              <w:t xml:space="preserve"> </w:t>
            </w:r>
            <w:r>
              <w:rPr>
                <w:sz w:val="20"/>
                <w:szCs w:val="20"/>
              </w:rPr>
              <w:t xml:space="preserve">0,7%;</w:t>
            </w:r>
            <w:r>
              <w:rPr>
                <w:sz w:val="20"/>
                <w:szCs w:val="20"/>
              </w:rPr>
            </w:r>
            <w:r>
              <w:rPr>
                <w:sz w:val="20"/>
                <w:szCs w:val="20"/>
              </w:rPr>
            </w:r>
          </w:p>
          <w:p>
            <w:pPr>
              <w:pStyle w:val="1135"/>
              <w:jc w:val="center"/>
              <w:rPr>
                <w:sz w:val="20"/>
                <w:szCs w:val="20"/>
              </w:rPr>
            </w:pPr>
            <w:r>
              <w:rPr>
                <w:sz w:val="20"/>
                <w:szCs w:val="20"/>
              </w:rPr>
              <w:t xml:space="preserve">свыше 60 календарных дней – не менее</w:t>
            </w:r>
            <w:r>
              <w:rPr>
                <w:i/>
                <w:sz w:val="20"/>
                <w:szCs w:val="20"/>
              </w:rPr>
              <w:t xml:space="preserve"> </w:t>
            </w:r>
            <w:r>
              <w:rPr>
                <w:sz w:val="20"/>
                <w:szCs w:val="20"/>
              </w:rPr>
              <w:t xml:space="preserve">1% </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977" w:type="dxa"/>
            <w:vAlign w:val="top"/>
            <w:textDirection w:val="lrTb"/>
            <w:noWrap w:val="false"/>
          </w:tcPr>
          <w:p>
            <w:pPr>
              <w:pStyle w:val="1135"/>
              <w:jc w:val="both"/>
              <w:spacing w:before="120"/>
              <w:rPr>
                <w:sz w:val="20"/>
                <w:szCs w:val="20"/>
              </w:rPr>
            </w:pPr>
            <w:r>
              <w:rPr>
                <w:sz w:val="20"/>
                <w:szCs w:val="20"/>
              </w:rPr>
              <w:t xml:space="preserve">Комиссия исчисляется от суммы пролонгируемой ссудной задолженности по кредиту и уплачивается единовременно в день заключения дополнительного соглашения о пролонгации к кредитному договору/договору об открытии кредитной линии.</w:t>
            </w:r>
            <w:r>
              <w:rPr>
                <w:sz w:val="20"/>
                <w:szCs w:val="20"/>
              </w:rPr>
            </w:r>
            <w:r>
              <w:rPr>
                <w:sz w:val="20"/>
                <w:szCs w:val="20"/>
              </w:rPr>
            </w:r>
          </w:p>
          <w:p>
            <w:pPr>
              <w:pStyle w:val="1135"/>
              <w:jc w:val="both"/>
              <w:spacing w:before="40" w:after="40"/>
              <w:rPr>
                <w:sz w:val="20"/>
                <w:szCs w:val="20"/>
              </w:rPr>
            </w:pPr>
            <w:r>
              <w:rPr>
                <w:sz w:val="20"/>
                <w:szCs w:val="20"/>
              </w:rPr>
              <w:t xml:space="preserve">Данная комиссия не применяется в отношении изменения срока возврата кредита при осуществлении досрочного возврата кредита по инициативе заемщика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5"/>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35"/>
              <w:jc w:val="both"/>
              <w:spacing w:before="40"/>
              <w:rPr>
                <w:bCs/>
                <w:sz w:val="20"/>
                <w:szCs w:val="20"/>
              </w:rPr>
            </w:pPr>
            <w:r>
              <w:rPr>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35"/>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35"/>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5"/>
              <w:jc w:val="center"/>
              <w:spacing w:before="120" w:after="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35"/>
              <w:ind w:left="74"/>
              <w:jc w:val="both"/>
              <w:spacing w:before="40"/>
              <w:tabs>
                <w:tab w:val="left" w:pos="0" w:leader="none"/>
              </w:tabs>
              <w:rPr>
                <w:bCs/>
                <w:sz w:val="20"/>
                <w:szCs w:val="20"/>
              </w:rPr>
            </w:pPr>
            <w:r>
              <w:rPr>
                <w:bCs/>
                <w:sz w:val="20"/>
                <w:szCs w:val="20"/>
              </w:rPr>
              <w:t xml:space="preserve">- при кредитовании в рамках</w:t>
            </w:r>
            <w:r>
              <w:rPr>
                <w:sz w:val="20"/>
                <w:szCs w:val="20"/>
              </w:rPr>
              <w:t xml:space="preserve"> </w:t>
            </w:r>
            <w:r>
              <w:rPr>
                <w:bCs/>
                <w:sz w:val="20"/>
                <w:szCs w:val="20"/>
              </w:rPr>
              <w:t xml:space="preserve">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35"/>
              <w:ind w:left="74"/>
              <w:jc w:val="center"/>
              <w:spacing w:before="40"/>
              <w:tabs>
                <w:tab w:val="left" w:pos="0" w:leader="none"/>
              </w:tabs>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3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5"/>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35"/>
              <w:jc w:val="both"/>
              <w:spacing w:before="40"/>
              <w:rPr>
                <w:bCs/>
                <w:sz w:val="20"/>
                <w:szCs w:val="20"/>
              </w:rPr>
            </w:pPr>
            <w:r>
              <w:rPr>
                <w:bCs/>
                <w:sz w:val="20"/>
                <w:szCs w:val="20"/>
              </w:rPr>
              <w:t xml:space="preserve">- при кредитовании в </w:t>
            </w:r>
            <w:r>
              <w:rPr>
                <w:sz w:val="20"/>
                <w:szCs w:val="20"/>
              </w:rPr>
              <w:t xml:space="preserve">соответствии с Положением о предоставлении кредитов в </w:t>
            </w:r>
            <w:r>
              <w:rPr>
                <w:bCs/>
                <w:sz w:val="20"/>
                <w:szCs w:val="20"/>
              </w:rPr>
              <w:t xml:space="preserve">рамках реализации Программы стимулирования кредитования субъектов малого и среднего предпринимательства </w:t>
            </w:r>
            <w:r>
              <w:rPr>
                <w:sz w:val="20"/>
                <w:szCs w:val="20"/>
              </w:rPr>
              <w:br w:type="textWrapping" w:clear="all"/>
              <w:t xml:space="preserve">№ 540-П </w:t>
            </w:r>
            <w:r>
              <w:rPr>
                <w:bCs/>
                <w:sz w:val="20"/>
                <w:szCs w:val="20"/>
              </w:rPr>
              <w:t xml:space="preserve">на период действия льготных условий</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35"/>
              <w:ind w:left="74"/>
              <w:jc w:val="center"/>
              <w:spacing w:before="40"/>
              <w:tabs>
                <w:tab w:val="left" w:pos="0" w:leader="none"/>
              </w:tabs>
              <w:rPr>
                <w:sz w:val="20"/>
                <w:szCs w:val="20"/>
              </w:rPr>
            </w:pPr>
            <w:r>
              <w:rPr>
                <w:bCs/>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35"/>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5"/>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35"/>
              <w:jc w:val="both"/>
              <w:spacing w:before="40"/>
              <w:rPr>
                <w:bCs/>
                <w:sz w:val="20"/>
                <w:szCs w:val="20"/>
              </w:rPr>
            </w:pPr>
            <w:r>
              <w:rPr>
                <w:bCs/>
                <w:sz w:val="20"/>
                <w:szCs w:val="20"/>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35"/>
              <w:ind w:left="74"/>
              <w:jc w:val="center"/>
              <w:spacing w:before="40"/>
              <w:tabs>
                <w:tab w:val="left" w:pos="0" w:leader="none"/>
              </w:tabs>
              <w:rPr>
                <w:bCs/>
                <w:sz w:val="20"/>
                <w:szCs w:val="20"/>
              </w:rPr>
            </w:pPr>
            <w:r>
              <w:rPr>
                <w:bCs/>
                <w:sz w:val="20"/>
                <w:szCs w:val="20"/>
              </w:rPr>
              <w:t xml:space="preserve">Не взимается</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35"/>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5"/>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35"/>
              <w:jc w:val="both"/>
              <w:spacing w:before="40"/>
              <w:rPr>
                <w:bCs/>
                <w:sz w:val="20"/>
                <w:szCs w:val="20"/>
              </w:rPr>
            </w:pPr>
            <w:r>
              <w:rPr>
                <w:bCs/>
                <w:sz w:val="20"/>
                <w:szCs w:val="20"/>
              </w:rPr>
              <w:t xml:space="preserve">- при кредитовании в рамках льготных программ в соответствии с Перечнем 1 раздела 12 «Кредитные операции» настоящих Тарифов на период действия льготной/увеличенной льготной ставки</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35"/>
              <w:ind w:left="74"/>
              <w:jc w:val="center"/>
              <w:spacing w:before="40"/>
              <w:tabs>
                <w:tab w:val="left" w:pos="0" w:leader="none"/>
              </w:tabs>
              <w:rPr>
                <w:bCs/>
                <w:sz w:val="20"/>
                <w:szCs w:val="20"/>
              </w:rPr>
            </w:pPr>
            <w:r>
              <w:rPr>
                <w:bCs/>
                <w:sz w:val="20"/>
                <w:szCs w:val="20"/>
              </w:rPr>
              <w:t xml:space="preserve">Не взимается</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35"/>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35"/>
              <w:jc w:val="center"/>
              <w:spacing w:before="120" w:after="40"/>
              <w:rPr>
                <w:sz w:val="20"/>
                <w:szCs w:val="20"/>
              </w:rPr>
            </w:pPr>
            <w:r>
              <w:rPr>
                <w:bCs/>
                <w:sz w:val="20"/>
                <w:szCs w:val="20"/>
              </w:rPr>
              <w:t xml:space="preserve">12.</w:t>
            </w:r>
            <w:r>
              <w:rPr>
                <w:bCs/>
                <w:sz w:val="20"/>
                <w:szCs w:val="20"/>
                <w:lang w:val="en-US"/>
              </w:rPr>
              <w:t xml:space="preserve">5</w:t>
            </w:r>
            <w:r>
              <w:rPr>
                <w:bCs/>
                <w:sz w:val="20"/>
                <w:szCs w:val="20"/>
              </w:rPr>
              <w:t xml:space="preserve">.</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135"/>
              <w:jc w:val="both"/>
              <w:spacing w:before="120" w:after="40"/>
              <w:rPr>
                <w:bCs/>
                <w:sz w:val="20"/>
                <w:szCs w:val="20"/>
              </w:rPr>
            </w:pPr>
            <w:r>
              <w:rPr>
                <w:bCs/>
                <w:sz w:val="20"/>
                <w:szCs w:val="20"/>
              </w:rPr>
              <w:t xml:space="preserve">Изменение условий кредитной сделки по инициативе заемщика при изменении процентной ставки по кредиту</w:t>
            </w:r>
            <w:r>
              <w:rPr>
                <w:bCs/>
                <w:sz w:val="20"/>
                <w:szCs w:val="20"/>
              </w:rPr>
            </w:r>
            <w:r>
              <w:rPr>
                <w:bCs/>
                <w:sz w:val="20"/>
                <w:szCs w:val="20"/>
              </w:rPr>
            </w:r>
          </w:p>
          <w:p>
            <w:pPr>
              <w:pStyle w:val="1135"/>
              <w:spacing w:before="120" w:after="40"/>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135"/>
              <w:jc w:val="center"/>
              <w:spacing w:before="40"/>
              <w:rPr>
                <w:sz w:val="20"/>
                <w:szCs w:val="20"/>
              </w:rPr>
            </w:pPr>
            <w:r>
              <w:rPr>
                <w:sz w:val="20"/>
                <w:szCs w:val="20"/>
              </w:rPr>
              <w:t xml:space="preserve">При сумме, на которую начисляется комиссия:</w:t>
            </w:r>
            <w:r>
              <w:rPr>
                <w:sz w:val="20"/>
                <w:szCs w:val="20"/>
              </w:rPr>
            </w:r>
            <w:r>
              <w:rPr>
                <w:sz w:val="20"/>
                <w:szCs w:val="20"/>
              </w:rPr>
            </w:r>
          </w:p>
          <w:p>
            <w:pPr>
              <w:pStyle w:val="1135"/>
              <w:jc w:val="center"/>
              <w:rPr>
                <w:sz w:val="20"/>
                <w:szCs w:val="20"/>
              </w:rPr>
            </w:pPr>
            <w:r>
              <w:rPr>
                <w:sz w:val="20"/>
                <w:szCs w:val="20"/>
              </w:rPr>
              <w:t xml:space="preserve">до 1 000 000,00 руб. (включительно) </w:t>
            </w:r>
            <w:r>
              <w:rPr>
                <w:bCs/>
                <w:sz w:val="20"/>
                <w:szCs w:val="20"/>
              </w:rPr>
              <w:t xml:space="preserve">– </w:t>
              <w:br w:type="textWrapping" w:clear="all"/>
              <w:t xml:space="preserve">не менее</w:t>
            </w:r>
            <w:r>
              <w:rPr>
                <w:bCs/>
                <w:i/>
                <w:sz w:val="20"/>
                <w:szCs w:val="20"/>
              </w:rPr>
              <w:t xml:space="preserve"> </w:t>
            </w:r>
            <w:r>
              <w:rPr>
                <w:bCs/>
                <w:sz w:val="20"/>
                <w:szCs w:val="20"/>
              </w:rPr>
              <w:t xml:space="preserve">1%</w:t>
            </w:r>
            <w:r>
              <w:rPr>
                <w:sz w:val="20"/>
                <w:szCs w:val="20"/>
              </w:rPr>
              <w:t xml:space="preserve">;</w:t>
            </w:r>
            <w:r>
              <w:rPr>
                <w:sz w:val="20"/>
                <w:szCs w:val="20"/>
              </w:rPr>
            </w:r>
            <w:r>
              <w:rPr>
                <w:sz w:val="20"/>
                <w:szCs w:val="20"/>
              </w:rPr>
            </w:r>
          </w:p>
          <w:p>
            <w:pPr>
              <w:pStyle w:val="1135"/>
              <w:jc w:val="center"/>
              <w:rPr>
                <w:sz w:val="20"/>
                <w:szCs w:val="20"/>
              </w:rPr>
            </w:pPr>
            <w:r>
              <w:rPr>
                <w:sz w:val="20"/>
                <w:szCs w:val="20"/>
              </w:rPr>
              <w:t xml:space="preserve">от 1 000 000,01 до 50 000 000,00 руб. (включительно) </w:t>
            </w:r>
            <w:r>
              <w:rPr>
                <w:bCs/>
                <w:sz w:val="20"/>
                <w:szCs w:val="20"/>
              </w:rPr>
              <w:t xml:space="preserve">– </w:t>
              <w:br w:type="textWrapping" w:clear="all"/>
              <w:t xml:space="preserve">не менее</w:t>
            </w:r>
            <w:r>
              <w:rPr>
                <w:bCs/>
                <w:i/>
                <w:sz w:val="20"/>
                <w:szCs w:val="20"/>
              </w:rPr>
              <w:t xml:space="preserve"> </w:t>
            </w:r>
            <w:r>
              <w:rPr>
                <w:sz w:val="20"/>
                <w:szCs w:val="20"/>
              </w:rPr>
              <w:t xml:space="preserve">0,8%;</w:t>
            </w:r>
            <w:r>
              <w:rPr>
                <w:sz w:val="20"/>
                <w:szCs w:val="20"/>
              </w:rPr>
            </w:r>
            <w:r>
              <w:rPr>
                <w:sz w:val="20"/>
                <w:szCs w:val="20"/>
              </w:rPr>
            </w:r>
          </w:p>
          <w:p>
            <w:pPr>
              <w:pStyle w:val="1135"/>
              <w:jc w:val="center"/>
              <w:rPr>
                <w:sz w:val="20"/>
                <w:szCs w:val="20"/>
              </w:rPr>
            </w:pPr>
            <w:r>
              <w:rPr>
                <w:sz w:val="20"/>
                <w:szCs w:val="20"/>
              </w:rPr>
              <w:t xml:space="preserve">от 50 000 000,01 до 100 000 000,00 руб. (включительно) </w:t>
            </w:r>
            <w:r>
              <w:rPr>
                <w:bCs/>
                <w:sz w:val="20"/>
                <w:szCs w:val="20"/>
              </w:rPr>
              <w:t xml:space="preserve">– </w:t>
              <w:br w:type="textWrapping" w:clear="all"/>
              <w:t xml:space="preserve">не менее</w:t>
            </w:r>
            <w:r>
              <w:rPr>
                <w:bCs/>
                <w:i/>
                <w:sz w:val="20"/>
                <w:szCs w:val="20"/>
              </w:rPr>
              <w:t xml:space="preserve"> </w:t>
            </w:r>
            <w:r>
              <w:rPr>
                <w:sz w:val="20"/>
                <w:szCs w:val="20"/>
              </w:rPr>
              <w:t xml:space="preserve">0,5%;</w:t>
            </w:r>
            <w:r>
              <w:rPr>
                <w:sz w:val="20"/>
                <w:szCs w:val="20"/>
              </w:rPr>
            </w:r>
            <w:r>
              <w:rPr>
                <w:sz w:val="20"/>
                <w:szCs w:val="20"/>
              </w:rPr>
            </w:r>
          </w:p>
          <w:p>
            <w:pPr>
              <w:pStyle w:val="1135"/>
              <w:jc w:val="center"/>
              <w:spacing w:after="40"/>
              <w:rPr>
                <w:bCs/>
                <w:sz w:val="20"/>
                <w:szCs w:val="20"/>
              </w:rPr>
            </w:pPr>
            <w:r>
              <w:rPr>
                <w:sz w:val="20"/>
                <w:szCs w:val="20"/>
              </w:rPr>
              <w:t xml:space="preserve">свыше 100 000 000,01 руб. </w:t>
            </w:r>
            <w:r>
              <w:rPr>
                <w:bCs/>
                <w:sz w:val="20"/>
                <w:szCs w:val="20"/>
              </w:rPr>
              <w:t xml:space="preserve">– не менее</w:t>
            </w:r>
            <w:r>
              <w:rPr>
                <w:bCs/>
                <w:i/>
                <w:sz w:val="20"/>
                <w:szCs w:val="20"/>
              </w:rPr>
              <w:t xml:space="preserve"> </w:t>
            </w:r>
            <w:r>
              <w:rPr>
                <w:sz w:val="20"/>
                <w:szCs w:val="20"/>
              </w:rPr>
              <w:t xml:space="preserve">0,15%</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2977" w:type="dxa"/>
            <w:vAlign w:val="top"/>
            <w:textDirection w:val="lrTb"/>
            <w:noWrap w:val="false"/>
          </w:tcPr>
          <w:p>
            <w:pPr>
              <w:pStyle w:val="1135"/>
              <w:jc w:val="both"/>
              <w:spacing w:before="120" w:after="40"/>
              <w:rPr>
                <w:bCs/>
                <w:sz w:val="20"/>
                <w:szCs w:val="20"/>
              </w:rPr>
            </w:pPr>
            <w:r>
              <w:rPr>
                <w:bCs/>
                <w:sz w:val="20"/>
                <w:szCs w:val="20"/>
              </w:rPr>
              <w:t xml:space="preserve">Комиссия начисляется на сумму кредита (лимита кредитования), по которому уменьшается размер процентной ставки;</w:t>
            </w:r>
            <w:r>
              <w:rPr>
                <w:bCs/>
                <w:sz w:val="20"/>
                <w:szCs w:val="20"/>
              </w:rPr>
            </w:r>
            <w:r>
              <w:rPr>
                <w:bCs/>
                <w:sz w:val="20"/>
                <w:szCs w:val="20"/>
              </w:rPr>
            </w:r>
          </w:p>
          <w:p>
            <w:pPr>
              <w:pStyle w:val="1135"/>
              <w:jc w:val="both"/>
              <w:spacing w:before="40" w:after="40"/>
              <w:rPr>
                <w:bCs/>
                <w:sz w:val="20"/>
                <w:szCs w:val="20"/>
              </w:rPr>
            </w:pPr>
            <w:r>
              <w:rPr>
                <w:bCs/>
                <w:sz w:val="20"/>
                <w:szCs w:val="20"/>
              </w:rPr>
              <w:t xml:space="preserve">Комиссия уплачивается единовременно в день заключения дополнительного(ых) соглашения(ий) об изменении условий действующего кредитного договора (договора об открытии кредитной линии)</w:t>
            </w:r>
            <w:r>
              <w:rPr>
                <w:bCs/>
                <w:sz w:val="20"/>
                <w:szCs w:val="20"/>
              </w:rPr>
            </w:r>
            <w:r>
              <w:rPr>
                <w:bCs/>
                <w:sz w:val="20"/>
                <w:szCs w:val="20"/>
              </w:rPr>
            </w:r>
          </w:p>
          <w:p>
            <w:pPr>
              <w:pStyle w:val="1135"/>
              <w:spacing w:before="40" w:after="40"/>
              <w:rPr>
                <w:sz w:val="20"/>
                <w:szCs w:val="20"/>
              </w:rPr>
            </w:pPr>
            <w:r>
              <w:rPr>
                <w:bCs/>
                <w:sz w:val="20"/>
                <w:szCs w:val="20"/>
              </w:rPr>
              <w:t xml:space="preserve"> </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5"/>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35"/>
              <w:jc w:val="both"/>
              <w:spacing w:before="40"/>
              <w:rPr>
                <w:bCs/>
                <w:sz w:val="20"/>
                <w:szCs w:val="20"/>
              </w:rPr>
            </w:pPr>
            <w:r>
              <w:rPr>
                <w:bCs/>
                <w:sz w:val="20"/>
                <w:szCs w:val="20"/>
              </w:rPr>
              <w:t xml:space="preserve">- при уменьшении процентной ставки по кредиту при проведении реструктуризации инвестиционных кредитов сроком до 3-х лет</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35"/>
              <w:jc w:val="center"/>
              <w:spacing w:before="40"/>
              <w:rPr>
                <w:bCs/>
                <w:sz w:val="20"/>
                <w:szCs w:val="20"/>
              </w:rPr>
            </w:pPr>
            <w:r>
              <w:rPr>
                <w:bCs/>
                <w:sz w:val="20"/>
                <w:szCs w:val="20"/>
              </w:rPr>
              <w:t xml:space="preserve">Не взимается</w:t>
            </w:r>
            <w:r>
              <w:rPr>
                <w:bCs/>
                <w:sz w:val="20"/>
                <w:szCs w:val="20"/>
              </w:rPr>
            </w:r>
            <w:r>
              <w:rPr>
                <w:bCs/>
                <w:sz w:val="20"/>
                <w:szCs w:val="20"/>
              </w:rPr>
            </w:r>
          </w:p>
          <w:p>
            <w:pPr>
              <w:pStyle w:val="1135"/>
              <w:ind w:left="72"/>
              <w:jc w:val="center"/>
              <w:spacing w:before="40"/>
              <w:rPr>
                <w:b/>
                <w:sz w:val="20"/>
                <w:szCs w:val="20"/>
              </w:rPr>
            </w:pPr>
            <w:r>
              <w:rPr>
                <w:b/>
                <w:sz w:val="20"/>
                <w:szCs w:val="20"/>
              </w:rPr>
            </w:r>
            <w:r>
              <w:rPr>
                <w:b/>
                <w:sz w:val="20"/>
                <w:szCs w:val="20"/>
              </w:rPr>
            </w:r>
            <w:r>
              <w:rPr>
                <w:b/>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35"/>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5"/>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35"/>
              <w:jc w:val="both"/>
              <w:spacing w:before="40"/>
              <w:rPr>
                <w:bCs/>
                <w:sz w:val="20"/>
                <w:szCs w:val="20"/>
              </w:rPr>
            </w:pPr>
            <w:r>
              <w:rPr>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35"/>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35"/>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5"/>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35"/>
              <w:ind w:left="74"/>
              <w:jc w:val="both"/>
              <w:spacing w:before="40"/>
              <w:tabs>
                <w:tab w:val="left" w:pos="0" w:leader="none"/>
              </w:tabs>
              <w:rPr>
                <w:bCs/>
                <w:sz w:val="20"/>
                <w:szCs w:val="20"/>
              </w:rPr>
            </w:pPr>
            <w:r>
              <w:rPr>
                <w:bCs/>
                <w:sz w:val="20"/>
                <w:szCs w:val="20"/>
              </w:rPr>
              <w:t xml:space="preserve">- при кредитовании в рамках</w:t>
            </w:r>
            <w:r>
              <w:rPr>
                <w:sz w:val="20"/>
                <w:szCs w:val="20"/>
              </w:rPr>
              <w:t xml:space="preserve"> </w:t>
            </w:r>
            <w:r>
              <w:rPr>
                <w:bCs/>
                <w:sz w:val="20"/>
                <w:szCs w:val="20"/>
              </w:rPr>
              <w:t xml:space="preserve">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35"/>
              <w:ind w:left="74"/>
              <w:jc w:val="center"/>
              <w:spacing w:before="40"/>
              <w:tabs>
                <w:tab w:val="left" w:pos="0" w:leader="none"/>
              </w:tabs>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35"/>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5"/>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35"/>
              <w:jc w:val="both"/>
              <w:spacing w:before="40" w:after="40"/>
              <w:rPr>
                <w:bCs/>
                <w:sz w:val="20"/>
                <w:szCs w:val="20"/>
              </w:rPr>
            </w:pPr>
            <w:r>
              <w:rPr>
                <w:bCs/>
                <w:sz w:val="20"/>
                <w:szCs w:val="20"/>
              </w:rPr>
              <w:t xml:space="preserve">- при кредитовании в </w:t>
            </w:r>
            <w:r>
              <w:rPr>
                <w:sz w:val="20"/>
                <w:szCs w:val="20"/>
              </w:rPr>
              <w:t xml:space="preserve">соответствии с Положением о предоставлении кредитов в </w:t>
            </w:r>
            <w:r>
              <w:rPr>
                <w:bCs/>
                <w:sz w:val="20"/>
                <w:szCs w:val="20"/>
              </w:rPr>
              <w:t xml:space="preserve">рамках реализации Программы стимулирования кредитования субъектов малого и среднего предпринимательства </w:t>
              <w:br w:type="textWrapping" w:clear="all"/>
            </w:r>
            <w:r>
              <w:rPr>
                <w:sz w:val="20"/>
                <w:szCs w:val="20"/>
              </w:rPr>
              <w:t xml:space="preserve">№ 540-П </w:t>
            </w:r>
            <w:r>
              <w:rPr>
                <w:bCs/>
                <w:sz w:val="20"/>
                <w:szCs w:val="20"/>
              </w:rPr>
              <w:t xml:space="preserve">на период действия льготных условий</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35"/>
              <w:ind w:left="74"/>
              <w:jc w:val="center"/>
              <w:spacing w:before="40"/>
              <w:tabs>
                <w:tab w:val="left" w:pos="0" w:leader="none"/>
              </w:tabs>
              <w:rPr>
                <w:bCs/>
                <w:sz w:val="20"/>
                <w:szCs w:val="20"/>
              </w:rPr>
            </w:pPr>
            <w:r>
              <w:rPr>
                <w:bCs/>
                <w:sz w:val="20"/>
                <w:szCs w:val="20"/>
              </w:rPr>
              <w:t xml:space="preserve">Не взимается</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35"/>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5"/>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35"/>
              <w:jc w:val="both"/>
              <w:spacing w:before="40" w:after="40"/>
              <w:rPr>
                <w:bCs/>
                <w:sz w:val="20"/>
                <w:szCs w:val="20"/>
              </w:rPr>
            </w:pPr>
            <w:r>
              <w:rPr>
                <w:bCs/>
                <w:sz w:val="20"/>
                <w:szCs w:val="20"/>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35"/>
              <w:ind w:left="74"/>
              <w:jc w:val="center"/>
              <w:spacing w:before="40"/>
              <w:tabs>
                <w:tab w:val="left" w:pos="0" w:leader="none"/>
              </w:tabs>
              <w:rPr>
                <w:bCs/>
                <w:sz w:val="20"/>
                <w:szCs w:val="20"/>
              </w:rPr>
            </w:pPr>
            <w:r>
              <w:rPr>
                <w:sz w:val="20"/>
                <w:szCs w:val="20"/>
              </w:rPr>
              <w:t xml:space="preserve">Не взимается</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35"/>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5"/>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35"/>
              <w:jc w:val="both"/>
              <w:spacing w:before="40" w:after="40"/>
              <w:rPr>
                <w:bCs/>
                <w:sz w:val="20"/>
                <w:szCs w:val="20"/>
              </w:rPr>
            </w:pPr>
            <w:r>
              <w:rPr>
                <w:bCs/>
                <w:sz w:val="20"/>
                <w:szCs w:val="20"/>
              </w:rPr>
              <w:t xml:space="preserve">- при кредитовании в рамках льготных программ в соответствии с Перечнем 1 данного раздела 12 «Кредитные операции» настоящих Тарифов</w:t>
            </w:r>
            <w:r>
              <w:rPr>
                <w:sz w:val="20"/>
                <w:szCs w:val="20"/>
              </w:rPr>
              <w:t xml:space="preserve"> </w:t>
            </w:r>
            <w:r>
              <w:rPr>
                <w:bCs/>
                <w:sz w:val="20"/>
                <w:szCs w:val="20"/>
              </w:rPr>
              <w:t xml:space="preserve">на период действия льготной/ увеличенной льготной ставки</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35"/>
              <w:ind w:left="74"/>
              <w:jc w:val="center"/>
              <w:spacing w:before="40"/>
              <w:tabs>
                <w:tab w:val="left" w:pos="0" w:leader="none"/>
              </w:tabs>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35"/>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35"/>
              <w:jc w:val="center"/>
              <w:spacing w:before="120"/>
              <w:rPr>
                <w:bCs/>
                <w:sz w:val="20"/>
                <w:szCs w:val="20"/>
              </w:rPr>
            </w:pPr>
            <w:r>
              <w:rPr>
                <w:bCs/>
                <w:sz w:val="20"/>
                <w:szCs w:val="20"/>
              </w:rPr>
              <w:t xml:space="preserve">12.6.</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135"/>
              <w:jc w:val="both"/>
              <w:spacing w:before="120"/>
              <w:rPr>
                <w:bCs/>
                <w:sz w:val="20"/>
                <w:szCs w:val="20"/>
              </w:rPr>
            </w:pPr>
            <w:r>
              <w:rPr>
                <w:bCs/>
                <w:sz w:val="20"/>
                <w:szCs w:val="20"/>
              </w:rPr>
              <w:t xml:space="preserve">Согласование Банком досрочного погашения кредита (основного долга) по инициативе заемщика без соблюдения процедуры предварительного письменного согласования</w:t>
            </w:r>
            <w:r>
              <w:rPr>
                <w:bCs/>
                <w:sz w:val="20"/>
                <w:szCs w:val="20"/>
              </w:rPr>
            </w:r>
            <w:r>
              <w:rPr>
                <w:bCs/>
                <w:sz w:val="20"/>
                <w:szCs w:val="20"/>
              </w:rPr>
            </w:r>
          </w:p>
          <w:p>
            <w:pPr>
              <w:pStyle w:val="1135"/>
              <w:spacing w:before="120"/>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135"/>
              <w:ind w:left="-108" w:right="-108"/>
              <w:jc w:val="center"/>
              <w:spacing w:before="40"/>
              <w:rPr>
                <w:spacing w:val="-20"/>
                <w:sz w:val="20"/>
                <w:szCs w:val="20"/>
              </w:rPr>
            </w:pPr>
            <w:r>
              <w:rPr>
                <w:sz w:val="20"/>
                <w:szCs w:val="20"/>
              </w:rPr>
              <w:t xml:space="preserve">По кредитным сделкам со сроком(ами), оставшимся(ися) до погашения в соответствии </w:t>
              <w:br w:type="textWrapping" w:clear="all"/>
              <w:t xml:space="preserve">с графиком погашения (возврата) кредита (основного долга)/ окончательной даты возврата кредита </w:t>
              <w:br w:type="textWrapping" w:clear="all"/>
              <w:t xml:space="preserve">(при отсутствии графика погашения (возврата) кредита (основного долга</w:t>
            </w:r>
            <w:r>
              <w:rPr>
                <w:spacing w:val="-20"/>
                <w:sz w:val="20"/>
                <w:szCs w:val="20"/>
              </w:rPr>
              <w:t xml:space="preserve">)):</w:t>
            </w:r>
            <w:r>
              <w:rPr>
                <w:spacing w:val="-20"/>
                <w:sz w:val="20"/>
                <w:szCs w:val="20"/>
              </w:rPr>
            </w:r>
            <w:r>
              <w:rPr>
                <w:spacing w:val="-20"/>
                <w:sz w:val="20"/>
                <w:szCs w:val="20"/>
              </w:rPr>
            </w:r>
          </w:p>
          <w:p>
            <w:pPr>
              <w:pStyle w:val="1135"/>
              <w:ind w:left="72"/>
              <w:jc w:val="center"/>
              <w:rPr>
                <w:bCs/>
                <w:sz w:val="20"/>
                <w:szCs w:val="20"/>
              </w:rPr>
            </w:pPr>
            <w:r>
              <w:rPr>
                <w:bCs/>
                <w:sz w:val="20"/>
                <w:szCs w:val="20"/>
              </w:rPr>
              <w:t xml:space="preserve">- в течение 30 календарных дней до плановой даты погашения по кредитному договору/траншу (включительно) комиссия – не взимается;</w:t>
            </w:r>
            <w:r>
              <w:rPr>
                <w:bCs/>
                <w:sz w:val="20"/>
                <w:szCs w:val="20"/>
              </w:rPr>
            </w:r>
            <w:r>
              <w:rPr>
                <w:bCs/>
                <w:sz w:val="20"/>
                <w:szCs w:val="20"/>
              </w:rPr>
            </w:r>
          </w:p>
          <w:p>
            <w:pPr>
              <w:pStyle w:val="1135"/>
              <w:ind w:left="72"/>
              <w:jc w:val="center"/>
              <w:rPr>
                <w:sz w:val="20"/>
                <w:szCs w:val="20"/>
              </w:rPr>
            </w:pPr>
            <w:r>
              <w:rPr>
                <w:bCs/>
                <w:sz w:val="20"/>
                <w:szCs w:val="20"/>
              </w:rPr>
              <w:t xml:space="preserve">- до 180</w:t>
            </w:r>
            <w:r>
              <w:rPr>
                <w:sz w:val="20"/>
                <w:szCs w:val="20"/>
              </w:rPr>
              <w:t xml:space="preserve"> календарных дней (включительно) – </w:t>
            </w:r>
            <w:r>
              <w:rPr>
                <w:bCs/>
                <w:sz w:val="20"/>
                <w:szCs w:val="20"/>
              </w:rPr>
              <w:t xml:space="preserve">не менее</w:t>
            </w:r>
            <w:r>
              <w:rPr>
                <w:bCs/>
                <w:i/>
                <w:sz w:val="20"/>
                <w:szCs w:val="20"/>
              </w:rPr>
              <w:t xml:space="preserve"> </w:t>
            </w:r>
            <w:r>
              <w:rPr>
                <w:sz w:val="20"/>
                <w:szCs w:val="20"/>
              </w:rPr>
              <w:t xml:space="preserve">1,0%;</w:t>
            </w:r>
            <w:r>
              <w:rPr>
                <w:sz w:val="20"/>
                <w:szCs w:val="20"/>
              </w:rPr>
            </w:r>
            <w:r>
              <w:rPr>
                <w:sz w:val="20"/>
                <w:szCs w:val="20"/>
              </w:rPr>
            </w:r>
          </w:p>
          <w:p>
            <w:pPr>
              <w:pStyle w:val="1135"/>
              <w:ind w:left="72"/>
              <w:jc w:val="center"/>
              <w:rPr>
                <w:sz w:val="20"/>
                <w:szCs w:val="20"/>
              </w:rPr>
            </w:pPr>
            <w:r>
              <w:rPr>
                <w:sz w:val="20"/>
                <w:szCs w:val="20"/>
              </w:rPr>
              <w:t xml:space="preserve">- от 181 до 365 календарных дней (включительно) – </w:t>
            </w:r>
            <w:r>
              <w:rPr>
                <w:bCs/>
                <w:sz w:val="20"/>
                <w:szCs w:val="20"/>
              </w:rPr>
              <w:t xml:space="preserve">не менее</w:t>
            </w:r>
            <w:r>
              <w:rPr>
                <w:bCs/>
                <w:i/>
                <w:sz w:val="20"/>
                <w:szCs w:val="20"/>
              </w:rPr>
              <w:t xml:space="preserve"> </w:t>
            </w:r>
            <w:r>
              <w:rPr>
                <w:sz w:val="20"/>
                <w:szCs w:val="20"/>
              </w:rPr>
              <w:t xml:space="preserve">3,5%;</w:t>
            </w:r>
            <w:r>
              <w:rPr>
                <w:sz w:val="20"/>
                <w:szCs w:val="20"/>
              </w:rPr>
            </w:r>
            <w:r>
              <w:rPr>
                <w:sz w:val="20"/>
                <w:szCs w:val="20"/>
              </w:rPr>
            </w:r>
          </w:p>
          <w:p>
            <w:pPr>
              <w:pStyle w:val="1135"/>
              <w:ind w:left="72"/>
              <w:jc w:val="center"/>
              <w:rPr>
                <w:sz w:val="20"/>
                <w:szCs w:val="20"/>
              </w:rPr>
            </w:pPr>
            <w:r>
              <w:rPr>
                <w:sz w:val="20"/>
                <w:szCs w:val="20"/>
              </w:rPr>
              <w:t xml:space="preserve">- свыше 365 календарных дней – </w:t>
            </w:r>
            <w:r>
              <w:rPr>
                <w:bCs/>
                <w:sz w:val="20"/>
                <w:szCs w:val="20"/>
              </w:rPr>
              <w:t xml:space="preserve">не менее</w:t>
            </w:r>
            <w:r>
              <w:rPr>
                <w:bCs/>
                <w:i/>
                <w:sz w:val="20"/>
                <w:szCs w:val="20"/>
              </w:rPr>
              <w:t xml:space="preserve"> </w:t>
            </w:r>
            <w:r>
              <w:rPr>
                <w:sz w:val="20"/>
                <w:szCs w:val="20"/>
              </w:rPr>
              <w:t xml:space="preserve">7,0%</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977" w:type="dxa"/>
            <w:vAlign w:val="top"/>
            <w:textDirection w:val="lrTb"/>
            <w:noWrap w:val="false"/>
          </w:tcPr>
          <w:p>
            <w:pPr>
              <w:pStyle w:val="1135"/>
              <w:jc w:val="both"/>
              <w:spacing w:before="120"/>
              <w:rPr>
                <w:bCs/>
                <w:sz w:val="20"/>
                <w:szCs w:val="20"/>
              </w:rPr>
            </w:pPr>
            <w:r>
              <w:rPr>
                <w:bCs/>
                <w:sz w:val="20"/>
                <w:szCs w:val="20"/>
              </w:rPr>
              <w:t xml:space="preserve">Комиссия исчисляется от досрочно возвращенной суммы кредита или его части и уплачивается в дату досрочного возврата кредита либо его части.</w:t>
            </w:r>
            <w:r>
              <w:rPr>
                <w:bCs/>
                <w:sz w:val="20"/>
                <w:szCs w:val="20"/>
              </w:rPr>
            </w:r>
            <w:r>
              <w:rPr>
                <w:bCs/>
                <w:sz w:val="20"/>
                <w:szCs w:val="20"/>
              </w:rPr>
            </w:r>
          </w:p>
          <w:p>
            <w:pPr>
              <w:pStyle w:val="1135"/>
              <w:jc w:val="both"/>
              <w:rPr>
                <w:sz w:val="20"/>
                <w:szCs w:val="20"/>
              </w:rPr>
            </w:pPr>
            <w:r>
              <w:rPr>
                <w:sz w:val="20"/>
                <w:szCs w:val="20"/>
              </w:rPr>
              <w:t xml:space="preserve">П</w:t>
            </w:r>
            <w:r>
              <w:rPr>
                <w:sz w:val="20"/>
                <w:szCs w:val="20"/>
              </w:rPr>
              <w:t xml:space="preserve">о вновь заключаемым кредитным сделкам данная комиссия не взимается (комиссия действует только в отношении кредитных сделок, в рамках которых соответствующими кредитными договорами/договорами об открытии кредитной линии предусмотрено условие о ее взимании).</w:t>
            </w:r>
            <w:r>
              <w:rPr>
                <w:sz w:val="20"/>
                <w:szCs w:val="20"/>
              </w:rPr>
            </w:r>
            <w:r>
              <w:rPr>
                <w:sz w:val="20"/>
                <w:szCs w:val="20"/>
              </w:rPr>
            </w:r>
          </w:p>
          <w:p>
            <w:pPr>
              <w:pStyle w:val="1135"/>
              <w:jc w:val="both"/>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5"/>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35"/>
              <w:jc w:val="both"/>
              <w:spacing w:before="40" w:after="40"/>
              <w:rPr>
                <w:bCs/>
                <w:sz w:val="20"/>
                <w:szCs w:val="20"/>
              </w:rPr>
            </w:pPr>
            <w:r>
              <w:rPr>
                <w:bCs/>
                <w:sz w:val="20"/>
                <w:szCs w:val="20"/>
              </w:rPr>
              <w:t xml:space="preserve">- при кредитовании с использованием связанного финансирования</w:t>
            </w:r>
            <w:r>
              <w:rPr>
                <w:bCs/>
                <w:sz w:val="20"/>
                <w:szCs w:val="20"/>
              </w:rPr>
            </w:r>
            <w:r>
              <w:rPr>
                <w:bCs/>
                <w:sz w:val="20"/>
                <w:szCs w:val="20"/>
              </w:rPr>
            </w:r>
          </w:p>
          <w:p>
            <w:pPr>
              <w:pStyle w:val="1135"/>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35"/>
              <w:ind w:left="72"/>
              <w:jc w:val="center"/>
              <w:spacing w:before="40" w:after="40"/>
              <w:rPr>
                <w:sz w:val="20"/>
                <w:szCs w:val="20"/>
              </w:rPr>
            </w:pPr>
            <w:r>
              <w:rPr>
                <w:sz w:val="20"/>
                <w:szCs w:val="20"/>
              </w:rPr>
              <w:t xml:space="preserve">Дополнительно к вышеуказанной комиссии взимаются комиссии финансирующего банка за досрочное погашение</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35"/>
              <w:spacing w:before="120" w:after="12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5"/>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35"/>
              <w:jc w:val="both"/>
              <w:spacing w:before="40" w:after="40"/>
              <w:rPr>
                <w:sz w:val="20"/>
                <w:szCs w:val="20"/>
              </w:rPr>
            </w:pPr>
            <w:r>
              <w:rPr>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35"/>
              <w:ind w:left="74"/>
              <w:jc w:val="center"/>
              <w:spacing w:before="40"/>
              <w:rPr>
                <w:sz w:val="20"/>
                <w:szCs w:val="20"/>
              </w:rPr>
            </w:pPr>
            <w:r>
              <w:rPr>
                <w:sz w:val="20"/>
                <w:szCs w:val="20"/>
              </w:rPr>
              <w:t xml:space="preserve">Не взимается</w:t>
            </w:r>
            <w:r>
              <w:rPr>
                <w:sz w:val="20"/>
                <w:szCs w:val="20"/>
              </w:rPr>
            </w:r>
            <w:r>
              <w:rPr>
                <w:sz w:val="20"/>
                <w:szCs w:val="20"/>
              </w:rPr>
            </w:r>
          </w:p>
          <w:p>
            <w:pPr>
              <w:pStyle w:val="1135"/>
              <w:ind w:left="72"/>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35"/>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5"/>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35"/>
              <w:jc w:val="both"/>
              <w:spacing w:before="40" w:after="40"/>
              <w:rPr>
                <w:sz w:val="20"/>
                <w:szCs w:val="20"/>
              </w:rPr>
            </w:pPr>
            <w:r>
              <w:rPr>
                <w:bCs/>
                <w:sz w:val="20"/>
                <w:szCs w:val="20"/>
              </w:rPr>
              <w:t xml:space="preserve">- при </w:t>
            </w:r>
            <w:r>
              <w:rPr>
                <w:sz w:val="20"/>
                <w:szCs w:val="20"/>
              </w:rPr>
              <w:t xml:space="preserve">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35"/>
              <w:ind w:left="74"/>
              <w:jc w:val="center"/>
              <w:spacing w:before="40"/>
              <w:rPr>
                <w:sz w:val="20"/>
                <w:szCs w:val="20"/>
              </w:rPr>
            </w:pPr>
            <w:r>
              <w:rPr>
                <w:sz w:val="20"/>
                <w:szCs w:val="20"/>
              </w:rPr>
              <w:t xml:space="preserve">Не взимается</w:t>
            </w:r>
            <w:r>
              <w:rPr>
                <w:sz w:val="20"/>
                <w:szCs w:val="20"/>
              </w:rPr>
            </w:r>
            <w:r>
              <w:rPr>
                <w:sz w:val="20"/>
                <w:szCs w:val="20"/>
              </w:rPr>
            </w:r>
          </w:p>
          <w:p>
            <w:pPr>
              <w:pStyle w:val="1135"/>
              <w:ind w:left="72"/>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35"/>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35"/>
              <w:jc w:val="both"/>
              <w:spacing w:before="120"/>
              <w:rPr>
                <w:bCs/>
                <w:sz w:val="20"/>
                <w:szCs w:val="20"/>
              </w:rPr>
            </w:pPr>
            <w:r>
              <w:rPr>
                <w:bCs/>
                <w:sz w:val="20"/>
                <w:szCs w:val="20"/>
              </w:rPr>
              <w:t xml:space="preserve">12.7.</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135"/>
              <w:jc w:val="both"/>
              <w:spacing w:before="120"/>
              <w:rPr>
                <w:bCs/>
                <w:sz w:val="20"/>
                <w:szCs w:val="20"/>
              </w:rPr>
            </w:pPr>
            <w:r>
              <w:rPr>
                <w:bCs/>
                <w:sz w:val="20"/>
                <w:szCs w:val="20"/>
              </w:rPr>
              <w:t xml:space="preserve">Досрочный возврат кредита (основного долга) по инициативе заемщика</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135"/>
              <w:jc w:val="center"/>
              <w:spacing w:before="40" w:after="40"/>
              <w:rPr>
                <w:sz w:val="20"/>
                <w:szCs w:val="20"/>
              </w:rPr>
            </w:pPr>
            <w:r>
              <w:rPr>
                <w:sz w:val="20"/>
                <w:szCs w:val="20"/>
              </w:rPr>
              <w:t xml:space="preserve">По договоренности сторон в зависимости от срока, оставшегося до погашения</w:t>
            </w:r>
            <w:r>
              <w:rPr>
                <w:sz w:val="20"/>
                <w:szCs w:val="20"/>
                <w:vertAlign w:val="superscript"/>
              </w:rPr>
              <w:footnoteReference w:id="4"/>
            </w:r>
            <w:r>
              <w:rPr>
                <w:sz w:val="20"/>
                <w:szCs w:val="20"/>
                <w:vertAlign w:val="superscript"/>
              </w:rPr>
              <w:t xml:space="preserve">,</w:t>
            </w:r>
            <w:r>
              <w:rPr>
                <w:sz w:val="20"/>
                <w:szCs w:val="20"/>
                <w:vertAlign w:val="superscript"/>
              </w:rPr>
              <w:footnoteReference w:id="5"/>
            </w:r>
            <w:r>
              <w:rPr>
                <w:sz w:val="20"/>
                <w:szCs w:val="20"/>
              </w:rPr>
            </w:r>
            <w:r>
              <w:rPr>
                <w:sz w:val="20"/>
                <w:szCs w:val="20"/>
              </w:rPr>
            </w:r>
          </w:p>
        </w:tc>
        <w:tc>
          <w:tcPr>
            <w:tcBorders>
              <w:top w:val="single" w:color="000000" w:sz="4" w:space="0"/>
              <w:left w:val="single" w:color="000000" w:sz="4" w:space="0"/>
              <w:right w:val="single" w:color="000000" w:sz="4" w:space="0"/>
            </w:tcBorders>
            <w:tcW w:w="2977" w:type="dxa"/>
            <w:vAlign w:val="top"/>
            <w:vMerge w:val="restart"/>
            <w:textDirection w:val="lrTb"/>
            <w:noWrap w:val="false"/>
          </w:tcPr>
          <w:p>
            <w:pPr>
              <w:pStyle w:val="1135"/>
              <w:jc w:val="both"/>
              <w:spacing w:before="120"/>
              <w:rPr>
                <w:bCs/>
                <w:sz w:val="20"/>
                <w:szCs w:val="20"/>
              </w:rPr>
            </w:pPr>
            <w:r>
              <w:rPr>
                <w:bCs/>
                <w:sz w:val="20"/>
                <w:szCs w:val="20"/>
              </w:rPr>
              <w:t xml:space="preserve">Комиссия исчисляется от досрочно возвращенной суммы кредита или его части и уплачивается в дату досрочного возврата кредита либо его части.</w:t>
            </w:r>
            <w:r>
              <w:rPr>
                <w:bCs/>
                <w:sz w:val="20"/>
                <w:szCs w:val="20"/>
              </w:rPr>
            </w:r>
            <w:r>
              <w:rPr>
                <w:bCs/>
                <w:sz w:val="20"/>
                <w:szCs w:val="20"/>
              </w:rPr>
            </w:r>
          </w:p>
          <w:p>
            <w:pPr>
              <w:pStyle w:val="1135"/>
              <w:jc w:val="both"/>
              <w:rPr>
                <w:bCs/>
                <w:sz w:val="20"/>
                <w:szCs w:val="20"/>
              </w:rPr>
            </w:pPr>
            <w:r>
              <w:rPr>
                <w:bCs/>
                <w:sz w:val="20"/>
                <w:szCs w:val="20"/>
              </w:rPr>
              <w:t xml:space="preserve">По договору об открытии кредитной линии с лимитом задолженности и договору </w:t>
              <w:br w:type="textWrapping" w:clear="all"/>
              <w:t xml:space="preserve">об открытии кредитной линии с лимитом выдачи и лимитом задолженности </w:t>
              <w:br w:type="textWrapping" w:clear="all"/>
              <w:t xml:space="preserve">при установлении срока транша до 90 календарных дней (включительно) комиссия не взимается.</w:t>
            </w:r>
            <w:r>
              <w:rPr>
                <w:bCs/>
                <w:sz w:val="20"/>
                <w:szCs w:val="20"/>
              </w:rPr>
            </w:r>
            <w:r>
              <w:rPr>
                <w:bCs/>
                <w:sz w:val="20"/>
                <w:szCs w:val="20"/>
              </w:rPr>
            </w:r>
          </w:p>
          <w:p>
            <w:pPr>
              <w:pStyle w:val="1135"/>
              <w:jc w:val="both"/>
              <w:rPr>
                <w:bCs/>
                <w:sz w:val="20"/>
                <w:szCs w:val="20"/>
              </w:rPr>
            </w:pPr>
            <w:r>
              <w:rPr>
                <w:bCs/>
                <w:sz w:val="20"/>
                <w:szCs w:val="20"/>
              </w:rPr>
              <w:t xml:space="preserve">В течение 30 календарных дней, оставшихся до даты погашения (возврата) Кредита/части кредита (включительно) комиссия не взимается.</w:t>
            </w:r>
            <w:r>
              <w:rPr>
                <w:bCs/>
                <w:sz w:val="20"/>
                <w:szCs w:val="20"/>
              </w:rPr>
            </w:r>
            <w:r>
              <w:rPr>
                <w:bCs/>
                <w:sz w:val="20"/>
                <w:szCs w:val="20"/>
              </w:rPr>
            </w:r>
          </w:p>
          <w:p>
            <w:pPr>
              <w:pStyle w:val="1135"/>
              <w:jc w:val="both"/>
              <w:rPr>
                <w:bCs/>
                <w:sz w:val="20"/>
                <w:szCs w:val="20"/>
                <w:highlight w:val="yellow"/>
              </w:rPr>
            </w:pPr>
            <w:r>
              <w:rPr>
                <w:bCs/>
                <w:sz w:val="20"/>
                <w:szCs w:val="20"/>
                <w:highlight w:val="yellow"/>
              </w:rPr>
            </w:r>
            <w:r>
              <w:rPr>
                <w:bCs/>
                <w:sz w:val="20"/>
                <w:szCs w:val="20"/>
                <w:highlight w:val="yellow"/>
              </w:rPr>
            </w:r>
            <w:r>
              <w:rPr>
                <w:bCs/>
                <w:sz w:val="20"/>
                <w:szCs w:val="20"/>
                <w:highlight w:val="yellow"/>
              </w:rPr>
            </w:r>
          </w:p>
          <w:p>
            <w:pPr>
              <w:pStyle w:val="1135"/>
              <w:jc w:val="both"/>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5"/>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35"/>
              <w:jc w:val="both"/>
              <w:spacing w:before="40" w:after="40"/>
              <w:rPr>
                <w:bCs/>
                <w:sz w:val="20"/>
                <w:szCs w:val="20"/>
              </w:rPr>
            </w:pPr>
            <w:r>
              <w:rPr>
                <w:bCs/>
                <w:sz w:val="20"/>
                <w:szCs w:val="20"/>
              </w:rPr>
              <w:t xml:space="preserve">- по договору об открытии кредитной линии с лимитом выдачи </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35"/>
              <w:jc w:val="center"/>
              <w:spacing w:before="40" w:after="40"/>
              <w:rPr>
                <w:sz w:val="20"/>
                <w:szCs w:val="20"/>
              </w:rPr>
            </w:pPr>
            <w:r>
              <w:rPr>
                <w:sz w:val="20"/>
                <w:szCs w:val="20"/>
              </w:rPr>
              <w:t xml:space="preserve">По договоренности сторон</w:t>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135"/>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5"/>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35"/>
              <w:jc w:val="both"/>
              <w:spacing w:before="40" w:after="40"/>
              <w:rPr>
                <w:bCs/>
                <w:sz w:val="20"/>
                <w:szCs w:val="20"/>
              </w:rPr>
            </w:pPr>
            <w:r>
              <w:rPr>
                <w:bCs/>
                <w:sz w:val="20"/>
                <w:szCs w:val="20"/>
              </w:rPr>
              <w:t xml:space="preserve">- по договору об открытии кредитной линии с лимитом задолженности </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35"/>
              <w:jc w:val="center"/>
              <w:spacing w:before="40" w:after="40"/>
              <w:rPr>
                <w:sz w:val="20"/>
                <w:szCs w:val="20"/>
              </w:rPr>
            </w:pPr>
            <w:r>
              <w:rPr>
                <w:sz w:val="20"/>
                <w:szCs w:val="20"/>
              </w:rPr>
              <w:t xml:space="preserve">По договоренности сторон</w:t>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135"/>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5"/>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35"/>
              <w:jc w:val="both"/>
              <w:spacing w:before="40" w:after="40"/>
              <w:rPr>
                <w:bCs/>
                <w:sz w:val="20"/>
                <w:szCs w:val="20"/>
              </w:rPr>
            </w:pPr>
            <w:r>
              <w:rPr>
                <w:bCs/>
                <w:sz w:val="20"/>
                <w:szCs w:val="20"/>
              </w:rPr>
              <w:t xml:space="preserve">- по договору об открытии кредитной линии с лимитом выдачи и лимитом задолженности </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35"/>
              <w:jc w:val="center"/>
              <w:spacing w:before="40" w:after="40"/>
              <w:rPr>
                <w:sz w:val="20"/>
                <w:szCs w:val="20"/>
              </w:rPr>
            </w:pPr>
            <w:r>
              <w:rPr>
                <w:sz w:val="20"/>
                <w:szCs w:val="20"/>
              </w:rPr>
              <w:t xml:space="preserve">По договоренности сторон</w:t>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135"/>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5"/>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35"/>
              <w:jc w:val="both"/>
              <w:spacing w:before="40" w:after="40"/>
              <w:rPr>
                <w:bCs/>
                <w:sz w:val="20"/>
                <w:szCs w:val="20"/>
              </w:rPr>
            </w:pPr>
            <w:r>
              <w:rPr>
                <w:bCs/>
                <w:sz w:val="20"/>
                <w:szCs w:val="20"/>
              </w:rPr>
              <w:t xml:space="preserve">- при кредитовании в форме «овердрафт»</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35"/>
              <w:jc w:val="center"/>
              <w:spacing w:before="40" w:after="40"/>
              <w:rPr>
                <w:sz w:val="20"/>
                <w:szCs w:val="20"/>
              </w:rPr>
            </w:pPr>
            <w:r>
              <w:rPr>
                <w:sz w:val="20"/>
                <w:szCs w:val="20"/>
              </w:rPr>
              <w:t xml:space="preserve">Не взимается</w:t>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135"/>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5"/>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35"/>
              <w:jc w:val="both"/>
              <w:spacing w:before="40" w:after="40"/>
              <w:rPr>
                <w:bCs/>
                <w:sz w:val="20"/>
                <w:szCs w:val="20"/>
              </w:rPr>
            </w:pPr>
            <w:r>
              <w:rPr>
                <w:bCs/>
                <w:sz w:val="20"/>
                <w:szCs w:val="20"/>
              </w:rPr>
              <w:t xml:space="preserve">- при кредитовании с использованием связанного финансирования</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35"/>
              <w:jc w:val="center"/>
              <w:spacing w:before="40"/>
              <w:rPr>
                <w:sz w:val="20"/>
                <w:szCs w:val="20"/>
              </w:rPr>
            </w:pPr>
            <w:r>
              <w:rPr>
                <w:sz w:val="20"/>
                <w:szCs w:val="20"/>
              </w:rPr>
              <w:t xml:space="preserve">Не взимается, </w:t>
              <w:br w:type="textWrapping" w:clear="all"/>
              <w:t xml:space="preserve">за исключением комиссий, возмещаемых финансирующему банку за досрочное погашение</w:t>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135"/>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5"/>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35"/>
              <w:jc w:val="both"/>
              <w:spacing w:before="40"/>
              <w:rPr>
                <w:bCs/>
                <w:sz w:val="20"/>
                <w:szCs w:val="20"/>
              </w:rPr>
            </w:pPr>
            <w:r>
              <w:rPr>
                <w:bCs/>
                <w:sz w:val="20"/>
                <w:szCs w:val="20"/>
              </w:rPr>
              <w:t xml:space="preserve">- при кредитовании в рамках Порядка предоставления АО «Россельхозбанк» кредитов на цели, связанные с проведением сезонных работ, № 411-П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35"/>
              <w:ind w:left="72"/>
              <w:jc w:val="center"/>
              <w:spacing w:before="40"/>
              <w:rPr>
                <w:sz w:val="20"/>
                <w:szCs w:val="20"/>
              </w:rPr>
            </w:pPr>
            <w:r>
              <w:rPr>
                <w:sz w:val="20"/>
                <w:szCs w:val="20"/>
              </w:rPr>
              <w:t xml:space="preserve">Не взимается</w:t>
            </w:r>
            <w:r>
              <w:rPr>
                <w:sz w:val="20"/>
                <w:szCs w:val="20"/>
              </w:rPr>
            </w:r>
            <w:r>
              <w:rPr>
                <w:sz w:val="20"/>
                <w:szCs w:val="20"/>
              </w:rPr>
            </w:r>
          </w:p>
          <w:p>
            <w:pPr>
              <w:pStyle w:val="1135"/>
              <w:ind w:left="72"/>
              <w:jc w:val="center"/>
              <w:spacing w:before="40"/>
              <w:rPr>
                <w:sz w:val="20"/>
                <w:szCs w:val="20"/>
              </w:rPr>
            </w:pPr>
            <w:r>
              <w:rPr>
                <w:sz w:val="20"/>
                <w:szCs w:val="20"/>
              </w:rPr>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135"/>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5"/>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35"/>
              <w:jc w:val="both"/>
              <w:spacing w:before="40"/>
              <w:rPr>
                <w:sz w:val="20"/>
                <w:szCs w:val="20"/>
              </w:rPr>
            </w:pPr>
            <w:r>
              <w:rPr>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35"/>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135"/>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5"/>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35"/>
              <w:jc w:val="both"/>
              <w:spacing w:before="40"/>
              <w:tabs>
                <w:tab w:val="left" w:pos="0" w:leader="none"/>
              </w:tabs>
              <w:rPr>
                <w:bCs/>
                <w:sz w:val="20"/>
                <w:szCs w:val="20"/>
              </w:rPr>
            </w:pPr>
            <w:r>
              <w:rPr>
                <w:bCs/>
                <w:sz w:val="20"/>
                <w:szCs w:val="20"/>
              </w:rPr>
              <w:t xml:space="preserve">- при кредитовании в рамках</w:t>
            </w:r>
            <w:r>
              <w:rPr>
                <w:sz w:val="20"/>
                <w:szCs w:val="20"/>
              </w:rPr>
              <w:t xml:space="preserve"> </w:t>
            </w:r>
            <w:r>
              <w:rPr>
                <w:bCs/>
                <w:sz w:val="20"/>
                <w:szCs w:val="20"/>
              </w:rPr>
              <w:t xml:space="preserve">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35"/>
              <w:ind w:left="74"/>
              <w:jc w:val="center"/>
              <w:spacing w:before="40"/>
              <w:tabs>
                <w:tab w:val="left" w:pos="0" w:leader="none"/>
              </w:tabs>
              <w:rPr>
                <w:sz w:val="20"/>
                <w:szCs w:val="20"/>
              </w:rPr>
            </w:pPr>
            <w:r>
              <w:rPr>
                <w:sz w:val="20"/>
                <w:szCs w:val="20"/>
              </w:rPr>
              <w:t xml:space="preserve">Не взимается</w:t>
            </w:r>
            <w:r>
              <w:rPr>
                <w:sz w:val="20"/>
                <w:szCs w:val="20"/>
              </w:rPr>
            </w:r>
            <w:r>
              <w:rPr>
                <w:sz w:val="20"/>
                <w:szCs w:val="20"/>
              </w:rPr>
            </w:r>
          </w:p>
          <w:p>
            <w:pPr>
              <w:pStyle w:val="1135"/>
              <w:jc w:val="center"/>
              <w:spacing w:before="40"/>
              <w:tabs>
                <w:tab w:val="left" w:pos="0" w:leader="none"/>
              </w:tabs>
              <w:rPr>
                <w:sz w:val="20"/>
                <w:szCs w:val="20"/>
              </w:rPr>
            </w:pPr>
            <w:r>
              <w:rPr>
                <w:sz w:val="20"/>
                <w:szCs w:val="20"/>
              </w:rPr>
            </w:r>
            <w:r>
              <w:rPr>
                <w:sz w:val="20"/>
                <w:szCs w:val="20"/>
              </w:rPr>
            </w:r>
            <w:r>
              <w:rPr>
                <w:sz w:val="20"/>
                <w:szCs w:val="20"/>
              </w:rPr>
            </w:r>
          </w:p>
        </w:tc>
        <w:tc>
          <w:tcPr>
            <w:tcBorders>
              <w:left w:val="single" w:color="000000" w:sz="4" w:space="0"/>
              <w:bottom w:val="none" w:color="000000" w:sz="4" w:space="0"/>
              <w:right w:val="single" w:color="000000" w:sz="4" w:space="0"/>
            </w:tcBorders>
            <w:tcW w:w="2977" w:type="dxa"/>
            <w:vAlign w:val="center"/>
            <w:vMerge w:val="continue"/>
            <w:textDirection w:val="lrTb"/>
            <w:noWrap w:val="false"/>
          </w:tcPr>
          <w:p>
            <w:pPr>
              <w:pStyle w:val="1135"/>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5"/>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35"/>
              <w:jc w:val="both"/>
              <w:spacing w:before="40"/>
              <w:tabs>
                <w:tab w:val="left" w:pos="0" w:leader="none"/>
              </w:tabs>
              <w:rPr>
                <w:bCs/>
                <w:sz w:val="20"/>
                <w:szCs w:val="20"/>
              </w:rPr>
            </w:pPr>
            <w:r>
              <w:rPr>
                <w:bCs/>
                <w:sz w:val="20"/>
                <w:szCs w:val="20"/>
              </w:rPr>
              <w:t xml:space="preserve">- при кредитовании в рамках кредитного продукта «Микро_АПК» в соответствии с Положением о кредитовании клиентов микробизнеса в АО «Россельхозбанк» № 656-П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35"/>
              <w:ind w:left="74"/>
              <w:jc w:val="center"/>
              <w:spacing w:before="40"/>
              <w:tabs>
                <w:tab w:val="left" w:pos="0" w:leader="none"/>
              </w:tabs>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center"/>
            <w:textDirection w:val="lrTb"/>
            <w:noWrap w:val="false"/>
          </w:tcPr>
          <w:p>
            <w:pPr>
              <w:pStyle w:val="1135"/>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5"/>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35"/>
              <w:jc w:val="both"/>
              <w:spacing w:before="40"/>
              <w:rPr>
                <w:sz w:val="20"/>
                <w:szCs w:val="20"/>
              </w:rPr>
            </w:pPr>
            <w:r>
              <w:rPr>
                <w:sz w:val="20"/>
                <w:szCs w:val="20"/>
              </w:rPr>
              <w:t xml:space="preserve">- при кредитовании в соответствии с Порядком рефинансирования </w:t>
              <w:br w:type="textWrapping" w:clear="all"/>
              <w:t xml:space="preserve">АО «Россельхозбанк» кредитов, предоставленных сторонними кредитными организациями № 376-П в рамках кредитных продуктов «Сезонный Рефинанс» </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35"/>
              <w:ind w:left="74"/>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center"/>
            <w:textDirection w:val="lrTb"/>
            <w:noWrap w:val="false"/>
          </w:tcPr>
          <w:p>
            <w:pPr>
              <w:pStyle w:val="1135"/>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5"/>
              <w:jc w:val="right"/>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35"/>
              <w:jc w:val="both"/>
              <w:spacing w:before="40"/>
              <w:rPr>
                <w:sz w:val="20"/>
                <w:szCs w:val="20"/>
              </w:rPr>
            </w:pPr>
            <w:r>
              <w:rPr>
                <w:sz w:val="20"/>
                <w:szCs w:val="20"/>
              </w:rPr>
              <w:t xml:space="preserve">- при кредитовании в рамках Порядка кредитования клиентов микробизнеса по кредитному продукту «Бизнес-карта с лимитом кредитования» в </w:t>
              <w:br w:type="textWrapping" w:clear="all"/>
              <w:t xml:space="preserve">АО «Россельхозбанк» № 738-П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35"/>
              <w:ind w:left="74"/>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35"/>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5"/>
              <w:jc w:val="right"/>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35"/>
              <w:ind w:left="74"/>
              <w:jc w:val="both"/>
              <w:spacing w:before="40" w:after="40"/>
              <w:rPr>
                <w:bCs/>
                <w:sz w:val="20"/>
                <w:szCs w:val="20"/>
              </w:rPr>
            </w:pPr>
            <w:r>
              <w:rPr>
                <w:sz w:val="20"/>
                <w:szCs w:val="20"/>
              </w:rPr>
              <w:t xml:space="preserve">- </w:t>
            </w:r>
            <w:r>
              <w:rPr>
                <w:bCs/>
                <w:sz w:val="20"/>
                <w:szCs w:val="20"/>
              </w:rPr>
              <w:t xml:space="preserve">при кредитовании в рамках Порядка кредитования АО</w:t>
            </w:r>
            <w:r>
              <w:rPr>
                <w:sz w:val="20"/>
                <w:szCs w:val="20"/>
              </w:rPr>
              <w:t xml:space="preserve"> </w:t>
            </w:r>
            <w:r>
              <w:rPr>
                <w:bCs/>
                <w:sz w:val="20"/>
                <w:szCs w:val="20"/>
              </w:rPr>
              <w:t xml:space="preserve">«Россельхозбанк» юридических лиц – публичных обществ в рамках Генерального соглашения о порядке заключения кредитных сделок № 447-П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35"/>
              <w:ind w:left="74"/>
              <w:jc w:val="center"/>
              <w:spacing w:before="40"/>
              <w:rPr>
                <w:sz w:val="20"/>
                <w:szCs w:val="20"/>
              </w:rPr>
            </w:pPr>
            <w:r>
              <w:rPr>
                <w:sz w:val="20"/>
                <w:szCs w:val="20"/>
              </w:rPr>
              <w:t xml:space="preserve">Не взимается</w:t>
            </w:r>
            <w:r>
              <w:rPr>
                <w:sz w:val="20"/>
                <w:szCs w:val="20"/>
              </w:rPr>
            </w:r>
            <w:r>
              <w:rPr>
                <w:sz w:val="20"/>
                <w:szCs w:val="20"/>
              </w:rPr>
            </w:r>
          </w:p>
          <w:p>
            <w:pPr>
              <w:pStyle w:val="1135"/>
              <w:ind w:left="74"/>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35"/>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5"/>
              <w:jc w:val="right"/>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35"/>
              <w:jc w:val="both"/>
              <w:spacing w:before="40" w:after="40"/>
              <w:rPr>
                <w:sz w:val="20"/>
                <w:szCs w:val="20"/>
              </w:rPr>
            </w:pPr>
            <w:r>
              <w:rPr>
                <w:bCs/>
                <w:sz w:val="20"/>
                <w:szCs w:val="20"/>
              </w:rPr>
              <w:t xml:space="preserve">- при </w:t>
            </w:r>
            <w:r>
              <w:rPr>
                <w:sz w:val="20"/>
                <w:szCs w:val="20"/>
              </w:rPr>
              <w:t xml:space="preserve">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35"/>
              <w:ind w:left="74"/>
              <w:jc w:val="center"/>
              <w:spacing w:before="40"/>
              <w:rPr>
                <w:sz w:val="20"/>
                <w:szCs w:val="20"/>
              </w:rPr>
            </w:pPr>
            <w:r>
              <w:rPr>
                <w:sz w:val="20"/>
                <w:szCs w:val="20"/>
              </w:rPr>
              <w:t xml:space="preserve">Не взимается</w:t>
            </w:r>
            <w:r>
              <w:rPr>
                <w:sz w:val="20"/>
                <w:szCs w:val="20"/>
              </w:rPr>
            </w:r>
            <w:r>
              <w:rPr>
                <w:sz w:val="20"/>
                <w:szCs w:val="20"/>
              </w:rPr>
            </w:r>
          </w:p>
          <w:p>
            <w:pPr>
              <w:pStyle w:val="1135"/>
              <w:ind w:left="74"/>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35"/>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5"/>
              <w:jc w:val="right"/>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35"/>
              <w:jc w:val="both"/>
              <w:spacing w:before="40" w:after="40"/>
              <w:rPr>
                <w:sz w:val="20"/>
                <w:szCs w:val="20"/>
                <w:highlight w:val="none"/>
              </w:rPr>
            </w:pPr>
            <w:r>
              <w:rPr>
                <w:bCs/>
                <w:sz w:val="20"/>
                <w:szCs w:val="20"/>
              </w:rPr>
              <w:t xml:space="preserve">- при кредитовании в рамках льготных программ в соответствии с Перечнем 2 данного раздела 12 «Кредитные операции»</w:t>
            </w:r>
            <w:r>
              <w:rPr>
                <w:sz w:val="20"/>
                <w:szCs w:val="20"/>
              </w:rPr>
              <w:t xml:space="preserve"> настоящих Тарифов </w:t>
            </w:r>
            <w:r>
              <w:rPr>
                <w:bCs/>
                <w:sz w:val="20"/>
                <w:szCs w:val="20"/>
              </w:rPr>
              <w:t xml:space="preserve">на период действия льготной/ увеличенной льготной ставки</w:t>
            </w:r>
            <w:r>
              <w:rPr>
                <w:sz w:val="20"/>
                <w:szCs w:val="20"/>
                <w:highlight w:val="none"/>
              </w:rPr>
            </w:r>
            <w:r>
              <w:rPr>
                <w:sz w:val="20"/>
                <w:szCs w:val="20"/>
                <w:highlight w:val="none"/>
              </w:rPr>
            </w:r>
          </w:p>
          <w:p>
            <w: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35"/>
              <w:ind w:left="74"/>
              <w:jc w:val="center"/>
              <w:spacing w:before="40"/>
              <w:rPr>
                <w:sz w:val="20"/>
                <w:szCs w:val="20"/>
              </w:rPr>
            </w:pPr>
            <w:r>
              <w:rPr>
                <w:sz w:val="20"/>
                <w:szCs w:val="20"/>
              </w:rPr>
              <w:t xml:space="preserve">Не взимается</w:t>
            </w:r>
            <w:r>
              <w:rPr>
                <w:sz w:val="20"/>
                <w:szCs w:val="20"/>
              </w:rPr>
            </w:r>
            <w:r>
              <w:rPr>
                <w:sz w:val="20"/>
                <w:szCs w:val="20"/>
              </w:rPr>
            </w:r>
          </w:p>
          <w:p>
            <w: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851" w:type="dxa"/>
            <w:vAlign w:val="top"/>
            <w:textDirection w:val="lrTb"/>
            <w:noWrap w:val="false"/>
          </w:tcPr>
          <w:p>
            <w:pPr>
              <w:pStyle w:val="1135"/>
              <w:jc w:val="right"/>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3969" w:type="dxa"/>
            <w:vAlign w:val="top"/>
            <w:textDirection w:val="lrTb"/>
            <w:noWrap w:val="false"/>
          </w:tcPr>
          <w:p>
            <w:pPr>
              <w:jc w:val="both"/>
              <w:spacing w:before="40" w:after="40"/>
              <w:rPr>
                <w:sz w:val="20"/>
                <w:szCs w:val="20"/>
              </w:rPr>
            </w:pPr>
            <w:r>
              <w:rPr>
                <w:bCs/>
                <w:sz w:val="20"/>
                <w:szCs w:val="20"/>
                <w:highlight w:val="none"/>
              </w:rPr>
            </w:r>
            <w:r>
              <w:rPr>
                <w:rFonts w:ascii="Times New Roman" w:hAnsi="Times New Roman"/>
                <w:bCs/>
                <w:sz w:val="20"/>
                <w:szCs w:val="20"/>
              </w:rPr>
              <w:t xml:space="preserve">- </w:t>
            </w:r>
            <w:r>
              <w:rPr>
                <w:rFonts w:ascii="Times New Roman" w:hAnsi="Times New Roman"/>
                <w:bCs/>
                <w:sz w:val="20"/>
                <w:szCs w:val="20"/>
              </w:rPr>
              <w:t xml:space="preserve">при кредитовании в рамках решен</w:t>
            </w:r>
            <w:r>
              <w:rPr>
                <w:rFonts w:ascii="Times New Roman" w:hAnsi="Times New Roman"/>
                <w:bCs/>
                <w:sz w:val="20"/>
                <w:szCs w:val="20"/>
              </w:rPr>
              <w:t xml:space="preserve">ия Министерства промышленности и торговли Российской Федерации о порядке предоставления субсидии № 23-60109-00982-Р (принятому в соответствии с постановлением Правительства Российской Федерации от 25.10.2023 № 1780) в течение периода льготного кредитования</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2097" w:type="dxa"/>
            <w:vAlign w:val="top"/>
            <w:textDirection w:val="lrTb"/>
            <w:noWrap w:val="false"/>
          </w:tcPr>
          <w:p>
            <w:pPr>
              <w:jc w:val="center"/>
              <w:rPr>
                <w:sz w:val="20"/>
                <w:szCs w:val="20"/>
              </w:rPr>
            </w:pPr>
            <w:r>
              <w:rPr>
                <w:sz w:val="20"/>
                <w:szCs w:val="20"/>
              </w:rPr>
              <w:t xml:space="preserve">Не более 1,5% годовых</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2977" w:type="dxa"/>
            <w:vAlign w:val="top"/>
            <w:textDirection w:val="lrTb"/>
            <w:noWrap w:val="false"/>
          </w:tcPr>
          <w:p>
            <w:pPr>
              <w:pStyle w:val="1135"/>
              <w:jc w:val="both"/>
              <w:spacing w:before="120" w:after="120" w:line="240" w:lineRule="auto"/>
              <w:tabs>
                <w:tab w:val="left" w:pos="709" w:leader="none"/>
              </w:tabs>
              <w:rPr>
                <w:rFonts w:ascii="Times New Roman" w:hAnsi="Times New Roman"/>
                <w:sz w:val="20"/>
                <w:szCs w:val="20"/>
                <w:highlight w:val="none"/>
              </w:rPr>
            </w:pPr>
            <w:r>
              <w:rPr>
                <w:rFonts w:ascii="Times New Roman" w:hAnsi="Times New Roman"/>
                <w:bCs/>
                <w:sz w:val="20"/>
                <w:szCs w:val="20"/>
              </w:rPr>
              <w:t xml:space="preserve">Комиссия исчисляется от досрочно возвращ</w:t>
            </w:r>
            <w:r>
              <w:rPr>
                <w:rFonts w:ascii="Times New Roman" w:hAnsi="Times New Roman"/>
                <w:bCs/>
                <w:sz w:val="20"/>
                <w:szCs w:val="20"/>
              </w:rPr>
              <w:t xml:space="preserve">аемой</w:t>
            </w:r>
            <w:r>
              <w:rPr>
                <w:rFonts w:ascii="Times New Roman" w:hAnsi="Times New Roman"/>
                <w:bCs/>
                <w:sz w:val="20"/>
                <w:szCs w:val="20"/>
              </w:rPr>
              <w:t xml:space="preserve"> суммы кредита или его части </w:t>
            </w:r>
            <w:r>
              <w:rPr>
                <w:bCs/>
                <w:sz w:val="20"/>
                <w:szCs w:val="20"/>
              </w:rPr>
              <w:t xml:space="preserve">на </w:t>
            </w:r>
            <w:r>
              <w:rPr>
                <w:rFonts w:ascii="Times New Roman" w:hAnsi="Times New Roman" w:eastAsia="Times New Roman"/>
                <w:bCs/>
                <w:sz w:val="20"/>
                <w:szCs w:val="20"/>
              </w:rPr>
              <w:t xml:space="preserve">срок от даты досрочного погашения до плановой даты погашения</w:t>
            </w:r>
            <w:r>
              <w:rPr>
                <w:bCs/>
                <w:sz w:val="20"/>
                <w:szCs w:val="20"/>
              </w:rPr>
              <w:t xml:space="preserve"> </w:t>
            </w:r>
            <w:r>
              <w:rPr>
                <w:rFonts w:ascii="Times New Roman" w:hAnsi="Times New Roman"/>
                <w:bCs/>
                <w:sz w:val="20"/>
                <w:szCs w:val="20"/>
              </w:rPr>
              <w:t xml:space="preserve">и уплачивается в дату досрочного возврата кредита либо его части.</w:t>
            </w:r>
            <w:r>
              <w:rPr>
                <w:rFonts w:ascii="Times New Roman" w:hAnsi="Times New Roman"/>
                <w:sz w:val="20"/>
                <w:szCs w:val="20"/>
                <w:highlight w:val="none"/>
              </w:rPr>
            </w:r>
            <w:r>
              <w:rPr>
                <w:rFonts w:ascii="Times New Roman" w:hAnsi="Times New Roman"/>
                <w:sz w:val="20"/>
                <w:szCs w:val="20"/>
                <w:highlight w:val="non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35"/>
              <w:jc w:val="center"/>
              <w:spacing w:before="120" w:after="40"/>
              <w:rPr>
                <w:bCs/>
                <w:sz w:val="20"/>
                <w:szCs w:val="20"/>
              </w:rPr>
            </w:pPr>
            <w:r>
              <w:rPr>
                <w:bCs/>
                <w:sz w:val="20"/>
                <w:szCs w:val="20"/>
              </w:rPr>
              <w:t xml:space="preserve">12.8.</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135"/>
              <w:jc w:val="both"/>
              <w:spacing w:before="120" w:after="40"/>
              <w:rPr>
                <w:bCs/>
                <w:sz w:val="20"/>
                <w:szCs w:val="20"/>
              </w:rPr>
            </w:pPr>
            <w:r>
              <w:rPr>
                <w:bCs/>
                <w:sz w:val="20"/>
                <w:szCs w:val="20"/>
              </w:rPr>
              <w:t xml:space="preserve">Уменьшение/замена предмета залога (залогового имущества) по договору о залоге по инициативе заемщика</w:t>
            </w:r>
            <w:r>
              <w:rPr>
                <w:color w:val="000000"/>
                <w:sz w:val="20"/>
                <w:szCs w:val="20"/>
              </w:rPr>
              <w:t xml:space="preserve"> в случаях, предусмотренных договором о залоге/ ипотеке</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135"/>
              <w:jc w:val="center"/>
              <w:spacing w:before="40" w:after="40"/>
              <w:rPr>
                <w:sz w:val="20"/>
                <w:szCs w:val="20"/>
              </w:rPr>
            </w:pPr>
            <w:r>
              <w:rPr>
                <w:sz w:val="20"/>
                <w:szCs w:val="20"/>
              </w:rPr>
              <w:t xml:space="preserve">0,2% от суммы, </w:t>
            </w:r>
            <w:r>
              <w:rPr>
                <w:sz w:val="20"/>
                <w:szCs w:val="20"/>
              </w:rPr>
            </w:r>
            <w:r>
              <w:rPr>
                <w:sz w:val="20"/>
                <w:szCs w:val="20"/>
              </w:rPr>
            </w:r>
          </w:p>
          <w:p>
            <w:pPr>
              <w:pStyle w:val="1135"/>
              <w:jc w:val="center"/>
              <w:spacing w:before="40" w:after="40"/>
              <w:rPr>
                <w:sz w:val="20"/>
                <w:szCs w:val="20"/>
              </w:rPr>
            </w:pPr>
            <w:r>
              <w:rPr>
                <w:sz w:val="20"/>
                <w:szCs w:val="20"/>
              </w:rPr>
              <w:t xml:space="preserve">минимум – </w:t>
              <w:br w:type="textWrapping" w:clear="all"/>
              <w:t xml:space="preserve">30 000 руб.,</w:t>
            </w:r>
            <w:r>
              <w:rPr>
                <w:sz w:val="20"/>
                <w:szCs w:val="20"/>
              </w:rPr>
            </w:r>
            <w:r>
              <w:rPr>
                <w:sz w:val="20"/>
                <w:szCs w:val="20"/>
              </w:rPr>
            </w:r>
          </w:p>
          <w:p>
            <w:pPr>
              <w:pStyle w:val="1135"/>
              <w:jc w:val="center"/>
              <w:spacing w:before="40" w:after="40"/>
              <w:rPr>
                <w:sz w:val="20"/>
                <w:szCs w:val="20"/>
              </w:rPr>
            </w:pPr>
            <w:r>
              <w:rPr>
                <w:sz w:val="20"/>
                <w:szCs w:val="20"/>
              </w:rPr>
              <w:t xml:space="preserve">максимум – 150 000 руб.</w:t>
            </w:r>
            <w:r>
              <w:rPr>
                <w:sz w:val="20"/>
                <w:szCs w:val="20"/>
              </w:rPr>
            </w:r>
            <w:r>
              <w:rPr>
                <w:sz w:val="20"/>
                <w:szCs w:val="20"/>
              </w:rPr>
            </w:r>
          </w:p>
        </w:tc>
        <w:tc>
          <w:tcPr>
            <w:tcBorders>
              <w:top w:val="single" w:color="000000" w:sz="4" w:space="0"/>
              <w:left w:val="single" w:color="000000" w:sz="4" w:space="0"/>
              <w:right w:val="single" w:color="000000" w:sz="4" w:space="0"/>
            </w:tcBorders>
            <w:tcW w:w="2977" w:type="dxa"/>
            <w:vAlign w:val="center"/>
            <w:vMerge w:val="restart"/>
            <w:textDirection w:val="lrTb"/>
            <w:noWrap w:val="false"/>
          </w:tcPr>
          <w:p>
            <w:pPr>
              <w:pStyle w:val="1135"/>
              <w:jc w:val="both"/>
              <w:spacing w:before="40"/>
              <w:rPr>
                <w:sz w:val="20"/>
                <w:szCs w:val="20"/>
              </w:rPr>
            </w:pPr>
            <w:r>
              <w:rPr>
                <w:sz w:val="20"/>
                <w:szCs w:val="20"/>
              </w:rPr>
              <w:t xml:space="preserve">Услуга облагается НДС, сумма которого взимается дополнительно.</w:t>
            </w:r>
            <w:r>
              <w:rPr>
                <w:sz w:val="20"/>
                <w:szCs w:val="20"/>
              </w:rPr>
            </w:r>
            <w:r>
              <w:rPr>
                <w:sz w:val="20"/>
                <w:szCs w:val="20"/>
              </w:rPr>
            </w:r>
          </w:p>
          <w:p>
            <w:pPr>
              <w:pStyle w:val="1135"/>
              <w:jc w:val="both"/>
              <w:rPr>
                <w:bCs/>
                <w:sz w:val="20"/>
                <w:szCs w:val="20"/>
              </w:rPr>
            </w:pPr>
            <w:r>
              <w:rPr>
                <w:bCs/>
                <w:sz w:val="20"/>
                <w:szCs w:val="20"/>
              </w:rPr>
              <w:t xml:space="preserve">Комиссия взимается в случае, если залогодателем по кредитной сделке, в рамках которой по инициативе заемщика требуется уменьшение/ замена предмета залога, является сам заемщик.</w:t>
            </w:r>
            <w:r>
              <w:rPr>
                <w:bCs/>
                <w:sz w:val="20"/>
                <w:szCs w:val="20"/>
              </w:rPr>
            </w:r>
            <w:r>
              <w:rPr>
                <w:bCs/>
                <w:sz w:val="20"/>
                <w:szCs w:val="20"/>
              </w:rPr>
            </w:r>
          </w:p>
          <w:p>
            <w:pPr>
              <w:pStyle w:val="1135"/>
              <w:jc w:val="both"/>
              <w:rPr>
                <w:bCs/>
                <w:sz w:val="20"/>
                <w:szCs w:val="20"/>
              </w:rPr>
            </w:pPr>
            <w:r>
              <w:rPr>
                <w:bCs/>
                <w:sz w:val="20"/>
                <w:szCs w:val="20"/>
              </w:rPr>
              <w:t xml:space="preserve">Комиссия начисляется на сумму залоговой стоимости имущества, выводимого из состава обеспечения по кредитной сделке. </w:t>
            </w:r>
            <w:r>
              <w:rPr>
                <w:bCs/>
                <w:sz w:val="20"/>
                <w:szCs w:val="20"/>
              </w:rPr>
            </w:r>
            <w:r>
              <w:rPr>
                <w:bCs/>
                <w:sz w:val="20"/>
                <w:szCs w:val="20"/>
              </w:rPr>
            </w:r>
          </w:p>
          <w:p>
            <w:pPr>
              <w:pStyle w:val="1135"/>
              <w:jc w:val="both"/>
              <w:spacing w:after="40"/>
              <w:rPr>
                <w:bCs/>
                <w:sz w:val="20"/>
                <w:szCs w:val="20"/>
              </w:rPr>
            </w:pPr>
            <w:r>
              <w:rPr>
                <w:bCs/>
                <w:sz w:val="20"/>
                <w:szCs w:val="20"/>
              </w:rPr>
              <w:t xml:space="preserve">Комиссия уплачивается единовременно в день заключения соответствующего(их) дополнительного(ых) соглашения(</w:t>
            </w:r>
            <w:r>
              <w:rPr>
                <w:bCs/>
                <w:sz w:val="20"/>
                <w:szCs w:val="20"/>
              </w:rPr>
              <w:t xml:space="preserve">ий) об изменении условий действующего договора о залоге/ ипотеке и/или кредитного договора (договора об открытии кредитной линии/ дополнительного соглашения к договору банковского счета о кредитовании счета путем предоставления кредита в форме «овердрафт»)</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5"/>
              <w:jc w:val="center"/>
              <w:spacing w:before="40" w:after="40"/>
              <w:rPr>
                <w:sz w:val="20"/>
              </w:rPr>
            </w:pPr>
            <w:r>
              <w:rPr>
                <w:sz w:val="20"/>
              </w:rPr>
            </w:r>
            <w:r>
              <w:rPr>
                <w:sz w:val="20"/>
              </w:rPr>
            </w:r>
            <w:r>
              <w:rPr>
                <w:sz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35"/>
              <w:jc w:val="both"/>
              <w:spacing w:before="40" w:after="40"/>
              <w:tabs>
                <w:tab w:val="left" w:pos="0" w:leader="none"/>
              </w:tabs>
              <w:rPr>
                <w:bCs/>
                <w:sz w:val="20"/>
                <w:szCs w:val="20"/>
              </w:rPr>
            </w:pPr>
            <w:r>
              <w:rPr>
                <w:bCs/>
                <w:sz w:val="20"/>
                <w:szCs w:val="20"/>
              </w:rPr>
              <w:t xml:space="preserve">- при кредитовании в рамках</w:t>
            </w:r>
            <w:r>
              <w:rPr>
                <w:sz w:val="20"/>
                <w:szCs w:val="20"/>
              </w:rPr>
              <w:t xml:space="preserve"> </w:t>
            </w:r>
            <w:r>
              <w:rPr>
                <w:bCs/>
                <w:sz w:val="20"/>
                <w:szCs w:val="20"/>
              </w:rPr>
              <w:t xml:space="preserve">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35"/>
              <w:ind w:left="74"/>
              <w:jc w:val="center"/>
              <w:spacing w:before="40"/>
              <w:tabs>
                <w:tab w:val="left" w:pos="0" w:leader="none"/>
              </w:tabs>
              <w:rPr>
                <w:sz w:val="20"/>
                <w:szCs w:val="20"/>
              </w:rPr>
            </w:pPr>
            <w:r>
              <w:rPr>
                <w:sz w:val="20"/>
                <w:szCs w:val="20"/>
              </w:rPr>
              <w:t xml:space="preserve">Не взимается</w:t>
            </w:r>
            <w:r>
              <w:rPr>
                <w:sz w:val="20"/>
                <w:szCs w:val="20"/>
              </w:rPr>
            </w:r>
            <w:r>
              <w:rPr>
                <w:sz w:val="20"/>
                <w:szCs w:val="20"/>
              </w:rPr>
            </w:r>
          </w:p>
          <w:p>
            <w:pPr>
              <w:pStyle w:val="1135"/>
              <w:ind w:left="74"/>
              <w:jc w:val="center"/>
              <w:spacing w:before="40"/>
              <w:tabs>
                <w:tab w:val="left" w:pos="0" w:leader="none"/>
              </w:tabs>
              <w:rPr>
                <w:sz w:val="20"/>
                <w:szCs w:val="20"/>
              </w:rPr>
            </w:pPr>
            <w:r>
              <w:rPr>
                <w:sz w:val="20"/>
                <w:szCs w:val="20"/>
              </w:rPr>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135"/>
              <w:jc w:val="both"/>
              <w:spacing w:before="40"/>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5"/>
              <w:jc w:val="center"/>
              <w:spacing w:before="40"/>
              <w:rPr>
                <w:sz w:val="20"/>
              </w:rPr>
            </w:pPr>
            <w:r>
              <w:rPr>
                <w:sz w:val="20"/>
              </w:rPr>
            </w:r>
            <w:r>
              <w:rPr>
                <w:sz w:val="20"/>
              </w:rPr>
            </w:r>
            <w:r>
              <w:rPr>
                <w:sz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35"/>
              <w:jc w:val="both"/>
              <w:spacing w:before="40" w:after="40"/>
              <w:rPr>
                <w:sz w:val="20"/>
                <w:szCs w:val="20"/>
              </w:rPr>
            </w:pPr>
            <w:r>
              <w:rPr>
                <w:sz w:val="20"/>
                <w:szCs w:val="20"/>
              </w:rPr>
              <w:t xml:space="preserve">- при кредитовании в соответствии с Положением о предоставлении кредитов в рамках </w:t>
            </w:r>
            <w:r>
              <w:rPr>
                <w:bCs/>
                <w:sz w:val="20"/>
                <w:szCs w:val="20"/>
              </w:rPr>
              <w:t xml:space="preserve">реализации Программы стимулирования кредитования субъектов</w:t>
            </w:r>
            <w:r>
              <w:rPr>
                <w:sz w:val="20"/>
                <w:szCs w:val="20"/>
              </w:rPr>
              <w:t xml:space="preserve"> малого и среднего предпринимательства </w:t>
            </w:r>
            <w:r>
              <w:rPr>
                <w:sz w:val="20"/>
                <w:szCs w:val="20"/>
              </w:rPr>
            </w:r>
            <w:r>
              <w:rPr>
                <w:sz w:val="20"/>
                <w:szCs w:val="20"/>
              </w:rPr>
            </w:r>
          </w:p>
          <w:p>
            <w:pPr>
              <w:pStyle w:val="1135"/>
              <w:jc w:val="both"/>
              <w:spacing w:before="40" w:after="40"/>
              <w:rPr>
                <w:sz w:val="20"/>
                <w:szCs w:val="20"/>
              </w:rPr>
            </w:pPr>
            <w:r>
              <w:rPr>
                <w:sz w:val="20"/>
                <w:szCs w:val="20"/>
              </w:rPr>
              <w:t xml:space="preserve">№ 540-П на период действия льготных условий</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35"/>
              <w:ind w:left="74"/>
              <w:jc w:val="center"/>
              <w:spacing w:before="40"/>
              <w:tabs>
                <w:tab w:val="left" w:pos="0" w:leader="none"/>
              </w:tabs>
              <w:rPr>
                <w:bCs/>
                <w:sz w:val="20"/>
                <w:szCs w:val="20"/>
              </w:rPr>
            </w:pPr>
            <w:r>
              <w:rPr>
                <w:bCs/>
                <w:sz w:val="20"/>
                <w:szCs w:val="20"/>
              </w:rPr>
              <w:t xml:space="preserve">Не взимается</w:t>
            </w:r>
            <w:r>
              <w:rPr>
                <w:bCs/>
                <w:sz w:val="20"/>
                <w:szCs w:val="20"/>
              </w:rPr>
            </w:r>
            <w:r>
              <w:rPr>
                <w:bCs/>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135"/>
              <w:jc w:val="both"/>
              <w:spacing w:before="40"/>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851" w:type="dxa"/>
            <w:vAlign w:val="top"/>
            <w:textDirection w:val="lrTb"/>
            <w:noWrap w:val="false"/>
          </w:tcPr>
          <w:p>
            <w:pPr>
              <w:pStyle w:val="1135"/>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3969" w:type="dxa"/>
            <w:vAlign w:val="top"/>
            <w:textDirection w:val="lrTb"/>
            <w:noWrap w:val="false"/>
          </w:tcPr>
          <w:p>
            <w:pPr>
              <w:pStyle w:val="1135"/>
              <w:jc w:val="both"/>
              <w:spacing w:before="40" w:after="40"/>
              <w:rPr>
                <w:bCs/>
                <w:sz w:val="20"/>
                <w:szCs w:val="20"/>
              </w:rPr>
            </w:pPr>
            <w:r>
              <w:rPr>
                <w:bCs/>
                <w:sz w:val="20"/>
                <w:szCs w:val="20"/>
              </w:rPr>
              <w:t xml:space="preserve">- при кредитовании в рамках льготных программ в соответствии с Перечнем 1 раздела 12 «Кредитные операции» настоящих Тарифов на период действия льготной/ увеличенной льготной ставки</w:t>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2097" w:type="dxa"/>
            <w:vAlign w:val="top"/>
            <w:textDirection w:val="lrTb"/>
            <w:noWrap w:val="false"/>
          </w:tcPr>
          <w:p>
            <w:pPr>
              <w:pStyle w:val="1135"/>
              <w:ind w:left="74"/>
              <w:jc w:val="center"/>
              <w:spacing w:before="40"/>
              <w:tabs>
                <w:tab w:val="left" w:pos="0" w:leader="none"/>
              </w:tabs>
              <w:rPr>
                <w:sz w:val="20"/>
                <w:szCs w:val="20"/>
              </w:rPr>
            </w:pPr>
            <w:r>
              <w:rPr>
                <w:bCs/>
                <w:sz w:val="20"/>
                <w:szCs w:val="20"/>
              </w:rPr>
              <w:t xml:space="preserve">Не взимается</w:t>
            </w:r>
            <w:r>
              <w:rPr>
                <w:sz w:val="20"/>
                <w:szCs w:val="20"/>
              </w:rPr>
            </w:r>
            <w:r>
              <w:rPr>
                <w:sz w:val="20"/>
                <w:szCs w:val="20"/>
              </w:rPr>
            </w:r>
          </w:p>
        </w:tc>
        <w:tc>
          <w:tcPr>
            <w:tcBorders>
              <w:left w:val="single" w:color="000000" w:sz="4" w:space="0"/>
              <w:bottom w:val="single" w:color="000000" w:sz="4" w:space="0"/>
              <w:right w:val="single" w:color="000000" w:sz="4" w:space="0"/>
            </w:tcBorders>
            <w:tcW w:w="2977" w:type="dxa"/>
            <w:vAlign w:val="center"/>
            <w:vMerge w:val="continue"/>
            <w:textDirection w:val="lrTb"/>
            <w:noWrap w:val="false"/>
          </w:tcPr>
          <w:p>
            <w:pPr>
              <w:pStyle w:val="1135"/>
              <w:jc w:val="both"/>
              <w:spacing w:before="40"/>
              <w:rPr>
                <w:sz w:val="20"/>
                <w:szCs w:val="20"/>
              </w:rPr>
            </w:pPr>
            <w:r>
              <w:rPr>
                <w:sz w:val="20"/>
                <w:szCs w:val="20"/>
              </w:rPr>
            </w:r>
            <w:r>
              <w:rPr>
                <w:sz w:val="20"/>
                <w:szCs w:val="20"/>
              </w:rPr>
            </w:r>
            <w:r>
              <w:rPr>
                <w:sz w:val="20"/>
                <w:szCs w:val="20"/>
              </w:rPr>
            </w:r>
          </w:p>
        </w:tc>
      </w:tr>
    </w:tbl>
    <w:p>
      <w:pPr>
        <w:pStyle w:val="1135"/>
        <w:ind w:left="284"/>
        <w:jc w:val="both"/>
        <w:rPr>
          <w:bCs/>
          <w:sz w:val="20"/>
          <w:szCs w:val="20"/>
        </w:rPr>
      </w:pPr>
      <w:r>
        <w:rPr>
          <w:bCs/>
          <w:sz w:val="20"/>
          <w:szCs w:val="20"/>
        </w:rPr>
      </w:r>
      <w:r>
        <w:rPr>
          <w:bCs/>
          <w:sz w:val="20"/>
          <w:szCs w:val="20"/>
        </w:rPr>
      </w:r>
      <w:r>
        <w:rPr>
          <w:bCs/>
          <w:sz w:val="20"/>
          <w:szCs w:val="20"/>
        </w:rPr>
      </w:r>
    </w:p>
    <w:p>
      <w:pPr>
        <w:pStyle w:val="1135"/>
        <w:jc w:val="both"/>
        <w:rPr>
          <w:bCs/>
          <w:sz w:val="20"/>
          <w:szCs w:val="20"/>
        </w:rPr>
      </w:pPr>
      <w:r>
        <w:rPr>
          <w:bCs/>
          <w:sz w:val="20"/>
          <w:szCs w:val="20"/>
        </w:rPr>
        <w:t xml:space="preserve">В настоящем разделе Тарифов Банка используется следующий термин:</w:t>
      </w:r>
      <w:r>
        <w:rPr>
          <w:bCs/>
          <w:sz w:val="20"/>
          <w:szCs w:val="20"/>
        </w:rPr>
      </w:r>
      <w:r>
        <w:rPr>
          <w:bCs/>
          <w:sz w:val="20"/>
          <w:szCs w:val="20"/>
        </w:rPr>
      </w:r>
    </w:p>
    <w:p>
      <w:pPr>
        <w:pStyle w:val="1135"/>
        <w:jc w:val="both"/>
        <w:tabs>
          <w:tab w:val="left" w:pos="1134" w:leader="none"/>
        </w:tabs>
        <w:rPr>
          <w:bCs/>
          <w:sz w:val="20"/>
          <w:szCs w:val="20"/>
        </w:rPr>
      </w:pPr>
      <w:r>
        <w:rPr>
          <w:bCs/>
          <w:sz w:val="20"/>
          <w:szCs w:val="20"/>
          <w:u w:val="single"/>
        </w:rPr>
        <w:t xml:space="preserve">Лимит кредитования</w:t>
      </w:r>
      <w:r>
        <w:rPr>
          <w:bCs/>
          <w:sz w:val="20"/>
          <w:szCs w:val="20"/>
        </w:rPr>
        <w:t xml:space="preserve"> (от которого исчисляется сумма комиссионного вознаграждения) – установленный заемщику по договору об открытии кредитной линии лимит вы</w:t>
      </w:r>
      <w:r>
        <w:rPr>
          <w:bCs/>
          <w:sz w:val="20"/>
          <w:szCs w:val="20"/>
        </w:rPr>
        <w:t xml:space="preserve">дачи или лимит единовременной задолженности, а в случае открытия кредитной линии с одновременным установлением лимита выдачи и лимита единовременной задолженности – лимит задолженности, либо в случае выдачи кредита в форме «овердрафт» – лимит «овердрафта».</w:t>
      </w:r>
      <w:r>
        <w:rPr>
          <w:bCs/>
          <w:sz w:val="20"/>
          <w:szCs w:val="20"/>
        </w:rPr>
      </w:r>
      <w:r>
        <w:rPr>
          <w:bCs/>
          <w:sz w:val="20"/>
          <w:szCs w:val="20"/>
        </w:rPr>
      </w:r>
    </w:p>
    <w:p>
      <w:pPr>
        <w:pStyle w:val="1135"/>
        <w:jc w:val="both"/>
        <w:spacing w:before="120"/>
        <w:rPr>
          <w:i/>
          <w:sz w:val="20"/>
          <w:szCs w:val="20"/>
        </w:rPr>
      </w:pPr>
      <w:r>
        <w:rPr>
          <w:bCs/>
          <w:iCs/>
          <w:sz w:val="20"/>
          <w:szCs w:val="20"/>
          <w:u w:val="single"/>
        </w:rPr>
        <w:t xml:space="preserve">Примечание</w:t>
      </w:r>
      <w:r>
        <w:rPr>
          <w:bCs/>
          <w:iCs/>
          <w:sz w:val="20"/>
          <w:szCs w:val="20"/>
        </w:rPr>
        <w:t xml:space="preserve">: </w:t>
      </w:r>
      <w:r>
        <w:rPr>
          <w:i/>
          <w:sz w:val="20"/>
          <w:szCs w:val="20"/>
        </w:rPr>
      </w:r>
      <w:r>
        <w:rPr>
          <w:i/>
          <w:sz w:val="20"/>
          <w:szCs w:val="20"/>
        </w:rPr>
      </w:r>
    </w:p>
    <w:p>
      <w:pPr>
        <w:pStyle w:val="1135"/>
        <w:jc w:val="both"/>
        <w:spacing w:before="40"/>
        <w:tabs>
          <w:tab w:val="left" w:pos="284" w:leader="none"/>
          <w:tab w:val="left" w:pos="1134" w:leader="none"/>
        </w:tabs>
        <w:rPr>
          <w:sz w:val="20"/>
          <w:szCs w:val="20"/>
        </w:rPr>
      </w:pPr>
      <w:r>
        <w:rPr>
          <w:sz w:val="20"/>
          <w:szCs w:val="20"/>
        </w:rPr>
        <w:t xml:space="preserve">1.</w:t>
        <w:tab/>
        <w:t xml:space="preserve">Точный размер комиссии определяется уполномоченным органом Банка, к компетенции которого относится принятие решения по кредитной сделке.</w:t>
      </w:r>
      <w:r>
        <w:rPr>
          <w:sz w:val="20"/>
          <w:szCs w:val="20"/>
        </w:rPr>
      </w:r>
      <w:r>
        <w:rPr>
          <w:sz w:val="20"/>
          <w:szCs w:val="20"/>
        </w:rPr>
      </w:r>
    </w:p>
    <w:p>
      <w:pPr>
        <w:pStyle w:val="1135"/>
        <w:jc w:val="both"/>
        <w:tabs>
          <w:tab w:val="left" w:pos="284" w:leader="none"/>
          <w:tab w:val="left" w:pos="1134" w:leader="none"/>
        </w:tabs>
        <w:rPr>
          <w:sz w:val="20"/>
        </w:rPr>
      </w:pPr>
      <w:r>
        <w:rPr>
          <w:bCs/>
          <w:iCs/>
          <w:sz w:val="20"/>
          <w:szCs w:val="20"/>
        </w:rPr>
        <w:t xml:space="preserve">2.</w:t>
        <w:tab/>
        <w:t xml:space="preserve">Установление размера(ов) ком</w:t>
      </w:r>
      <w:r>
        <w:rPr>
          <w:bCs/>
          <w:iCs/>
          <w:sz w:val="20"/>
          <w:szCs w:val="20"/>
        </w:rPr>
        <w:t xml:space="preserve">иссии(ий) и/или иного порядка её(их) уплаты, не предусмотренных настоящим разделом Тарифов, при наличии соответствующего экономического обоснования регионального филиала/ кредитного подразделения головного офиса Банка, осуществляется в соответствии с решен</w:t>
      </w:r>
      <w:r>
        <w:rPr>
          <w:bCs/>
          <w:iCs/>
          <w:sz w:val="20"/>
          <w:szCs w:val="20"/>
        </w:rPr>
        <w:t xml:space="preserve">ием уполномоченного органа головного офиса Банка (Комитета по управлению активами и пассивами АО «Россельхозбанк» либо Кредитного комитета АО «Россельхозбанк», либо Правления АО «Россельхозбанк») и оформляется отдельным соглашением между Банком и Клиентом.</w:t>
      </w:r>
      <w:r>
        <w:rPr>
          <w:sz w:val="20"/>
        </w:rPr>
      </w:r>
      <w:r>
        <w:rPr>
          <w:sz w:val="20"/>
        </w:rPr>
      </w:r>
    </w:p>
    <w:p>
      <w:pPr>
        <w:pStyle w:val="1135"/>
        <w:jc w:val="both"/>
        <w:spacing w:before="120"/>
        <w:rPr>
          <w:b/>
          <w:bCs/>
          <w:iCs/>
          <w:sz w:val="20"/>
          <w:szCs w:val="20"/>
          <w:u w:val="single"/>
        </w:rPr>
        <w:outlineLvl w:val="5"/>
      </w:pPr>
      <w:r>
        <w:rPr>
          <w:b/>
          <w:bCs/>
          <w:iCs/>
          <w:sz w:val="20"/>
          <w:szCs w:val="20"/>
          <w:u w:val="single"/>
        </w:rPr>
        <w:t xml:space="preserve">Л</w:t>
      </w:r>
      <w:r>
        <w:rPr>
          <w:b/>
          <w:bCs/>
          <w:iCs/>
          <w:sz w:val="20"/>
          <w:szCs w:val="20"/>
          <w:u w:val="single"/>
        </w:rPr>
        <w:t xml:space="preserve">ьготны</w:t>
      </w:r>
      <w:r>
        <w:rPr>
          <w:b/>
          <w:bCs/>
          <w:iCs/>
          <w:sz w:val="20"/>
          <w:szCs w:val="20"/>
          <w:u w:val="single"/>
        </w:rPr>
        <w:t xml:space="preserve">е</w:t>
      </w:r>
      <w:r>
        <w:rPr>
          <w:b/>
          <w:bCs/>
          <w:iCs/>
          <w:sz w:val="20"/>
          <w:szCs w:val="20"/>
          <w:u w:val="single"/>
        </w:rPr>
        <w:t xml:space="preserve"> программ</w:t>
      </w:r>
      <w:r>
        <w:rPr>
          <w:b/>
          <w:bCs/>
          <w:iCs/>
          <w:sz w:val="20"/>
          <w:szCs w:val="20"/>
          <w:u w:val="single"/>
        </w:rPr>
        <w:t xml:space="preserve">ы</w:t>
      </w:r>
      <w:r>
        <w:rPr>
          <w:b/>
          <w:bCs/>
          <w:iCs/>
          <w:sz w:val="20"/>
          <w:szCs w:val="20"/>
          <w:u w:val="single"/>
        </w:rPr>
        <w:t xml:space="preserve">, комиссии по которым не взимаются</w:t>
      </w:r>
      <w:r>
        <w:rPr>
          <w:b/>
          <w:bCs/>
          <w:iCs/>
          <w:sz w:val="20"/>
          <w:szCs w:val="20"/>
          <w:u w:val="single"/>
        </w:rPr>
        <w:t xml:space="preserve"> в соответствии с Перечнями 1-2</w:t>
      </w:r>
      <w:r>
        <w:rPr>
          <w:b/>
          <w:bCs/>
          <w:iCs/>
          <w:sz w:val="20"/>
          <w:szCs w:val="20"/>
          <w:u w:val="single"/>
        </w:rPr>
        <w:t xml:space="preserve">:</w:t>
      </w:r>
      <w:r>
        <w:rPr>
          <w:b/>
          <w:bCs/>
          <w:iCs/>
          <w:sz w:val="20"/>
          <w:szCs w:val="20"/>
          <w:u w:val="single"/>
        </w:rPr>
      </w:r>
      <w:r>
        <w:rPr>
          <w:b/>
          <w:bCs/>
          <w:iCs/>
          <w:sz w:val="20"/>
          <w:szCs w:val="20"/>
          <w:u w:val="single"/>
        </w:rPr>
      </w:r>
    </w:p>
    <w:p>
      <w:pPr>
        <w:pStyle w:val="1135"/>
        <w:jc w:val="both"/>
        <w:spacing w:before="40"/>
        <w:rPr>
          <w:bCs/>
          <w:iCs/>
          <w:sz w:val="20"/>
          <w:szCs w:val="20"/>
        </w:rPr>
        <w:outlineLvl w:val="5"/>
      </w:pPr>
      <w:r>
        <w:rPr>
          <w:bCs/>
          <w:iCs/>
          <w:sz w:val="20"/>
          <w:szCs w:val="20"/>
        </w:rPr>
        <w:t xml:space="preserve">- при кредитовании в рамках П</w:t>
      </w:r>
      <w:r>
        <w:rPr>
          <w:bCs/>
          <w:iCs/>
          <w:sz w:val="20"/>
          <w:szCs w:val="20"/>
        </w:rPr>
        <w:t xml:space="preserve">равил предоставления субсидий из федерального бюджета российским кредитным организациям и государственной корпорации развития «ВЭБ.РФ» на возмещение недополученных ими доходов по кредитам, выданным по льготной ставке инвесторам для реализации инвестиционны</w:t>
      </w:r>
      <w:r>
        <w:rPr>
          <w:bCs/>
          <w:iCs/>
          <w:sz w:val="20"/>
          <w:szCs w:val="20"/>
        </w:rPr>
        <w:t xml:space="preserve">х проектов, необходимых для устойчивого развития внутреннего и въездного туризма, создания и развития туристских кластеров, способствующих развитию внутреннего и въездного туризма (утв. постановлением Правительства Российской Федерации от 09.02.2021 № 141)</w:t>
      </w:r>
      <w:r>
        <w:rPr>
          <w:bCs/>
          <w:iCs/>
          <w:sz w:val="20"/>
          <w:szCs w:val="20"/>
        </w:rPr>
        <w:t xml:space="preserve"> (далее – ППРФ </w:t>
      </w:r>
      <w:r>
        <w:rPr>
          <w:bCs/>
          <w:iCs/>
          <w:sz w:val="20"/>
          <w:szCs w:val="20"/>
        </w:rPr>
        <w:t xml:space="preserve">от 09.02.2021 № 141</w:t>
      </w:r>
      <w:r>
        <w:rPr>
          <w:bCs/>
          <w:iCs/>
          <w:sz w:val="20"/>
          <w:szCs w:val="20"/>
        </w:rPr>
        <w:t xml:space="preserve">);</w:t>
      </w:r>
      <w:r>
        <w:rPr>
          <w:bCs/>
          <w:iCs/>
          <w:sz w:val="20"/>
          <w:szCs w:val="20"/>
        </w:rPr>
      </w:r>
      <w:r>
        <w:rPr>
          <w:bCs/>
          <w:iCs/>
          <w:sz w:val="20"/>
          <w:szCs w:val="20"/>
        </w:rPr>
      </w:r>
    </w:p>
    <w:p>
      <w:pPr>
        <w:pStyle w:val="1135"/>
        <w:jc w:val="both"/>
        <w:spacing w:before="40"/>
        <w:rPr>
          <w:bCs/>
          <w:iCs/>
          <w:sz w:val="20"/>
          <w:szCs w:val="20"/>
        </w:rPr>
        <w:outlineLvl w:val="5"/>
      </w:pPr>
      <w:r>
        <w:rPr>
          <w:bCs/>
          <w:iCs/>
          <w:sz w:val="20"/>
          <w:szCs w:val="20"/>
        </w:rPr>
        <w:t xml:space="preserve">- при кредитовании в рамках Правил правила пр</w:t>
      </w:r>
      <w:r>
        <w:rPr>
          <w:bCs/>
          <w:iCs/>
          <w:sz w:val="20"/>
          <w:szCs w:val="20"/>
        </w:rPr>
        <w:t xml:space="preserve">едоставления из федерального бюджета субсидий в целях обеспечения льготного кредитования проектов по цифровой трансформации, реализуемых на основе российских решений в сфере информационных технологий (утв. постановлением Правительства Российской Федерации </w:t>
      </w:r>
      <w:r>
        <w:rPr>
          <w:bCs/>
          <w:iCs/>
          <w:sz w:val="20"/>
          <w:szCs w:val="20"/>
        </w:rPr>
        <w:br w:type="textWrapping" w:clear="all"/>
      </w:r>
      <w:r>
        <w:rPr>
          <w:bCs/>
          <w:iCs/>
          <w:sz w:val="20"/>
          <w:szCs w:val="20"/>
        </w:rPr>
        <w:t xml:space="preserve">от 05.12.2019 № 1598) </w:t>
      </w:r>
      <w:r>
        <w:rPr>
          <w:bCs/>
          <w:iCs/>
          <w:sz w:val="20"/>
          <w:szCs w:val="20"/>
        </w:rPr>
        <w:t xml:space="preserve">(далее – ППРФ </w:t>
      </w:r>
      <w:r>
        <w:rPr>
          <w:bCs/>
          <w:iCs/>
          <w:sz w:val="20"/>
          <w:szCs w:val="20"/>
        </w:rPr>
        <w:t xml:space="preserve">от 05.12.2019 № 1598</w:t>
      </w:r>
      <w:r>
        <w:rPr>
          <w:bCs/>
          <w:iCs/>
          <w:sz w:val="20"/>
          <w:szCs w:val="20"/>
        </w:rPr>
        <w:t xml:space="preserve">); </w:t>
      </w:r>
      <w:r>
        <w:rPr>
          <w:bCs/>
          <w:iCs/>
          <w:sz w:val="20"/>
          <w:szCs w:val="20"/>
        </w:rPr>
      </w:r>
      <w:r>
        <w:rPr>
          <w:bCs/>
          <w:iCs/>
          <w:sz w:val="20"/>
          <w:szCs w:val="20"/>
        </w:rPr>
      </w:r>
    </w:p>
    <w:p>
      <w:pPr>
        <w:pStyle w:val="1135"/>
        <w:jc w:val="both"/>
        <w:spacing w:before="40"/>
        <w:rPr>
          <w:bCs/>
          <w:iCs/>
          <w:sz w:val="20"/>
          <w:szCs w:val="20"/>
        </w:rPr>
        <w:outlineLvl w:val="5"/>
      </w:pPr>
      <w:r>
        <w:rPr>
          <w:bCs/>
          <w:iCs/>
          <w:sz w:val="20"/>
          <w:szCs w:val="20"/>
        </w:rPr>
        <w:t xml:space="preserve">- при кредитовании в рамках Правил предоставления субсидий из федерального бюджета российским кредитным организациям</w:t>
      </w:r>
      <w:r>
        <w:rPr>
          <w:bCs/>
          <w:iCs/>
          <w:sz w:val="20"/>
          <w:szCs w:val="20"/>
        </w:rPr>
        <w:t xml:space="preserve"> на возмещение недополученных ими доходов по кредитам, выданным субъектам малого и среднего предпринимательства на реализацию проектов в приоритетных отраслях по льготной ставке (утв. постановлением Правительства Российской Федерации от 30.12.2017 № 1706) </w:t>
      </w:r>
      <w:r>
        <w:rPr>
          <w:bCs/>
          <w:iCs/>
          <w:sz w:val="20"/>
          <w:szCs w:val="20"/>
        </w:rPr>
        <w:t xml:space="preserve">(далее – ППРФ </w:t>
      </w:r>
      <w:r>
        <w:rPr>
          <w:bCs/>
          <w:iCs/>
          <w:sz w:val="20"/>
          <w:szCs w:val="20"/>
        </w:rPr>
        <w:t xml:space="preserve">от 30.12.2017 № 1706</w:t>
      </w:r>
      <w:r>
        <w:rPr>
          <w:bCs/>
          <w:iCs/>
          <w:sz w:val="20"/>
          <w:szCs w:val="20"/>
        </w:rPr>
        <w:t xml:space="preserve">); </w:t>
      </w:r>
      <w:r>
        <w:rPr>
          <w:bCs/>
          <w:iCs/>
          <w:sz w:val="20"/>
          <w:szCs w:val="20"/>
        </w:rPr>
      </w:r>
      <w:r>
        <w:rPr>
          <w:bCs/>
          <w:iCs/>
          <w:sz w:val="20"/>
          <w:szCs w:val="20"/>
        </w:rPr>
      </w:r>
    </w:p>
    <w:p>
      <w:pPr>
        <w:pStyle w:val="1135"/>
        <w:jc w:val="both"/>
        <w:spacing w:before="40"/>
        <w:rPr>
          <w:bCs/>
          <w:iCs/>
          <w:sz w:val="20"/>
          <w:szCs w:val="20"/>
        </w:rPr>
        <w:outlineLvl w:val="5"/>
      </w:pPr>
      <w:r>
        <w:rPr>
          <w:bCs/>
          <w:iCs/>
          <w:sz w:val="20"/>
          <w:szCs w:val="20"/>
        </w:rPr>
        <w:t xml:space="preserve">- при кредитовании в рамках Правил предоставления из федерального бюджета с</w:t>
      </w:r>
      <w:r>
        <w:rPr>
          <w:bCs/>
          <w:iCs/>
          <w:sz w:val="20"/>
          <w:szCs w:val="20"/>
        </w:rPr>
        <w:t xml:space="preserve">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w:t>
      </w:r>
      <w:r>
        <w:rPr>
          <w:bCs/>
          <w:iCs/>
          <w:sz w:val="20"/>
          <w:szCs w:val="20"/>
        </w:rPr>
        <w:t xml:space="preserve">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w:t>
      </w:r>
      <w:r>
        <w:rPr>
          <w:bCs/>
          <w:iCs/>
          <w:sz w:val="20"/>
          <w:szCs w:val="20"/>
        </w:rPr>
        <w:br w:type="textWrapping" w:clear="all"/>
      </w:r>
      <w:r>
        <w:rPr>
          <w:bCs/>
          <w:iCs/>
          <w:sz w:val="20"/>
          <w:szCs w:val="20"/>
        </w:rPr>
        <w:t xml:space="preserve">(утв. постановлением Правительства Российской Федерации от 29.12.2016 № 1528) (далее – ППРФ от 29.12.2016 </w:t>
      </w:r>
      <w:r>
        <w:rPr>
          <w:bCs/>
          <w:iCs/>
          <w:sz w:val="20"/>
          <w:szCs w:val="20"/>
        </w:rPr>
        <w:br w:type="textWrapping" w:clear="all"/>
      </w:r>
      <w:r>
        <w:rPr>
          <w:bCs/>
          <w:iCs/>
          <w:sz w:val="20"/>
          <w:szCs w:val="20"/>
        </w:rPr>
        <w:t xml:space="preserve">№ 1528)</w:t>
      </w:r>
      <w:r>
        <w:rPr>
          <w:bCs/>
          <w:iCs/>
          <w:sz w:val="20"/>
          <w:szCs w:val="20"/>
        </w:rPr>
        <w:t xml:space="preserve">;</w:t>
      </w:r>
      <w:r>
        <w:rPr>
          <w:bCs/>
          <w:iCs/>
          <w:sz w:val="20"/>
          <w:szCs w:val="20"/>
        </w:rPr>
        <w:t xml:space="preserve"> </w:t>
      </w:r>
      <w:r>
        <w:rPr>
          <w:bCs/>
          <w:iCs/>
          <w:sz w:val="20"/>
          <w:szCs w:val="20"/>
        </w:rPr>
      </w:r>
      <w:r>
        <w:rPr>
          <w:bCs/>
          <w:iCs/>
          <w:sz w:val="20"/>
          <w:szCs w:val="20"/>
        </w:rPr>
      </w:r>
    </w:p>
    <w:p>
      <w:pPr>
        <w:pStyle w:val="1135"/>
        <w:jc w:val="both"/>
        <w:spacing w:before="40"/>
        <w:rPr>
          <w:bCs/>
          <w:iCs/>
          <w:sz w:val="20"/>
          <w:szCs w:val="20"/>
        </w:rPr>
        <w:outlineLvl w:val="5"/>
      </w:pPr>
      <w:r>
        <w:rPr>
          <w:sz w:val="20"/>
        </w:rPr>
        <w:t xml:space="preserve">- при кредитовании в рамках Правил предоставления из федерального бюджета субсиди</w:t>
      </w:r>
      <w:r>
        <w:rPr>
          <w:sz w:val="20"/>
        </w:rPr>
        <w:t xml:space="preserve">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w:t>
      </w:r>
      <w:r>
        <w:rPr>
          <w:sz w:val="20"/>
        </w:rPr>
        <w:t xml:space="preserve">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(утв. </w:t>
      </w:r>
      <w:r>
        <w:rPr>
          <w:bCs/>
          <w:iCs/>
          <w:sz w:val="20"/>
          <w:szCs w:val="20"/>
        </w:rPr>
        <w:t xml:space="preserve">постановлением Правительства Российской Федерации от 26.04.2019 № 512) (далее – ППРФ от 26.04.2019 № 512)</w:t>
      </w:r>
      <w:r>
        <w:rPr>
          <w:bCs/>
          <w:iCs/>
          <w:sz w:val="20"/>
          <w:szCs w:val="20"/>
        </w:rPr>
        <w:t xml:space="preserve">;</w:t>
      </w:r>
      <w:r>
        <w:rPr>
          <w:bCs/>
          <w:iCs/>
          <w:sz w:val="20"/>
          <w:szCs w:val="20"/>
        </w:rPr>
        <w:t xml:space="preserve"> </w:t>
      </w:r>
      <w:r>
        <w:rPr>
          <w:bCs/>
          <w:iCs/>
          <w:sz w:val="20"/>
          <w:szCs w:val="20"/>
        </w:rPr>
      </w:r>
      <w:r>
        <w:rPr>
          <w:bCs/>
          <w:iCs/>
          <w:sz w:val="20"/>
          <w:szCs w:val="20"/>
        </w:rPr>
      </w:r>
    </w:p>
    <w:p>
      <w:pPr>
        <w:pStyle w:val="1135"/>
        <w:jc w:val="both"/>
        <w:spacing w:before="40"/>
        <w:rPr>
          <w:bCs/>
          <w:iCs/>
          <w:sz w:val="20"/>
          <w:szCs w:val="20"/>
        </w:rPr>
        <w:outlineLvl w:val="5"/>
      </w:pPr>
      <w:r>
        <w:rPr>
          <w:sz w:val="20"/>
        </w:rPr>
        <w:t xml:space="preserve">- при кредитовании в рамках Правил предоставления субсидий из федерального бюджета российским кредитным организациям, международным финансовым организациям и государственной корпорации развития «ВЭБ.РФ» на возмещение недополученных доход</w:t>
      </w:r>
      <w:r>
        <w:rPr>
          <w:sz w:val="20"/>
        </w:rPr>
        <w:t xml:space="preserve">ов по кредитам (займам), выданным индивидуальным предпринимателям и организациям, зарегистрированным на сельских территориях (сельских агломерациях), на развитие инженерной и транспортной инфраструктуры, строительство жилых зданий по льготной ставке (утв. </w:t>
      </w:r>
      <w:r>
        <w:rPr>
          <w:bCs/>
          <w:iCs/>
          <w:sz w:val="20"/>
          <w:szCs w:val="20"/>
        </w:rPr>
        <w:t xml:space="preserve">постановлением Правительства Российской Федерации от 24.12.2019 № 1804) (дал</w:t>
      </w:r>
      <w:r>
        <w:rPr>
          <w:bCs/>
          <w:iCs/>
          <w:sz w:val="20"/>
          <w:szCs w:val="20"/>
        </w:rPr>
        <w:t xml:space="preserve">ее – ППРФ от 24.12.2019 № 1804);</w:t>
      </w:r>
      <w:r>
        <w:rPr>
          <w:bCs/>
          <w:iCs/>
          <w:sz w:val="20"/>
          <w:szCs w:val="20"/>
        </w:rPr>
      </w:r>
      <w:r>
        <w:rPr>
          <w:bCs/>
          <w:iCs/>
          <w:sz w:val="20"/>
          <w:szCs w:val="20"/>
        </w:rPr>
      </w:r>
    </w:p>
    <w:p>
      <w:pPr>
        <w:pStyle w:val="1135"/>
        <w:jc w:val="both"/>
        <w:spacing w:before="40"/>
        <w:rPr>
          <w:bCs/>
          <w:iCs/>
          <w:sz w:val="20"/>
          <w:szCs w:val="20"/>
        </w:rPr>
        <w:outlineLvl w:val="5"/>
      </w:pPr>
      <w:r>
        <w:rPr>
          <w:sz w:val="20"/>
        </w:rPr>
        <w:t xml:space="preserve">- при кредитовании в рамках Правил предоставления субсидий из федерального бюджета российским кредитным организациям и специализированным финансовым обществам </w:t>
      </w:r>
      <w:r>
        <w:rPr>
          <w:sz w:val="20"/>
        </w:rPr>
        <w:t xml:space="preserve">на возмещение недополученных ими доходов по кредитам, выданным в 2019-2024 годах субъектам малого и среднего предпринимательства, а также физическим лицам, применяющим специальный налоговый режим «налог на профессиональный доход», по льготной ставке (утв. </w:t>
      </w:r>
      <w:r>
        <w:rPr>
          <w:bCs/>
          <w:iCs/>
          <w:sz w:val="20"/>
          <w:szCs w:val="20"/>
        </w:rPr>
        <w:t xml:space="preserve">постановлением Правительства Российской Федерации от 30.12.2018 № 1764) (далее – ППРФ от 30.12.2018 </w:t>
      </w:r>
      <w:r>
        <w:rPr>
          <w:bCs/>
          <w:iCs/>
          <w:sz w:val="20"/>
          <w:szCs w:val="20"/>
        </w:rPr>
        <w:br w:type="textWrapping" w:clear="all"/>
      </w:r>
      <w:r>
        <w:rPr>
          <w:bCs/>
          <w:iCs/>
          <w:sz w:val="20"/>
          <w:szCs w:val="20"/>
        </w:rPr>
        <w:t xml:space="preserve">№ 1764)</w:t>
      </w:r>
      <w:r>
        <w:rPr>
          <w:bCs/>
          <w:iCs/>
          <w:sz w:val="20"/>
          <w:szCs w:val="20"/>
        </w:rPr>
        <w:t xml:space="preserve">;</w:t>
      </w:r>
      <w:r>
        <w:rPr>
          <w:bCs/>
          <w:iCs/>
          <w:sz w:val="20"/>
          <w:szCs w:val="20"/>
        </w:rPr>
        <w:t xml:space="preserve"> </w:t>
      </w:r>
      <w:r>
        <w:rPr>
          <w:bCs/>
          <w:iCs/>
          <w:sz w:val="20"/>
          <w:szCs w:val="20"/>
        </w:rPr>
      </w:r>
      <w:r>
        <w:rPr>
          <w:bCs/>
          <w:iCs/>
          <w:sz w:val="20"/>
          <w:szCs w:val="20"/>
        </w:rPr>
      </w:r>
    </w:p>
    <w:p>
      <w:pPr>
        <w:pStyle w:val="1135"/>
        <w:jc w:val="both"/>
        <w:spacing w:before="40" w:after="40"/>
        <w:rPr>
          <w:bCs/>
          <w:iCs/>
          <w:sz w:val="20"/>
          <w:szCs w:val="20"/>
        </w:rPr>
        <w:outlineLvl w:val="5"/>
      </w:pPr>
      <w:r>
        <w:rPr>
          <w:bCs/>
          <w:iCs/>
          <w:sz w:val="20"/>
          <w:szCs w:val="20"/>
        </w:rPr>
        <w:t xml:space="preserve">-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российским организациям и (или) индивидуальным предпринимателям </w:t>
      </w:r>
      <w:r>
        <w:rPr>
          <w:sz w:val="20"/>
          <w:szCs w:val="20"/>
        </w:rPr>
        <w:t xml:space="preserve">на приобретение, строительство, модернизацию, реконструкцию объектов недвижимого имущества в целях осуществления деятельности в сфере промышленности </w:t>
      </w:r>
      <w:r>
        <w:rPr>
          <w:sz w:val="20"/>
          <w:szCs w:val="20"/>
        </w:rPr>
        <w:br w:type="textWrapping" w:clear="all"/>
      </w:r>
      <w:r>
        <w:rPr>
          <w:sz w:val="20"/>
          <w:szCs w:val="20"/>
        </w:rPr>
        <w:t xml:space="preserve">(утв. постановлением Правительства Российской Федерации от 06.09.2022 № 1570) (далее – ППРФ от 06.09.2022 </w:t>
      </w:r>
      <w:r>
        <w:rPr>
          <w:sz w:val="20"/>
          <w:szCs w:val="20"/>
        </w:rPr>
        <w:br w:type="textWrapping" w:clear="all"/>
      </w:r>
      <w:r>
        <w:rPr>
          <w:sz w:val="20"/>
          <w:szCs w:val="20"/>
        </w:rPr>
        <w:t xml:space="preserve">№ 1570)</w:t>
      </w:r>
      <w:r>
        <w:rPr>
          <w:bCs/>
          <w:iCs/>
          <w:sz w:val="20"/>
          <w:szCs w:val="20"/>
        </w:rPr>
        <w:t xml:space="preserve">;</w:t>
      </w:r>
      <w:r>
        <w:rPr>
          <w:bCs/>
          <w:iCs/>
          <w:sz w:val="20"/>
          <w:szCs w:val="20"/>
        </w:rPr>
      </w:r>
      <w:r>
        <w:rPr>
          <w:bCs/>
          <w:iCs/>
          <w:sz w:val="20"/>
          <w:szCs w:val="20"/>
        </w:rPr>
      </w:r>
    </w:p>
    <w:p>
      <w:pPr>
        <w:pStyle w:val="1135"/>
        <w:jc w:val="both"/>
        <w:spacing w:before="40" w:after="40"/>
        <w:rPr>
          <w:iCs/>
          <w:sz w:val="20"/>
          <w:szCs w:val="20"/>
        </w:rPr>
        <w:outlineLvl w:val="5"/>
      </w:pPr>
      <w:r>
        <w:rPr>
          <w:bCs/>
          <w:iCs/>
          <w:sz w:val="20"/>
          <w:szCs w:val="20"/>
        </w:rPr>
        <w:t xml:space="preserve">- </w:t>
      </w:r>
      <w:r>
        <w:rPr>
          <w:bCs/>
          <w:iCs/>
          <w:sz w:val="20"/>
          <w:szCs w:val="20"/>
        </w:rPr>
        <w:t xml:space="preserve">при кредитовании в рамках решения Министерства сельского хозяйства Российской Федерации о порядке предоставления субсидии </w:t>
      </w:r>
      <w:r>
        <w:rPr>
          <w:bCs/>
          <w:iCs/>
          <w:sz w:val="20"/>
          <w:szCs w:val="20"/>
        </w:rPr>
        <w:t xml:space="preserve">№ 22-68850-00258-Р </w:t>
      </w:r>
      <w:r>
        <w:rPr>
          <w:bCs/>
          <w:iCs/>
          <w:sz w:val="20"/>
          <w:szCs w:val="20"/>
        </w:rPr>
        <w:t xml:space="preserve">«Возмещение недополученных российскими кредитными организациями, международными финансовыми организациями и государственной корпорацией развития «ВЭБ.РФ» доходов по кредитам, выданным сельскохозяйственным товаропроизводителям (за исключением сельск</w:t>
      </w:r>
      <w:r>
        <w:rPr>
          <w:bCs/>
          <w:iCs/>
          <w:sz w:val="20"/>
          <w:szCs w:val="20"/>
        </w:rPr>
        <w:t xml:space="preserve">охозяйственных кредитных потребительских кооперативов), организациям</w:t>
        <w:br/>
        <w:t xml:space="preserve">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w:t>
      </w:r>
      <w:r>
        <w:rPr>
          <w:bCs/>
          <w:iCs/>
          <w:sz w:val="20"/>
          <w:szCs w:val="20"/>
        </w:rPr>
        <w:t xml:space="preserve"> </w:t>
      </w:r>
      <w:r>
        <w:rPr>
          <w:sz w:val="20"/>
          <w:szCs w:val="20"/>
        </w:rPr>
        <w:t xml:space="preserve">(далее – Решение № 258-Р)</w:t>
      </w:r>
      <w:r>
        <w:rPr>
          <w:bCs/>
          <w:iCs/>
          <w:sz w:val="20"/>
          <w:szCs w:val="20"/>
        </w:rPr>
        <w:t xml:space="preserve">, принятого в соответствии с постановлением Правительства Российской Федерации от 25.10.2023 № 1</w:t>
      </w:r>
      <w:r>
        <w:rPr>
          <w:bCs/>
          <w:iCs/>
          <w:sz w:val="20"/>
          <w:szCs w:val="20"/>
        </w:rPr>
        <w:t xml:space="preserve">780 «Об утверждении Правил предоставления из бюджетов бюджетной системы Российской Федерации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w:t>
      </w:r>
      <w:r>
        <w:rPr>
          <w:bCs/>
          <w:iCs/>
          <w:sz w:val="20"/>
          <w:szCs w:val="20"/>
        </w:rPr>
        <w:t xml:space="preserve">» </w:t>
      </w:r>
      <w:r>
        <w:rPr>
          <w:bCs/>
          <w:iCs/>
          <w:sz w:val="20"/>
          <w:szCs w:val="20"/>
        </w:rPr>
        <w:t xml:space="preserve">(далее – ППРФ от 25.10.2023 № 1780)</w:t>
      </w:r>
      <w:r>
        <w:rPr>
          <w:bCs/>
          <w:iCs/>
          <w:sz w:val="20"/>
          <w:szCs w:val="20"/>
        </w:rPr>
        <w:t xml:space="preserve">;</w:t>
      </w:r>
      <w:r>
        <w:rPr>
          <w:iCs/>
          <w:sz w:val="20"/>
          <w:szCs w:val="20"/>
        </w:rPr>
      </w:r>
      <w:r>
        <w:rPr>
          <w:iCs/>
          <w:sz w:val="20"/>
          <w:szCs w:val="20"/>
        </w:rPr>
      </w:r>
    </w:p>
    <w:p>
      <w:pPr>
        <w:pStyle w:val="1135"/>
        <w:jc w:val="both"/>
        <w:spacing w:before="40" w:after="40"/>
        <w:rPr>
          <w:bCs/>
          <w:iCs/>
          <w:sz w:val="20"/>
          <w:szCs w:val="20"/>
        </w:rPr>
        <w:outlineLvl w:val="5"/>
      </w:pPr>
      <w:r>
        <w:t xml:space="preserve">- </w:t>
      </w:r>
      <w:r>
        <w:rPr>
          <w:bCs/>
          <w:iCs/>
          <w:sz w:val="20"/>
          <w:szCs w:val="20"/>
        </w:rPr>
        <w:t xml:space="preserve">при кредитовании в рамках решения Министерства сельского хозяйства Российской Федерации о порядке предоставления субсидии </w:t>
      </w:r>
      <w:r>
        <w:rPr>
          <w:bCs/>
          <w:iCs/>
          <w:sz w:val="20"/>
          <w:szCs w:val="20"/>
        </w:rPr>
        <w:t xml:space="preserve">№ 22-68850-00358-Р «Возмещение недополученных российскими кре</w:t>
      </w:r>
      <w:r>
        <w:rPr>
          <w:bCs/>
          <w:iCs/>
          <w:sz w:val="20"/>
          <w:szCs w:val="20"/>
        </w:rPr>
        <w:t xml:space="preserve">дитными организациями, международными финансовыми организациями и государственной корпорацией развития «ВЭБ.РФ» доходов по кредитам, выданным сельскохозяйственным товаропроизводителям (за исключением сельскохозяйственных кредитных потребительских кооперати</w:t>
      </w:r>
      <w:r>
        <w:rPr>
          <w:bCs/>
          <w:iCs/>
          <w:sz w:val="20"/>
          <w:szCs w:val="20"/>
        </w:rPr>
        <w:t xml:space="preserve">вов), организациям</w:t>
        <w:br/>
        <w:t xml:space="preserve">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принятого в соответствии с ППРФ от 25.10.2023 №</w:t>
      </w:r>
      <w:r>
        <w:rPr>
          <w:bCs/>
          <w:iCs/>
          <w:sz w:val="20"/>
          <w:szCs w:val="20"/>
        </w:rPr>
        <w:t xml:space="preserve"> </w:t>
      </w:r>
      <w:r>
        <w:rPr>
          <w:bCs/>
          <w:iCs/>
          <w:sz w:val="20"/>
          <w:szCs w:val="20"/>
        </w:rPr>
        <w:t xml:space="preserve">1780</w:t>
      </w:r>
      <w:r>
        <w:rPr>
          <w:bCs/>
          <w:iCs/>
          <w:sz w:val="20"/>
          <w:szCs w:val="20"/>
        </w:rPr>
        <w:t xml:space="preserve">;</w:t>
      </w:r>
      <w:r>
        <w:rPr>
          <w:bCs/>
          <w:iCs/>
          <w:sz w:val="20"/>
          <w:szCs w:val="20"/>
        </w:rPr>
      </w:r>
      <w:r>
        <w:rPr>
          <w:bCs/>
          <w:iCs/>
          <w:sz w:val="20"/>
          <w:szCs w:val="20"/>
        </w:rPr>
      </w:r>
    </w:p>
    <w:p>
      <w:pPr>
        <w:pStyle w:val="1135"/>
        <w:jc w:val="both"/>
        <w:spacing w:before="40" w:after="40"/>
        <w:rPr>
          <w:bCs/>
          <w:iCs/>
          <w:sz w:val="20"/>
          <w:szCs w:val="20"/>
        </w:rPr>
        <w:outlineLvl w:val="5"/>
      </w:pPr>
      <w:r>
        <w:t xml:space="preserve">- </w:t>
      </w:r>
      <w:r>
        <w:rPr>
          <w:bCs/>
          <w:iCs/>
          <w:sz w:val="20"/>
          <w:szCs w:val="20"/>
        </w:rPr>
        <w:t xml:space="preserve">при кредитовании в рамках решения Министерства </w:t>
      </w:r>
      <w:r>
        <w:rPr>
          <w:bCs/>
          <w:iCs/>
          <w:sz w:val="20"/>
          <w:szCs w:val="20"/>
        </w:rPr>
        <w:t xml:space="preserve">экономического развития</w:t>
      </w:r>
      <w:r>
        <w:rPr>
          <w:bCs/>
          <w:iCs/>
          <w:sz w:val="20"/>
          <w:szCs w:val="20"/>
        </w:rPr>
        <w:t xml:space="preserve"> Российской Федерации о порядке предоставления субсидии </w:t>
      </w:r>
      <w:r>
        <w:rPr>
          <w:bCs/>
          <w:iCs/>
          <w:sz w:val="20"/>
          <w:szCs w:val="20"/>
        </w:rPr>
        <w:t xml:space="preserve">№ 2</w:t>
      </w:r>
      <w:r>
        <w:rPr>
          <w:bCs/>
          <w:iCs/>
          <w:sz w:val="20"/>
          <w:szCs w:val="20"/>
        </w:rPr>
        <w:t xml:space="preserve">3</w:t>
      </w:r>
      <w:r>
        <w:rPr>
          <w:bCs/>
          <w:iCs/>
          <w:sz w:val="20"/>
          <w:szCs w:val="20"/>
        </w:rPr>
        <w:t xml:space="preserve">-6</w:t>
      </w:r>
      <w:r>
        <w:rPr>
          <w:bCs/>
          <w:iCs/>
          <w:sz w:val="20"/>
          <w:szCs w:val="20"/>
        </w:rPr>
        <w:t xml:space="preserve">1781</w:t>
      </w:r>
      <w:r>
        <w:rPr>
          <w:bCs/>
          <w:iCs/>
          <w:sz w:val="20"/>
          <w:szCs w:val="20"/>
        </w:rPr>
        <w:t xml:space="preserve">-0</w:t>
      </w:r>
      <w:r>
        <w:rPr>
          <w:bCs/>
          <w:iCs/>
          <w:sz w:val="20"/>
          <w:szCs w:val="20"/>
        </w:rPr>
        <w:t xml:space="preserve">1201</w:t>
      </w:r>
      <w:r>
        <w:rPr>
          <w:bCs/>
          <w:iCs/>
          <w:sz w:val="20"/>
          <w:szCs w:val="20"/>
        </w:rPr>
        <w:t xml:space="preserve">-Р «</w:t>
      </w:r>
      <w:r>
        <w:rPr>
          <w:bCs/>
          <w:iCs/>
          <w:sz w:val="20"/>
          <w:szCs w:val="20"/>
        </w:rPr>
        <w:t xml:space="preserve">Реализация механизма государственной поддержки инвестиционных проектов по созданию туристической инфраструктуры в форме льготного </w:t>
      </w:r>
      <w:r>
        <w:rPr>
          <w:bCs/>
          <w:iCs/>
          <w:sz w:val="20"/>
          <w:szCs w:val="20"/>
        </w:rPr>
        <w:t xml:space="preserve">кредитования</w:t>
      </w:r>
      <w:r>
        <w:rPr>
          <w:bCs/>
          <w:iCs/>
          <w:sz w:val="20"/>
          <w:szCs w:val="20"/>
        </w:rPr>
        <w:t xml:space="preserve"> </w:t>
      </w:r>
      <w:r>
        <w:rPr>
          <w:sz w:val="20"/>
          <w:szCs w:val="20"/>
        </w:rPr>
        <w:t xml:space="preserve">(далее – Решение № 1201-Р</w:t>
      </w:r>
      <w:r>
        <w:rPr>
          <w:bCs/>
          <w:iCs/>
          <w:sz w:val="20"/>
          <w:szCs w:val="20"/>
        </w:rPr>
        <w:t xml:space="preserve">, </w:t>
      </w:r>
      <w:r>
        <w:rPr>
          <w:bCs/>
          <w:iCs/>
          <w:sz w:val="20"/>
          <w:szCs w:val="20"/>
        </w:rPr>
        <w:t xml:space="preserve">принятого в соответствии с ППРФ от 25.10.2023 №</w:t>
      </w:r>
      <w:r>
        <w:rPr>
          <w:bCs/>
          <w:iCs/>
          <w:sz w:val="20"/>
          <w:szCs w:val="20"/>
        </w:rPr>
        <w:t xml:space="preserve"> </w:t>
      </w:r>
      <w:r>
        <w:rPr>
          <w:bCs/>
          <w:iCs/>
          <w:sz w:val="20"/>
          <w:szCs w:val="20"/>
        </w:rPr>
        <w:t xml:space="preserve">1780</w:t>
      </w:r>
      <w:r>
        <w:rPr>
          <w:bCs/>
          <w:iCs/>
          <w:sz w:val="20"/>
          <w:szCs w:val="20"/>
        </w:rPr>
        <w:t xml:space="preserve">.</w:t>
      </w:r>
      <w:r>
        <w:rPr>
          <w:bCs/>
          <w:iCs/>
          <w:sz w:val="20"/>
          <w:szCs w:val="20"/>
        </w:rPr>
      </w:r>
      <w:r>
        <w:rPr>
          <w:bCs/>
          <w:iCs/>
          <w:sz w:val="20"/>
          <w:szCs w:val="20"/>
        </w:rPr>
      </w:r>
    </w:p>
    <w:p>
      <w:pPr>
        <w:pStyle w:val="1135"/>
        <w:jc w:val="both"/>
        <w:spacing w:before="40" w:after="40"/>
        <w:rPr>
          <w:iCs/>
          <w:sz w:val="20"/>
          <w:szCs w:val="20"/>
          <w:highlight w:val="none"/>
        </w:rPr>
        <w:outlineLvl w:val="5"/>
      </w:pPr>
      <w:r>
        <w:rPr>
          <w:bCs/>
          <w:iCs/>
          <w:sz w:val="20"/>
          <w:szCs w:val="20"/>
        </w:rPr>
        <w:t xml:space="preserve">- </w:t>
      </w:r>
      <w:r>
        <w:rPr>
          <w:sz w:val="20"/>
          <w:szCs w:val="20"/>
        </w:rPr>
        <w:t xml:space="preserve">при кредитовании в рамках решения Министерства сельского хозяйства Российской Фед</w:t>
      </w:r>
      <w:r>
        <w:rPr>
          <w:sz w:val="20"/>
          <w:szCs w:val="20"/>
        </w:rPr>
        <w:t xml:space="preserve">ерации о порядке предоставления </w:t>
      </w:r>
      <w:r>
        <w:rPr>
          <w:sz w:val="20"/>
          <w:szCs w:val="20"/>
        </w:rPr>
        <w:t xml:space="preserve">субсидии </w:t>
      </w:r>
      <w:r>
        <w:rPr>
          <w:sz w:val="20"/>
          <w:szCs w:val="20"/>
        </w:rPr>
        <w:t xml:space="preserve">№ 24-68701-01553-Р «Субсидии Государственному специализированному Российскому экспортно-импортному банку (акционерное общество) и Акционерному обществу «Российский Сельскохозяйственный банк» в целях компенсации недополученных </w:t>
      </w:r>
      <w:r>
        <w:rPr>
          <w:sz w:val="20"/>
          <w:szCs w:val="20"/>
        </w:rPr>
        <w:t xml:space="preserve">доходов по кредитам и (или) по иным инструментам финансирования, предоставленным для поддержки производства и поставки продукции агропромышленного комплекса на внешние рынки» (далее – Решение № 1553-Р), принятого в соответствии с ППРФ от 25.10.2023 № 1780;</w:t>
      </w:r>
      <w:r>
        <w:rPr>
          <w:iCs/>
          <w:sz w:val="20"/>
          <w:szCs w:val="20"/>
          <w:highlight w:val="none"/>
        </w:rPr>
      </w:r>
      <w:r>
        <w:rPr>
          <w:iCs/>
          <w:sz w:val="20"/>
          <w:szCs w:val="20"/>
          <w:highlight w:val="none"/>
        </w:rPr>
      </w:r>
    </w:p>
    <w:p>
      <w:pPr>
        <w:pStyle w:val="1135"/>
        <w:jc w:val="both"/>
        <w:spacing w:after="0" w:line="240" w:lineRule="auto"/>
        <w:rPr>
          <w:rFonts w:ascii="Times New Roman" w:hAnsi="Times New Roman"/>
          <w:sz w:val="24"/>
          <w:szCs w:val="24"/>
        </w:rPr>
        <w:outlineLvl w:val="5"/>
      </w:pPr>
      <w:r>
        <w:rPr>
          <w:rFonts w:ascii="Times New Roman" w:hAnsi="Times New Roman"/>
          <w:sz w:val="20"/>
          <w:szCs w:val="20"/>
        </w:rPr>
        <w:t xml:space="preserve"> </w:t>
      </w:r>
      <w:r>
        <w:rPr>
          <w:rFonts w:ascii="Times New Roman" w:hAnsi="Times New Roman"/>
          <w:sz w:val="20"/>
          <w:szCs w:val="20"/>
        </w:rPr>
        <w:t xml:space="preserve">- </w:t>
      </w:r>
      <w:r>
        <w:rPr>
          <w:rFonts w:ascii="Times New Roman" w:hAnsi="Times New Roman"/>
          <w:sz w:val="20"/>
          <w:szCs w:val="20"/>
        </w:rPr>
        <w:t xml:space="preserve">при кредитовании в рамках решения Министерства промышленности и торговли Российской Федерации о порядке предоставления субсидии № 23-60109-00982-Р «Субсидии российским кредитным организациям на возмещение недополученных ими доходов п</w:t>
      </w:r>
      <w:r>
        <w:rPr>
          <w:rFonts w:ascii="Times New Roman" w:hAnsi="Times New Roman"/>
          <w:sz w:val="20"/>
          <w:szCs w:val="20"/>
        </w:rPr>
        <w:t xml:space="preserve"> кредитам, выданным российским организациям и (или) индивидуальным предпринимателям на приобретение, строительство, модернизацию, реконструкцию объектов недвижимого имущества в целях осуществления деятельности в сфере промышленности» (далее – Решение № 982</w:t>
      </w:r>
      <w:r>
        <w:rPr>
          <w:rFonts w:ascii="Times New Roman" w:hAnsi="Times New Roman"/>
          <w:sz w:val="20"/>
          <w:szCs w:val="20"/>
        </w:rPr>
        <w:t xml:space="preserve">-Р</w:t>
      </w:r>
      <w:r>
        <w:rPr>
          <w:rFonts w:ascii="Times New Roman" w:hAnsi="Times New Roman"/>
          <w:sz w:val="20"/>
          <w:szCs w:val="20"/>
        </w:rPr>
        <w:t xml:space="preserve">), принятого в соответствии с ППРФ от 25.10.2023 № 1780;</w:t>
      </w:r>
      <w:r>
        <w:rPr>
          <w:rFonts w:ascii="Times New Roman" w:hAnsi="Times New Roman"/>
          <w:sz w:val="24"/>
          <w:szCs w:val="24"/>
        </w:rPr>
      </w:r>
      <w:r>
        <w:rPr>
          <w:rFonts w:ascii="Times New Roman" w:hAnsi="Times New Roman"/>
          <w:sz w:val="24"/>
          <w:szCs w:val="24"/>
        </w:rPr>
      </w:r>
    </w:p>
    <w:p>
      <w:pPr>
        <w:ind w:left="0" w:firstLine="0"/>
        <w:jc w:val="both"/>
        <w:spacing w:before="40" w:after="40"/>
        <w:rPr>
          <w:sz w:val="20"/>
          <w:szCs w:val="20"/>
          <w:highlight w:val="none"/>
        </w:rPr>
        <w:outlineLvl w:val="5"/>
      </w:pPr>
      <w:r>
        <w:rPr>
          <w:rFonts w:ascii="Times New Roman" w:hAnsi="Times New Roman"/>
          <w:sz w:val="20"/>
          <w:szCs w:val="20"/>
        </w:rPr>
        <w:t xml:space="preserve">- при кредитовании в рамках решения Министерства сельского хозяйства Российской Федерации о порядке предоставления субси</w:t>
      </w:r>
      <w:r>
        <w:rPr>
          <w:rFonts w:ascii="Times New Roman" w:hAnsi="Times New Roman"/>
          <w:sz w:val="20"/>
          <w:szCs w:val="20"/>
        </w:rPr>
        <w:t xml:space="preserve">дии № 22-62282-00665-Р «Субсидии российским кредитным организациям, международным финансовым организациям и государственной корпорации развития «ВЭБ.РФ» на возмещение недополученных доходов по кредитам (займам), выданным индивидуальным предпринимателям и о</w:t>
      </w:r>
      <w:r>
        <w:rPr>
          <w:rFonts w:ascii="Times New Roman" w:hAnsi="Times New Roman"/>
          <w:sz w:val="20"/>
          <w:szCs w:val="20"/>
        </w:rPr>
        <w:t xml:space="preserve">рганизациям, зарегистрированным на сельских территориях (сельских агломерациях), на развитие инженерной и транспортной инфраструктуры, строительство жилых зданий, по льготной ставке» (далее – Решение № 665-Р), принятого в соответствии с ППРФ от 25.10.2023 </w:t>
      </w:r>
      <w:r>
        <w:rPr>
          <w:rFonts w:ascii="Times New Roman" w:hAnsi="Times New Roman"/>
          <w:sz w:val="20"/>
          <w:szCs w:val="20"/>
        </w:rPr>
        <w:br/>
      </w:r>
      <w:r>
        <w:rPr>
          <w:rFonts w:ascii="Times New Roman" w:hAnsi="Times New Roman"/>
          <w:sz w:val="20"/>
          <w:szCs w:val="20"/>
        </w:rPr>
        <w:t xml:space="preserve">№ 1780.</w:t>
      </w:r>
      <w:r>
        <w:rPr>
          <w:sz w:val="20"/>
          <w:szCs w:val="20"/>
          <w:highlight w:val="none"/>
        </w:rPr>
      </w:r>
      <w:r>
        <w:rPr>
          <w:sz w:val="20"/>
          <w:szCs w:val="20"/>
          <w:highlight w:val="none"/>
        </w:rPr>
      </w:r>
    </w:p>
    <w:p>
      <w:pPr>
        <w:contextualSpacing w:val="0"/>
        <w:ind w:left="0" w:right="0" w:firstLine="0"/>
        <w:jc w:val="both"/>
        <w:spacing w:before="40" w:after="0" w:line="240" w:lineRule="auto"/>
        <w:rPr>
          <w:rFonts w:ascii="Times New Roman" w:hAnsi="Times New Roman" w:cs="Times New Roman"/>
          <w:sz w:val="20"/>
          <w:szCs w:val="20"/>
          <w:highlight w:val="none"/>
        </w:rPr>
        <w:outlineLvl w:val="5"/>
        <w:suppressLineNumbers w:val="0"/>
      </w:pPr>
      <w:r>
        <w:rPr>
          <w:rFonts w:ascii="Times New Roman" w:hAnsi="Times New Roman" w:eastAsia="Times New Roman" w:cs="Times New Roman"/>
          <w:sz w:val="20"/>
          <w:szCs w:val="20"/>
          <w:highlight w:val="none"/>
        </w:rPr>
      </w:r>
      <w:r>
        <w:rPr>
          <w:rFonts w:ascii="Times New Roman" w:hAnsi="Times New Roman" w:eastAsia="Times New Roman" w:cs="Times New Roman"/>
          <w:sz w:val="20"/>
          <w:szCs w:val="20"/>
          <w:highlight w:val="none"/>
        </w:rPr>
        <w:t xml:space="preserve">- </w:t>
      </w:r>
      <w:r>
        <w:rPr>
          <w:rFonts w:ascii="Times New Roman" w:hAnsi="Times New Roman" w:eastAsia="Times New Roman" w:cs="Times New Roman"/>
          <w:sz w:val="20"/>
          <w:szCs w:val="20"/>
          <w:highlight w:val="none"/>
        </w:rPr>
        <w:t xml:space="preserve">при </w:t>
      </w:r>
      <w:r>
        <w:rPr>
          <w:rFonts w:ascii="Times New Roman" w:hAnsi="Times New Roman" w:eastAsia="Times New Roman" w:cs="Times New Roman"/>
          <w:sz w:val="20"/>
          <w:szCs w:val="20"/>
          <w:highlight w:val="none"/>
        </w:rPr>
        <w:t xml:space="preserve">кредитовании </w:t>
      </w:r>
      <w:r>
        <w:rPr>
          <w:rFonts w:ascii="Times New Roman" w:hAnsi="Times New Roman" w:eastAsia="Times New Roman" w:cs="Times New Roman"/>
          <w:sz w:val="20"/>
          <w:szCs w:val="20"/>
          <w:highlight w:val="none"/>
        </w:rPr>
        <w:t xml:space="preserve">в рамках решения Министерства сельского хозяйства Российской Федерации о порядке предоставления субсидии </w:t>
      </w:r>
      <w:r>
        <w:rPr>
          <w:rFonts w:ascii="Times New Roman" w:hAnsi="Times New Roman" w:eastAsia="Times New Roman" w:cs="Times New Roman"/>
          <w:sz w:val="20"/>
          <w:szCs w:val="20"/>
          <w:highlight w:val="none"/>
        </w:rPr>
        <w:t xml:space="preserve">№ </w:t>
      </w:r>
      <w:hyperlink w:history="1">
        <w:r>
          <w:rPr>
            <w:rFonts w:ascii="Times New Roman" w:hAnsi="Times New Roman" w:eastAsia="Times New Roman" w:cs="Times New Roman"/>
            <w:sz w:val="20"/>
            <w:szCs w:val="20"/>
            <w:highlight w:val="none"/>
          </w:rPr>
          <w:t xml:space="preserve">25-66428-01969-Р</w:t>
        </w:r>
      </w:hyperlink>
      <w:r>
        <w:rPr>
          <w:rFonts w:ascii="Times New Roman" w:hAnsi="Times New Roman" w:eastAsia="Times New Roman" w:cs="Times New Roman"/>
          <w:sz w:val="20"/>
          <w:szCs w:val="20"/>
          <w:highlight w:val="none"/>
        </w:rPr>
        <w:t xml:space="preserve"> «</w:t>
      </w:r>
      <w:r>
        <w:rPr>
          <w:rFonts w:ascii="Times New Roman" w:hAnsi="Times New Roman" w:eastAsia="Times New Roman" w:cs="Times New Roman"/>
          <w:sz w:val="20"/>
          <w:szCs w:val="20"/>
          <w:highlight w:val="none"/>
        </w:rPr>
        <w:t xml:space="preserve">Возмещение недополученных российскими кредитными организациями, международными финансовыми организациями и государстве</w:t>
      </w:r>
      <w:r>
        <w:rPr>
          <w:rFonts w:ascii="Times New Roman" w:hAnsi="Times New Roman" w:eastAsia="Times New Roman" w:cs="Times New Roman"/>
          <w:sz w:val="20"/>
          <w:szCs w:val="20"/>
          <w:highlight w:val="none"/>
        </w:rPr>
        <w:t xml:space="preserve">нной корпорацией развития «ВЭБ.РФ»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w:t>
      </w:r>
      <w:r>
        <w:rPr>
          <w:rFonts w:ascii="Times New Roman" w:hAnsi="Times New Roman" w:eastAsia="Times New Roman" w:cs="Times New Roman"/>
          <w:sz w:val="20"/>
          <w:szCs w:val="20"/>
          <w:highlight w:val="none"/>
        </w:rPr>
        <w:t xml:space="preserve">ство, первичную и (или) последующую (промышленную) переработку сельскохозяйственной продукции и ее реализацию, по льготной ставке» (далее – Решение № 1969</w:t>
      </w:r>
      <w:r>
        <w:rPr>
          <w:rFonts w:ascii="Times New Roman" w:hAnsi="Times New Roman" w:eastAsia="Times New Roman" w:cs="Times New Roman"/>
          <w:sz w:val="20"/>
          <w:szCs w:val="20"/>
          <w:highlight w:val="none"/>
        </w:rPr>
        <w:t xml:space="preserve">-Р), принятого в соответствии </w:t>
      </w:r>
      <w:r>
        <w:rPr>
          <w:rFonts w:ascii="Times New Roman" w:hAnsi="Times New Roman" w:eastAsia="Times New Roman" w:cs="Times New Roman"/>
          <w:sz w:val="20"/>
          <w:szCs w:val="20"/>
          <w:highlight w:val="none"/>
        </w:rPr>
        <w:t xml:space="preserve">с ППРФ от 25.10.2023 № 1780</w:t>
      </w:r>
      <w:r>
        <w:rPr>
          <w:rFonts w:ascii="Times New Roman" w:hAnsi="Times New Roman" w:eastAsia="Times New Roman" w:cs="Times New Roman"/>
          <w:sz w:val="20"/>
          <w:szCs w:val="20"/>
          <w:highlight w:val="none"/>
        </w:rPr>
        <w:t xml:space="preserve">;</w:t>
      </w:r>
      <w:r>
        <w:rPr>
          <w:rFonts w:ascii="Times New Roman" w:hAnsi="Times New Roman" w:cs="Times New Roman"/>
          <w:sz w:val="20"/>
          <w:szCs w:val="20"/>
          <w:highlight w:val="none"/>
        </w:rPr>
      </w:r>
      <w:r>
        <w:rPr>
          <w:rFonts w:ascii="Times New Roman" w:hAnsi="Times New Roman" w:cs="Times New Roman"/>
          <w:sz w:val="20"/>
          <w:szCs w:val="20"/>
          <w:highlight w:val="none"/>
        </w:rPr>
      </w:r>
    </w:p>
    <w:p>
      <w:pPr>
        <w:ind w:left="0" w:firstLine="0"/>
        <w:jc w:val="both"/>
        <w:spacing w:before="40" w:after="40"/>
        <w:rPr>
          <w:sz w:val="20"/>
          <w:szCs w:val="20"/>
          <w:highlight w:val="none"/>
        </w:rPr>
        <w:outlineLvl w:val="5"/>
      </w:pPr>
      <w:r>
        <w:rPr>
          <w:rFonts w:ascii="Times New Roman" w:hAnsi="Times New Roman" w:eastAsia="Times New Roman" w:cs="Times New Roman"/>
          <w:sz w:val="20"/>
          <w:szCs w:val="20"/>
          <w:highlight w:val="none"/>
        </w:rPr>
      </w:r>
      <w:r>
        <w:rPr>
          <w:rFonts w:ascii="Times New Roman" w:hAnsi="Times New Roman" w:eastAsia="Times New Roman" w:cs="Times New Roman"/>
          <w:sz w:val="20"/>
          <w:szCs w:val="20"/>
          <w:highlight w:val="none"/>
        </w:rPr>
        <w:t xml:space="preserve">- при </w:t>
      </w:r>
      <w:r>
        <w:rPr>
          <w:rFonts w:ascii="Times New Roman" w:hAnsi="Times New Roman" w:eastAsia="Times New Roman" w:cs="Times New Roman"/>
          <w:sz w:val="20"/>
          <w:szCs w:val="20"/>
          <w:highlight w:val="none"/>
        </w:rPr>
        <w:t xml:space="preserve">кредитовании </w:t>
      </w:r>
      <w:r>
        <w:rPr>
          <w:rFonts w:ascii="Times New Roman" w:hAnsi="Times New Roman" w:eastAsia="Times New Roman" w:cs="Times New Roman"/>
          <w:sz w:val="20"/>
          <w:szCs w:val="20"/>
          <w:highlight w:val="none"/>
        </w:rPr>
        <w:t xml:space="preserve">в рамках решения Министерства сельского хозяйства Российской Федерации о порядке предоставления субсидии </w:t>
      </w:r>
      <w:r>
        <w:rPr>
          <w:rFonts w:ascii="Times New Roman" w:hAnsi="Times New Roman" w:eastAsia="Times New Roman" w:cs="Times New Roman"/>
          <w:sz w:val="20"/>
          <w:szCs w:val="20"/>
          <w:highlight w:val="none"/>
        </w:rPr>
        <w:t xml:space="preserve">№ </w:t>
      </w:r>
      <w:r>
        <w:rPr>
          <w:rFonts w:ascii="Times New Roman" w:hAnsi="Times New Roman" w:eastAsia="Times New Roman" w:cs="Times New Roman"/>
          <w:sz w:val="20"/>
          <w:szCs w:val="20"/>
          <w:highlight w:val="none"/>
        </w:rPr>
        <w:t xml:space="preserve">25-68850-01698-Р</w:t>
      </w:r>
      <w:r>
        <w:rPr>
          <w:rFonts w:ascii="Times New Roman" w:hAnsi="Times New Roman" w:eastAsia="Times New Roman" w:cs="Times New Roman"/>
          <w:sz w:val="20"/>
          <w:szCs w:val="20"/>
          <w:highlight w:val="none"/>
        </w:rPr>
        <w:t xml:space="preserve"> «Возмещение недополученных российскими кредитными организациями, междунаро</w:t>
      </w:r>
      <w:r>
        <w:rPr>
          <w:rFonts w:ascii="Times New Roman" w:hAnsi="Times New Roman" w:eastAsia="Times New Roman" w:cs="Times New Roman"/>
          <w:sz w:val="20"/>
          <w:szCs w:val="20"/>
          <w:highlight w:val="none"/>
        </w:rPr>
        <w:t xml:space="preserve">дными финансовыми организациями и государственной корпорацией развития «ВЭБ.РФ»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w:t>
      </w:r>
      <w:r>
        <w:rPr>
          <w:rFonts w:ascii="Times New Roman" w:hAnsi="Times New Roman" w:eastAsia="Times New Roman" w:cs="Times New Roman"/>
          <w:sz w:val="20"/>
          <w:szCs w:val="20"/>
          <w:highlight w:val="none"/>
        </w:rPr>
        <w:t xml:space="preserve">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(далее – Решен</w:t>
      </w:r>
      <w:r>
        <w:rPr>
          <w:rFonts w:ascii="Times New Roman" w:hAnsi="Times New Roman" w:eastAsia="Times New Roman" w:cs="Times New Roman"/>
          <w:sz w:val="20"/>
          <w:szCs w:val="20"/>
          <w:highlight w:val="none"/>
        </w:rPr>
        <w:t xml:space="preserve">ие № </w:t>
      </w:r>
      <w:r>
        <w:rPr>
          <w:rFonts w:ascii="Times New Roman" w:hAnsi="Times New Roman" w:eastAsia="Times New Roman" w:cs="Times New Roman"/>
          <w:sz w:val="20"/>
          <w:szCs w:val="20"/>
          <w:highlight w:val="none"/>
        </w:rPr>
        <w:t xml:space="preserve">169</w:t>
      </w:r>
      <w:r>
        <w:rPr>
          <w:rFonts w:ascii="Times New Roman" w:hAnsi="Times New Roman" w:eastAsia="Times New Roman" w:cs="Times New Roman"/>
          <w:sz w:val="20"/>
          <w:szCs w:val="20"/>
          <w:highlight w:val="none"/>
        </w:rPr>
        <w:t xml:space="preserve">8-Р</w:t>
      </w:r>
      <w:r>
        <w:rPr>
          <w:rFonts w:ascii="Times New Roman" w:hAnsi="Times New Roman" w:eastAsia="Times New Roman" w:cs="Times New Roman"/>
          <w:sz w:val="20"/>
          <w:szCs w:val="20"/>
          <w:highlight w:val="none"/>
        </w:rPr>
        <w:t xml:space="preserve">), принятого в соответствии с ППРФ от 25.10.2023 № 1780</w:t>
      </w:r>
      <w:r>
        <w:rPr>
          <w:sz w:val="20"/>
          <w:szCs w:val="20"/>
        </w:rPr>
        <w:t xml:space="preserve">;</w:t>
      </w:r>
      <w:r>
        <w:rPr>
          <w:sz w:val="20"/>
          <w:szCs w:val="20"/>
          <w:highlight w:val="none"/>
        </w:rPr>
      </w:r>
      <w:r>
        <w:rPr>
          <w:sz w:val="20"/>
          <w:szCs w:val="20"/>
          <w:highlight w:val="none"/>
        </w:rPr>
      </w:r>
    </w:p>
    <w:p>
      <w:pPr>
        <w:ind w:left="0" w:firstLine="0"/>
        <w:jc w:val="both"/>
        <w:spacing w:before="40" w:after="40"/>
        <w:rPr>
          <w:sz w:val="20"/>
          <w:szCs w:val="20"/>
        </w:rPr>
        <w:outlineLvl w:val="5"/>
      </w:pPr>
      <w:r>
        <w:rPr>
          <w:sz w:val="20"/>
          <w:szCs w:val="20"/>
          <w:highlight w:val="none"/>
        </w:rPr>
      </w:r>
      <w:r>
        <w:rPr>
          <w:rFonts w:ascii="Times New Roman" w:hAnsi="Times New Roman"/>
          <w:sz w:val="20"/>
          <w:szCs w:val="20"/>
        </w:rPr>
        <w:t xml:space="preserve">- при кредитовании в рамках решения Министерства экономического развития Российской Федерации о порядке предоставлени</w:t>
      </w:r>
      <w:r>
        <w:rPr>
          <w:rFonts w:ascii="Times New Roman" w:hAnsi="Times New Roman"/>
          <w:sz w:val="20"/>
          <w:szCs w:val="20"/>
        </w:rPr>
        <w:t xml:space="preserve">я субсидии № 25-61781-02070-Р «Реализация механизма государственной поддержки инвестиционных проектов по созданию туристической инфраструктуры в форме льготного кредитования» (далее – Решение № 2070-Р), принятого в соответствии с ППРФ от 25.10.2023 № 1780</w:t>
      </w:r>
      <w:r>
        <w:rPr>
          <w:rFonts w:ascii="Times New Roman" w:hAnsi="Times New Roman"/>
          <w:sz w:val="20"/>
          <w:szCs w:val="20"/>
        </w:rPr>
        <w:t xml:space="preserve">.</w:t>
      </w:r>
      <w:r>
        <w:rPr>
          <w:sz w:val="20"/>
          <w:szCs w:val="20"/>
        </w:rPr>
      </w:r>
      <w:r>
        <w:rPr>
          <w:sz w:val="20"/>
          <w:szCs w:val="20"/>
        </w:rPr>
      </w:r>
    </w:p>
    <w:tbl>
      <w:tblPr>
        <w:tblW w:w="93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675"/>
        <w:gridCol w:w="4253"/>
        <w:gridCol w:w="4394"/>
      </w:tblGrid>
      <w:tr>
        <w:tblPrEx/>
        <w:trPr/>
        <w:tc>
          <w:tcPr>
            <w:tcW w:w="675" w:type="dxa"/>
            <w:vAlign w:val="center"/>
            <w:vMerge w:val="restart"/>
            <w:textDirection w:val="lrTb"/>
            <w:noWrap w:val="false"/>
          </w:tcPr>
          <w:p>
            <w:pPr>
              <w:pStyle w:val="1135"/>
              <w:jc w:val="center"/>
              <w:spacing w:before="40" w:after="40" w:line="240" w:lineRule="auto"/>
              <w:rPr>
                <w:rFonts w:ascii="Times New Roman" w:hAnsi="Times New Roman" w:eastAsia="Times New Roman"/>
                <w:b/>
                <w:bCs/>
                <w:iCs/>
                <w:sz w:val="20"/>
                <w:szCs w:val="20"/>
              </w:rPr>
              <w:outlineLvl w:val="5"/>
            </w:pPr>
            <w:r>
              <w:rPr>
                <w:rFonts w:ascii="Times New Roman" w:hAnsi="Times New Roman" w:eastAsia="Times New Roman"/>
                <w:b/>
                <w:bCs/>
                <w:iCs/>
                <w:sz w:val="20"/>
                <w:szCs w:val="20"/>
              </w:rPr>
              <w:t xml:space="preserve">«</w:t>
            </w:r>
            <w:r>
              <w:rPr>
                <w:rFonts w:ascii="Times New Roman" w:hAnsi="Times New Roman" w:eastAsia="Times New Roman"/>
                <w:b/>
                <w:bCs/>
                <w:iCs/>
                <w:sz w:val="20"/>
                <w:szCs w:val="20"/>
              </w:rPr>
              <w:t xml:space="preserve">№</w:t>
            </w:r>
            <w:r>
              <w:rPr>
                <w:rFonts w:ascii="Times New Roman" w:hAnsi="Times New Roman" w:eastAsia="Times New Roman"/>
                <w:b/>
                <w:bCs/>
                <w:iCs/>
                <w:sz w:val="20"/>
                <w:szCs w:val="20"/>
              </w:rPr>
              <w:br/>
            </w:r>
            <w:r>
              <w:rPr>
                <w:rFonts w:ascii="Times New Roman" w:hAnsi="Times New Roman" w:eastAsia="Times New Roman"/>
                <w:b/>
                <w:bCs/>
                <w:iCs/>
                <w:sz w:val="20"/>
                <w:szCs w:val="20"/>
              </w:rPr>
              <w:t xml:space="preserve">п/п</w:t>
            </w:r>
            <w:r>
              <w:rPr>
                <w:rFonts w:ascii="Times New Roman" w:hAnsi="Times New Roman" w:eastAsia="Times New Roman"/>
                <w:b/>
                <w:bCs/>
                <w:iCs/>
                <w:sz w:val="20"/>
                <w:szCs w:val="20"/>
              </w:rPr>
            </w:r>
            <w:r>
              <w:rPr>
                <w:rFonts w:ascii="Times New Roman" w:hAnsi="Times New Roman" w:eastAsia="Times New Roman"/>
                <w:b/>
                <w:bCs/>
                <w:iCs/>
                <w:sz w:val="20"/>
                <w:szCs w:val="20"/>
              </w:rPr>
            </w:r>
          </w:p>
        </w:tc>
        <w:tc>
          <w:tcPr>
            <w:gridSpan w:val="2"/>
            <w:tcW w:w="8647" w:type="dxa"/>
            <w:vAlign w:val="top"/>
            <w:textDirection w:val="lrTb"/>
            <w:noWrap w:val="false"/>
          </w:tcPr>
          <w:p>
            <w:pPr>
              <w:pStyle w:val="1135"/>
              <w:jc w:val="center"/>
              <w:keepNext/>
              <w:spacing w:before="40" w:after="40" w:line="240" w:lineRule="auto"/>
              <w:rPr>
                <w:rFonts w:ascii="Times New Roman" w:hAnsi="Times New Roman" w:eastAsia="Times New Roman"/>
                <w:b/>
                <w:bCs/>
                <w:iCs/>
              </w:rPr>
              <w:outlineLvl w:val="5"/>
            </w:pPr>
            <w:r>
              <w:rPr>
                <w:rFonts w:ascii="Times New Roman" w:hAnsi="Times New Roman" w:eastAsia="Times New Roman"/>
                <w:b/>
                <w:bCs/>
                <w:iCs/>
              </w:rPr>
              <w:t xml:space="preserve">Перечень льготных программ</w:t>
            </w:r>
            <w:r>
              <w:rPr>
                <w:rFonts w:ascii="Times New Roman" w:hAnsi="Times New Roman" w:eastAsia="Times New Roman"/>
                <w:b/>
                <w:bCs/>
                <w:iCs/>
              </w:rPr>
            </w:r>
            <w:r>
              <w:rPr>
                <w:rFonts w:ascii="Times New Roman" w:hAnsi="Times New Roman" w:eastAsia="Times New Roman"/>
                <w:b/>
                <w:bCs/>
                <w:iCs/>
              </w:rPr>
            </w:r>
          </w:p>
        </w:tc>
      </w:tr>
      <w:tr>
        <w:tblPrEx/>
        <w:trPr/>
        <w:tc>
          <w:tcPr>
            <w:tcW w:w="675" w:type="dxa"/>
            <w:vAlign w:val="top"/>
            <w:vMerge w:val="continue"/>
            <w:textDirection w:val="lrTb"/>
            <w:noWrap w:val="false"/>
          </w:tcPr>
          <w:p>
            <w:pPr>
              <w:pStyle w:val="1135"/>
              <w:jc w:val="center"/>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253" w:type="dxa"/>
            <w:vAlign w:val="top"/>
            <w:textDirection w:val="lrTb"/>
            <w:noWrap w:val="false"/>
          </w:tcPr>
          <w:p>
            <w:pPr>
              <w:pStyle w:val="1135"/>
              <w:jc w:val="center"/>
              <w:keepNext/>
              <w:spacing w:before="40" w:after="40" w:line="240" w:lineRule="auto"/>
              <w:rPr>
                <w:rFonts w:ascii="Times New Roman" w:hAnsi="Times New Roman" w:eastAsia="Times New Roman"/>
                <w:b/>
                <w:bCs/>
                <w:iCs/>
                <w:sz w:val="20"/>
                <w:szCs w:val="20"/>
              </w:rPr>
              <w:outlineLvl w:val="5"/>
            </w:pPr>
            <w:r>
              <w:rPr>
                <w:rFonts w:ascii="Times New Roman" w:hAnsi="Times New Roman" w:eastAsia="Times New Roman"/>
                <w:b/>
                <w:bCs/>
                <w:iCs/>
                <w:sz w:val="20"/>
                <w:szCs w:val="20"/>
              </w:rPr>
              <w:t xml:space="preserve">Перечень 1</w:t>
            </w:r>
            <w:r>
              <w:rPr>
                <w:rFonts w:ascii="Times New Roman" w:hAnsi="Times New Roman" w:eastAsia="Times New Roman"/>
                <w:b/>
                <w:bCs/>
                <w:iCs/>
                <w:sz w:val="20"/>
                <w:szCs w:val="20"/>
              </w:rPr>
            </w:r>
            <w:r>
              <w:rPr>
                <w:rFonts w:ascii="Times New Roman" w:hAnsi="Times New Roman" w:eastAsia="Times New Roman"/>
                <w:b/>
                <w:bCs/>
                <w:iCs/>
                <w:sz w:val="20"/>
                <w:szCs w:val="20"/>
              </w:rPr>
            </w:r>
          </w:p>
        </w:tc>
        <w:tc>
          <w:tcPr>
            <w:tcW w:w="4394" w:type="dxa"/>
            <w:vAlign w:val="top"/>
            <w:textDirection w:val="lrTb"/>
            <w:noWrap w:val="false"/>
          </w:tcPr>
          <w:p>
            <w:pPr>
              <w:pStyle w:val="1135"/>
              <w:jc w:val="center"/>
              <w:keepNext/>
              <w:spacing w:before="40" w:after="40" w:line="240" w:lineRule="auto"/>
              <w:rPr>
                <w:rFonts w:ascii="Times New Roman" w:hAnsi="Times New Roman" w:eastAsia="Times New Roman"/>
                <w:b/>
                <w:bCs/>
                <w:iCs/>
                <w:sz w:val="20"/>
                <w:szCs w:val="20"/>
              </w:rPr>
              <w:outlineLvl w:val="5"/>
            </w:pPr>
            <w:r>
              <w:rPr>
                <w:rFonts w:ascii="Times New Roman" w:hAnsi="Times New Roman" w:eastAsia="Times New Roman"/>
                <w:b/>
                <w:bCs/>
                <w:iCs/>
                <w:sz w:val="20"/>
                <w:szCs w:val="20"/>
              </w:rPr>
              <w:t xml:space="preserve">Перечень 2</w:t>
            </w:r>
            <w:r>
              <w:rPr>
                <w:rFonts w:ascii="Times New Roman" w:hAnsi="Times New Roman" w:eastAsia="Times New Roman"/>
                <w:b/>
                <w:bCs/>
                <w:iCs/>
                <w:sz w:val="20"/>
                <w:szCs w:val="20"/>
              </w:rPr>
            </w:r>
            <w:r>
              <w:rPr>
                <w:rFonts w:ascii="Times New Roman" w:hAnsi="Times New Roman" w:eastAsia="Times New Roman"/>
                <w:b/>
                <w:bCs/>
                <w:iCs/>
                <w:sz w:val="20"/>
                <w:szCs w:val="20"/>
              </w:rPr>
            </w:r>
          </w:p>
        </w:tc>
      </w:tr>
      <w:tr>
        <w:tblPrEx/>
        <w:trPr/>
        <w:tc>
          <w:tcPr>
            <w:tcW w:w="675" w:type="dxa"/>
            <w:vAlign w:val="top"/>
            <w:vMerge w:val="continue"/>
            <w:textDirection w:val="lrTb"/>
            <w:noWrap w:val="false"/>
          </w:tcPr>
          <w:p>
            <w:pPr>
              <w:pStyle w:val="1135"/>
              <w:jc w:val="center"/>
              <w:keepNext/>
              <w:spacing w:before="40" w:after="40" w:line="240" w:lineRule="auto"/>
              <w:rPr>
                <w:rFonts w:ascii="Times New Roman" w:hAnsi="Times New Roman" w:eastAsia="Times New Roman"/>
                <w:b/>
                <w:bCs/>
                <w:iCs/>
                <w:sz w:val="20"/>
                <w:szCs w:val="20"/>
              </w:rPr>
              <w:outlineLvl w:val="5"/>
            </w:pPr>
            <w:r>
              <w:rPr>
                <w:rFonts w:ascii="Times New Roman" w:hAnsi="Times New Roman" w:eastAsia="Times New Roman"/>
                <w:b/>
                <w:bCs/>
                <w:iCs/>
                <w:sz w:val="20"/>
                <w:szCs w:val="20"/>
              </w:rPr>
            </w:r>
            <w:r>
              <w:rPr>
                <w:rFonts w:ascii="Times New Roman" w:hAnsi="Times New Roman" w:eastAsia="Times New Roman"/>
                <w:b/>
                <w:bCs/>
                <w:iCs/>
                <w:sz w:val="20"/>
                <w:szCs w:val="20"/>
              </w:rPr>
            </w:r>
            <w:r>
              <w:rPr>
                <w:rFonts w:ascii="Times New Roman" w:hAnsi="Times New Roman" w:eastAsia="Times New Roman"/>
                <w:b/>
                <w:bCs/>
                <w:iCs/>
                <w:sz w:val="20"/>
                <w:szCs w:val="20"/>
              </w:rPr>
            </w:r>
          </w:p>
        </w:tc>
        <w:tc>
          <w:tcPr>
            <w:gridSpan w:val="2"/>
            <w:tcW w:w="8647" w:type="dxa"/>
            <w:vAlign w:val="top"/>
            <w:textDirection w:val="lrTb"/>
            <w:noWrap w:val="false"/>
          </w:tcPr>
          <w:p>
            <w:pPr>
              <w:pStyle w:val="1135"/>
              <w:jc w:val="center"/>
              <w:keepNext/>
              <w:spacing w:before="40" w:after="40" w:line="240" w:lineRule="auto"/>
              <w:rPr>
                <w:rFonts w:ascii="Times New Roman" w:hAnsi="Times New Roman" w:eastAsia="Times New Roman"/>
                <w:b/>
                <w:bCs/>
                <w:iCs/>
                <w:sz w:val="20"/>
                <w:szCs w:val="20"/>
              </w:rPr>
              <w:outlineLvl w:val="5"/>
            </w:pPr>
            <w:r>
              <w:rPr>
                <w:rFonts w:ascii="Times New Roman" w:hAnsi="Times New Roman" w:eastAsia="Times New Roman"/>
                <w:b/>
                <w:bCs/>
                <w:iCs/>
                <w:sz w:val="20"/>
                <w:szCs w:val="20"/>
              </w:rPr>
              <w:t xml:space="preserve">Пункты раздела 12 </w:t>
            </w:r>
            <w:r>
              <w:rPr>
                <w:rFonts w:ascii="Times New Roman" w:hAnsi="Times New Roman" w:eastAsia="Times New Roman"/>
                <w:b/>
                <w:bCs/>
                <w:iCs/>
                <w:sz w:val="20"/>
                <w:szCs w:val="20"/>
              </w:rPr>
              <w:t xml:space="preserve">«</w:t>
            </w:r>
            <w:r>
              <w:rPr>
                <w:rFonts w:ascii="Times New Roman" w:hAnsi="Times New Roman" w:eastAsia="Times New Roman"/>
                <w:b/>
                <w:bCs/>
                <w:iCs/>
                <w:sz w:val="20"/>
                <w:szCs w:val="20"/>
              </w:rPr>
              <w:t xml:space="preserve">Кредитные операции»</w:t>
            </w:r>
            <w:r>
              <w:rPr>
                <w:rFonts w:ascii="Times New Roman" w:hAnsi="Times New Roman" w:eastAsia="Times New Roman"/>
                <w:b/>
                <w:bCs/>
                <w:iCs/>
                <w:sz w:val="20"/>
                <w:szCs w:val="20"/>
              </w:rPr>
            </w:r>
            <w:r>
              <w:rPr>
                <w:rFonts w:ascii="Times New Roman" w:hAnsi="Times New Roman" w:eastAsia="Times New Roman"/>
                <w:b/>
                <w:bCs/>
                <w:iCs/>
                <w:sz w:val="20"/>
                <w:szCs w:val="20"/>
              </w:rPr>
            </w:r>
          </w:p>
        </w:tc>
      </w:tr>
      <w:tr>
        <w:tblPrEx/>
        <w:trPr/>
        <w:tc>
          <w:tcPr>
            <w:tcW w:w="675" w:type="dxa"/>
            <w:vAlign w:val="top"/>
            <w:vMerge w:val="continue"/>
            <w:textDirection w:val="lrTb"/>
            <w:noWrap w:val="false"/>
          </w:tcPr>
          <w:p>
            <w:pPr>
              <w:pStyle w:val="1135"/>
              <w:jc w:val="center"/>
              <w:keepNext/>
              <w:spacing w:before="40" w:after="40" w:line="240" w:lineRule="auto"/>
              <w:rPr>
                <w:rFonts w:ascii="Times New Roman" w:hAnsi="Times New Roman" w:eastAsia="Times New Roman"/>
                <w:b/>
                <w:bCs/>
                <w:iCs/>
                <w:sz w:val="20"/>
                <w:szCs w:val="20"/>
              </w:rPr>
              <w:outlineLvl w:val="5"/>
            </w:pPr>
            <w:r>
              <w:rPr>
                <w:rFonts w:ascii="Times New Roman" w:hAnsi="Times New Roman" w:eastAsia="Times New Roman"/>
                <w:b/>
                <w:bCs/>
                <w:iCs/>
                <w:sz w:val="20"/>
                <w:szCs w:val="20"/>
              </w:rPr>
            </w:r>
            <w:r>
              <w:rPr>
                <w:rFonts w:ascii="Times New Roman" w:hAnsi="Times New Roman" w:eastAsia="Times New Roman"/>
                <w:b/>
                <w:bCs/>
                <w:iCs/>
                <w:sz w:val="20"/>
                <w:szCs w:val="20"/>
              </w:rPr>
            </w:r>
            <w:r>
              <w:rPr>
                <w:rFonts w:ascii="Times New Roman" w:hAnsi="Times New Roman" w:eastAsia="Times New Roman"/>
                <w:b/>
                <w:bCs/>
                <w:iCs/>
                <w:sz w:val="20"/>
                <w:szCs w:val="20"/>
              </w:rPr>
            </w:r>
          </w:p>
        </w:tc>
        <w:tc>
          <w:tcPr>
            <w:tcW w:w="4253" w:type="dxa"/>
            <w:vAlign w:val="top"/>
            <w:textDirection w:val="lrTb"/>
            <w:noWrap w:val="false"/>
          </w:tcPr>
          <w:p>
            <w:pPr>
              <w:pStyle w:val="1135"/>
              <w:jc w:val="center"/>
              <w:keepNext/>
              <w:spacing w:before="40" w:after="40" w:line="240" w:lineRule="auto"/>
              <w:rPr>
                <w:rFonts w:ascii="Times New Roman" w:hAnsi="Times New Roman" w:eastAsia="Times New Roman"/>
                <w:b/>
                <w:bCs/>
                <w:iCs/>
                <w:sz w:val="20"/>
                <w:szCs w:val="20"/>
              </w:rPr>
              <w:outlineLvl w:val="5"/>
            </w:pPr>
            <w:r>
              <w:rPr>
                <w:rFonts w:ascii="Times New Roman" w:hAnsi="Times New Roman" w:eastAsia="Times New Roman"/>
                <w:b/>
                <w:bCs/>
                <w:iCs/>
                <w:sz w:val="20"/>
                <w:szCs w:val="20"/>
              </w:rPr>
              <w:t xml:space="preserve">12.1, 12.2, 12.4, 12.5, 12.8</w:t>
            </w:r>
            <w:r>
              <w:rPr>
                <w:rFonts w:ascii="Times New Roman" w:hAnsi="Times New Roman" w:eastAsia="Times New Roman"/>
                <w:b/>
                <w:bCs/>
                <w:iCs/>
                <w:sz w:val="20"/>
                <w:szCs w:val="20"/>
              </w:rPr>
            </w:r>
            <w:r>
              <w:rPr>
                <w:rFonts w:ascii="Times New Roman" w:hAnsi="Times New Roman" w:eastAsia="Times New Roman"/>
                <w:b/>
                <w:bCs/>
                <w:iCs/>
                <w:sz w:val="20"/>
                <w:szCs w:val="20"/>
              </w:rPr>
            </w:r>
          </w:p>
        </w:tc>
        <w:tc>
          <w:tcPr>
            <w:tcW w:w="4394" w:type="dxa"/>
            <w:vAlign w:val="top"/>
            <w:textDirection w:val="lrTb"/>
            <w:noWrap w:val="false"/>
          </w:tcPr>
          <w:p>
            <w:pPr>
              <w:pStyle w:val="1135"/>
              <w:jc w:val="center"/>
              <w:keepNext/>
              <w:spacing w:before="40" w:after="40" w:line="240" w:lineRule="auto"/>
              <w:rPr>
                <w:rFonts w:ascii="Times New Roman" w:hAnsi="Times New Roman" w:eastAsia="Times New Roman"/>
                <w:b/>
                <w:bCs/>
                <w:iCs/>
                <w:sz w:val="20"/>
                <w:szCs w:val="20"/>
              </w:rPr>
              <w:outlineLvl w:val="5"/>
            </w:pPr>
            <w:r>
              <w:rPr>
                <w:rFonts w:ascii="Times New Roman" w:hAnsi="Times New Roman" w:eastAsia="Times New Roman"/>
                <w:b/>
                <w:bCs/>
                <w:iCs/>
                <w:sz w:val="20"/>
                <w:szCs w:val="20"/>
              </w:rPr>
              <w:t xml:space="preserve">12.3, 12.7</w:t>
            </w:r>
            <w:r>
              <w:rPr>
                <w:rFonts w:ascii="Times New Roman" w:hAnsi="Times New Roman" w:eastAsia="Times New Roman"/>
                <w:b/>
                <w:bCs/>
                <w:iCs/>
                <w:sz w:val="20"/>
                <w:szCs w:val="20"/>
              </w:rPr>
            </w:r>
            <w:r>
              <w:rPr>
                <w:rFonts w:ascii="Times New Roman" w:hAnsi="Times New Roman" w:eastAsia="Times New Roman"/>
                <w:b/>
                <w:bCs/>
                <w:iCs/>
                <w:sz w:val="20"/>
                <w:szCs w:val="20"/>
              </w:rPr>
            </w:r>
          </w:p>
        </w:tc>
      </w:tr>
      <w:tr>
        <w:tblPrEx/>
        <w:trPr/>
        <w:tc>
          <w:tcPr>
            <w:tcW w:w="675" w:type="dxa"/>
            <w:vAlign w:val="top"/>
            <w:textDirection w:val="lrTb"/>
            <w:noWrap w:val="false"/>
          </w:tcPr>
          <w:p>
            <w:pPr>
              <w:pStyle w:val="1135"/>
              <w:jc w:val="center"/>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1</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253" w:type="dxa"/>
            <w:vAlign w:val="top"/>
            <w:textDirection w:val="lrTb"/>
            <w:noWrap w:val="false"/>
          </w:tcPr>
          <w:p>
            <w:pPr>
              <w:pStyle w:val="1135"/>
              <w:keepNext/>
              <w:spacing w:before="40" w:after="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 ППРФ от 29.12.2016 № 1528 </w:t>
            </w:r>
            <w:r>
              <w:rPr>
                <w:rFonts w:ascii="Times New Roman" w:hAnsi="Times New Roman" w:eastAsia="Times New Roman"/>
                <w:bCs/>
                <w:iCs/>
                <w:sz w:val="20"/>
                <w:szCs w:val="20"/>
              </w:rPr>
            </w:r>
            <w:r>
              <w:rPr>
                <w:rFonts w:ascii="Times New Roman" w:hAnsi="Times New Roman" w:eastAsia="Times New Roman"/>
                <w:bCs/>
                <w:iCs/>
                <w:sz w:val="20"/>
                <w:szCs w:val="20"/>
              </w:rPr>
            </w:r>
          </w:p>
          <w:p>
            <w:pPr>
              <w:pStyle w:val="1135"/>
              <w:keepNext/>
              <w:spacing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(за исключением п. 12.1)</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vAlign w:val="center"/>
            <w:textDirection w:val="lrTb"/>
            <w:noWrap w:val="false"/>
          </w:tcPr>
          <w:p>
            <w:pPr>
              <w:pStyle w:val="1135"/>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 ППРФ от 29.12.2016 № 1528 </w:t>
            </w:r>
            <w:r>
              <w:rPr>
                <w:rFonts w:ascii="Times New Roman" w:hAnsi="Times New Roman" w:eastAsia="Times New Roman"/>
                <w:bCs/>
                <w:iCs/>
                <w:sz w:val="20"/>
                <w:szCs w:val="20"/>
              </w:rPr>
            </w:r>
            <w:r>
              <w:rPr>
                <w:rFonts w:ascii="Times New Roman" w:hAnsi="Times New Roman" w:eastAsia="Times New Roman"/>
                <w:bCs/>
                <w:iCs/>
                <w:sz w:val="20"/>
                <w:szCs w:val="20"/>
              </w:rPr>
            </w:r>
          </w:p>
        </w:tc>
      </w:tr>
      <w:tr>
        <w:tblPrEx/>
        <w:trPr/>
        <w:tc>
          <w:tcPr>
            <w:tcW w:w="675" w:type="dxa"/>
            <w:vAlign w:val="top"/>
            <w:textDirection w:val="lrTb"/>
            <w:noWrap w:val="false"/>
          </w:tcPr>
          <w:p>
            <w:pPr>
              <w:pStyle w:val="1135"/>
              <w:jc w:val="center"/>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2</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253" w:type="dxa"/>
            <w:vAlign w:val="top"/>
            <w:textDirection w:val="lrTb"/>
            <w:noWrap w:val="false"/>
          </w:tcPr>
          <w:p>
            <w:pPr>
              <w:pStyle w:val="1135"/>
              <w:keepNext/>
              <w:spacing w:before="40" w:after="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 ППРФ от 26.04.2019 № 512 </w:t>
            </w:r>
            <w:r>
              <w:rPr>
                <w:rFonts w:ascii="Times New Roman" w:hAnsi="Times New Roman" w:eastAsia="Times New Roman"/>
                <w:bCs/>
                <w:iCs/>
                <w:sz w:val="20"/>
                <w:szCs w:val="20"/>
              </w:rPr>
            </w:r>
            <w:r>
              <w:rPr>
                <w:rFonts w:ascii="Times New Roman" w:hAnsi="Times New Roman" w:eastAsia="Times New Roman"/>
                <w:bCs/>
                <w:iCs/>
                <w:sz w:val="20"/>
                <w:szCs w:val="20"/>
              </w:rPr>
            </w:r>
          </w:p>
          <w:p>
            <w:pPr>
              <w:pStyle w:val="1135"/>
              <w:keepNext/>
              <w:spacing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(за исключением п. 12.1)</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vAlign w:val="center"/>
            <w:textDirection w:val="lrTb"/>
            <w:noWrap w:val="false"/>
          </w:tcPr>
          <w:p>
            <w:pPr>
              <w:pStyle w:val="1135"/>
              <w:spacing w:before="40" w:after="40" w:line="240" w:lineRule="auto"/>
              <w:rPr>
                <w:rFonts w:ascii="Times New Roman" w:hAnsi="Times New Roman" w:eastAsia="Times New Roman"/>
                <w:bCs/>
                <w:iCs/>
                <w:sz w:val="20"/>
                <w:szCs w:val="20"/>
              </w:rPr>
            </w:pPr>
            <w:r>
              <w:rPr>
                <w:rFonts w:ascii="Times New Roman" w:hAnsi="Times New Roman" w:eastAsia="Times New Roman"/>
                <w:bCs/>
                <w:iCs/>
                <w:sz w:val="20"/>
                <w:szCs w:val="20"/>
              </w:rPr>
              <w:t xml:space="preserve">- ППРФ от 26.04.2019 № 512 </w:t>
            </w:r>
            <w:r>
              <w:rPr>
                <w:rFonts w:ascii="Times New Roman" w:hAnsi="Times New Roman" w:eastAsia="Times New Roman"/>
                <w:bCs/>
                <w:iCs/>
                <w:sz w:val="20"/>
                <w:szCs w:val="20"/>
              </w:rPr>
            </w:r>
            <w:r>
              <w:rPr>
                <w:rFonts w:ascii="Times New Roman" w:hAnsi="Times New Roman" w:eastAsia="Times New Roman"/>
                <w:bCs/>
                <w:iCs/>
                <w:sz w:val="20"/>
                <w:szCs w:val="20"/>
              </w:rPr>
            </w:r>
          </w:p>
        </w:tc>
      </w:tr>
      <w:tr>
        <w:tblPrEx/>
        <w:trPr/>
        <w:tc>
          <w:tcPr>
            <w:tcW w:w="675" w:type="dxa"/>
            <w:vAlign w:val="top"/>
            <w:textDirection w:val="lrTb"/>
            <w:noWrap w:val="false"/>
          </w:tcPr>
          <w:p>
            <w:pPr>
              <w:pStyle w:val="1135"/>
              <w:jc w:val="center"/>
              <w:spacing w:before="40" w:after="40" w:line="240" w:lineRule="auto"/>
              <w:rPr>
                <w:rFonts w:ascii="Times New Roman" w:hAnsi="Times New Roman" w:eastAsia="Times New Roman"/>
                <w:bCs/>
                <w:iCs/>
                <w:sz w:val="20"/>
                <w:szCs w:val="20"/>
              </w:rPr>
            </w:pPr>
            <w:r>
              <w:rPr>
                <w:rFonts w:ascii="Times New Roman" w:hAnsi="Times New Roman" w:eastAsia="Times New Roman"/>
                <w:bCs/>
                <w:iCs/>
                <w:sz w:val="20"/>
                <w:szCs w:val="20"/>
              </w:rPr>
              <w:t xml:space="preserve">3</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253" w:type="dxa"/>
            <w:vAlign w:val="top"/>
            <w:textDirection w:val="lrTb"/>
            <w:noWrap w:val="false"/>
          </w:tcPr>
          <w:p>
            <w:pPr>
              <w:pStyle w:val="1135"/>
              <w:spacing w:before="40" w:after="40" w:line="240" w:lineRule="auto"/>
              <w:rPr>
                <w:rFonts w:ascii="Times New Roman" w:hAnsi="Times New Roman" w:eastAsia="Times New Roman"/>
                <w:bCs/>
                <w:iCs/>
                <w:sz w:val="20"/>
                <w:szCs w:val="20"/>
              </w:rPr>
            </w:pPr>
            <w:r>
              <w:rPr>
                <w:rFonts w:ascii="Times New Roman" w:hAnsi="Times New Roman" w:eastAsia="Times New Roman"/>
                <w:bCs/>
                <w:iCs/>
                <w:sz w:val="20"/>
                <w:szCs w:val="20"/>
              </w:rPr>
              <w:t xml:space="preserve">- ППРФ от 24.12.2019 № 1804 </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vAlign w:val="top"/>
            <w:textDirection w:val="lrTb"/>
            <w:noWrap w:val="false"/>
          </w:tcPr>
          <w:p>
            <w:pPr>
              <w:pStyle w:val="1135"/>
              <w:spacing w:before="40" w:after="40" w:line="240" w:lineRule="auto"/>
              <w:rPr>
                <w:rFonts w:ascii="Times New Roman" w:hAnsi="Times New Roman" w:eastAsia="Times New Roman"/>
                <w:bCs/>
                <w:iCs/>
                <w:sz w:val="20"/>
                <w:szCs w:val="20"/>
              </w:rPr>
            </w:pPr>
            <w:r>
              <w:rPr>
                <w:rFonts w:ascii="Times New Roman" w:hAnsi="Times New Roman" w:eastAsia="Times New Roman"/>
                <w:bCs/>
                <w:iCs/>
                <w:sz w:val="20"/>
                <w:szCs w:val="20"/>
              </w:rPr>
              <w:t xml:space="preserve">- ППРФ от 24.12.2019 № 1804 </w:t>
            </w:r>
            <w:r>
              <w:rPr>
                <w:rFonts w:ascii="Times New Roman" w:hAnsi="Times New Roman" w:eastAsia="Times New Roman"/>
                <w:bCs/>
                <w:iCs/>
                <w:sz w:val="20"/>
                <w:szCs w:val="20"/>
              </w:rPr>
            </w:r>
            <w:r>
              <w:rPr>
                <w:rFonts w:ascii="Times New Roman" w:hAnsi="Times New Roman" w:eastAsia="Times New Roman"/>
                <w:bCs/>
                <w:iCs/>
                <w:sz w:val="20"/>
                <w:szCs w:val="20"/>
              </w:rPr>
            </w:r>
          </w:p>
        </w:tc>
      </w:tr>
      <w:tr>
        <w:tblPrEx/>
        <w:trPr/>
        <w:tc>
          <w:tcPr>
            <w:tcW w:w="675" w:type="dxa"/>
            <w:vAlign w:val="top"/>
            <w:textDirection w:val="lrTb"/>
            <w:noWrap w:val="false"/>
          </w:tcPr>
          <w:p>
            <w:pPr>
              <w:pStyle w:val="1135"/>
              <w:jc w:val="center"/>
              <w:spacing w:before="40" w:after="40" w:line="240" w:lineRule="auto"/>
              <w:rPr>
                <w:rFonts w:ascii="Times New Roman" w:hAnsi="Times New Roman" w:eastAsia="Times New Roman"/>
                <w:bCs/>
                <w:iCs/>
                <w:sz w:val="20"/>
                <w:szCs w:val="20"/>
              </w:rPr>
            </w:pPr>
            <w:r>
              <w:rPr>
                <w:rFonts w:ascii="Times New Roman" w:hAnsi="Times New Roman" w:eastAsia="Times New Roman"/>
                <w:bCs/>
                <w:iCs/>
                <w:sz w:val="20"/>
                <w:szCs w:val="20"/>
              </w:rPr>
              <w:t xml:space="preserve">4</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253" w:type="dxa"/>
            <w:vAlign w:val="top"/>
            <w:textDirection w:val="lrTb"/>
            <w:noWrap w:val="false"/>
          </w:tcPr>
          <w:p>
            <w:pPr>
              <w:pStyle w:val="1135"/>
              <w:spacing w:before="40" w:after="40" w:line="240" w:lineRule="auto"/>
              <w:rPr>
                <w:rFonts w:ascii="Times New Roman" w:hAnsi="Times New Roman" w:eastAsia="Times New Roman"/>
                <w:bCs/>
                <w:iCs/>
                <w:sz w:val="20"/>
                <w:szCs w:val="20"/>
              </w:rPr>
            </w:pPr>
            <w:r>
              <w:rPr>
                <w:rFonts w:ascii="Times New Roman" w:hAnsi="Times New Roman" w:eastAsia="Times New Roman"/>
                <w:bCs/>
                <w:iCs/>
                <w:sz w:val="20"/>
                <w:szCs w:val="20"/>
              </w:rPr>
              <w:t xml:space="preserve">- ППРФ от 30.12.2018 № 1764 </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vAlign w:val="top"/>
            <w:textDirection w:val="lrTb"/>
            <w:noWrap w:val="false"/>
          </w:tcPr>
          <w:p>
            <w:pPr>
              <w:pStyle w:val="1135"/>
              <w:spacing w:before="40" w:after="40" w:line="240" w:lineRule="auto"/>
              <w:rPr>
                <w:rFonts w:ascii="Times New Roman" w:hAnsi="Times New Roman" w:eastAsia="Times New Roman"/>
                <w:bCs/>
                <w:iCs/>
                <w:sz w:val="20"/>
                <w:szCs w:val="20"/>
              </w:rPr>
            </w:pPr>
            <w:r>
              <w:rPr>
                <w:rFonts w:ascii="Times New Roman" w:hAnsi="Times New Roman" w:eastAsia="Times New Roman"/>
                <w:bCs/>
                <w:iCs/>
                <w:sz w:val="20"/>
                <w:szCs w:val="20"/>
              </w:rPr>
            </w:r>
            <w:r>
              <w:rPr>
                <w:rFonts w:ascii="Times New Roman" w:hAnsi="Times New Roman" w:eastAsia="Times New Roman"/>
                <w:bCs/>
                <w:iCs/>
                <w:sz w:val="20"/>
                <w:szCs w:val="20"/>
              </w:rPr>
            </w:r>
            <w:r>
              <w:rPr>
                <w:rFonts w:ascii="Times New Roman" w:hAnsi="Times New Roman" w:eastAsia="Times New Roman"/>
                <w:bCs/>
                <w:iCs/>
                <w:sz w:val="20"/>
                <w:szCs w:val="20"/>
              </w:rPr>
            </w:r>
          </w:p>
        </w:tc>
      </w:tr>
      <w:tr>
        <w:tblPrEx/>
        <w:trPr/>
        <w:tc>
          <w:tcPr>
            <w:tcW w:w="675" w:type="dxa"/>
            <w:vAlign w:val="top"/>
            <w:textDirection w:val="lrTb"/>
            <w:noWrap w:val="false"/>
          </w:tcPr>
          <w:p>
            <w:pPr>
              <w:pStyle w:val="1135"/>
              <w:jc w:val="center"/>
              <w:spacing w:before="40" w:after="40" w:line="240" w:lineRule="auto"/>
              <w:rPr>
                <w:rFonts w:ascii="Times New Roman" w:hAnsi="Times New Roman" w:eastAsia="Times New Roman"/>
                <w:bCs/>
                <w:iCs/>
                <w:sz w:val="20"/>
                <w:szCs w:val="20"/>
              </w:rPr>
            </w:pPr>
            <w:r>
              <w:rPr>
                <w:rFonts w:ascii="Times New Roman" w:hAnsi="Times New Roman" w:eastAsia="Times New Roman"/>
                <w:bCs/>
                <w:iCs/>
                <w:sz w:val="20"/>
                <w:szCs w:val="20"/>
              </w:rPr>
              <w:t xml:space="preserve">5</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253" w:type="dxa"/>
            <w:vAlign w:val="top"/>
            <w:textDirection w:val="lrTb"/>
            <w:noWrap w:val="false"/>
          </w:tcPr>
          <w:p>
            <w:pPr>
              <w:pStyle w:val="1135"/>
              <w:spacing w:before="40" w:after="40" w:line="240" w:lineRule="auto"/>
              <w:rPr>
                <w:rFonts w:ascii="Times New Roman" w:hAnsi="Times New Roman" w:eastAsia="Times New Roman"/>
                <w:bCs/>
                <w:iCs/>
                <w:sz w:val="20"/>
                <w:szCs w:val="20"/>
              </w:rPr>
            </w:pPr>
            <w:r>
              <w:rPr>
                <w:rFonts w:ascii="Times New Roman" w:hAnsi="Times New Roman" w:eastAsia="Times New Roman"/>
                <w:bCs/>
                <w:iCs/>
                <w:sz w:val="20"/>
                <w:szCs w:val="20"/>
              </w:rPr>
              <w:t xml:space="preserve">- ППРФ от 09.02.2021 № 141 </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vAlign w:val="top"/>
            <w:textDirection w:val="lrTb"/>
            <w:noWrap w:val="false"/>
          </w:tcPr>
          <w:p>
            <w:pPr>
              <w:pStyle w:val="1135"/>
              <w:spacing w:before="40" w:after="40" w:line="240" w:lineRule="auto"/>
              <w:rPr>
                <w:rFonts w:ascii="Times New Roman" w:hAnsi="Times New Roman" w:eastAsia="Times New Roman"/>
                <w:bCs/>
                <w:iCs/>
                <w:sz w:val="20"/>
                <w:szCs w:val="20"/>
              </w:rPr>
            </w:pPr>
            <w:r>
              <w:rPr>
                <w:rFonts w:ascii="Times New Roman" w:hAnsi="Times New Roman" w:eastAsia="Times New Roman"/>
                <w:bCs/>
                <w:iCs/>
                <w:sz w:val="20"/>
                <w:szCs w:val="20"/>
              </w:rPr>
              <w:t xml:space="preserve">- ППРФ от 09.02.2021 № 141</w:t>
            </w:r>
            <w:r>
              <w:rPr>
                <w:rFonts w:ascii="Times New Roman" w:hAnsi="Times New Roman" w:eastAsia="Times New Roman"/>
                <w:bCs/>
                <w:iCs/>
                <w:sz w:val="20"/>
                <w:szCs w:val="20"/>
              </w:rPr>
            </w:r>
            <w:r>
              <w:rPr>
                <w:rFonts w:ascii="Times New Roman" w:hAnsi="Times New Roman" w:eastAsia="Times New Roman"/>
                <w:bCs/>
                <w:iCs/>
                <w:sz w:val="20"/>
                <w:szCs w:val="20"/>
              </w:rPr>
            </w:r>
          </w:p>
        </w:tc>
      </w:tr>
      <w:tr>
        <w:tblPrEx/>
        <w:trPr/>
        <w:tc>
          <w:tcPr>
            <w:tcW w:w="675" w:type="dxa"/>
            <w:vAlign w:val="top"/>
            <w:textDirection w:val="lrTb"/>
            <w:noWrap w:val="false"/>
          </w:tcPr>
          <w:p>
            <w:pPr>
              <w:pStyle w:val="1135"/>
              <w:jc w:val="center"/>
              <w:spacing w:before="40" w:after="40" w:line="240" w:lineRule="auto"/>
              <w:rPr>
                <w:rFonts w:ascii="Times New Roman" w:hAnsi="Times New Roman" w:eastAsia="Times New Roman"/>
                <w:bCs/>
                <w:iCs/>
                <w:sz w:val="20"/>
                <w:szCs w:val="20"/>
              </w:rPr>
            </w:pPr>
            <w:r>
              <w:rPr>
                <w:rFonts w:ascii="Times New Roman" w:hAnsi="Times New Roman" w:eastAsia="Times New Roman"/>
                <w:bCs/>
                <w:iCs/>
                <w:sz w:val="20"/>
                <w:szCs w:val="20"/>
              </w:rPr>
              <w:t xml:space="preserve">6</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253" w:type="dxa"/>
            <w:vAlign w:val="top"/>
            <w:textDirection w:val="lrTb"/>
            <w:noWrap w:val="false"/>
          </w:tcPr>
          <w:p>
            <w:pPr>
              <w:pStyle w:val="1135"/>
              <w:spacing w:before="40" w:after="40" w:line="240" w:lineRule="auto"/>
              <w:rPr>
                <w:rFonts w:ascii="Times New Roman" w:hAnsi="Times New Roman" w:eastAsia="Times New Roman"/>
                <w:bCs/>
                <w:iCs/>
                <w:sz w:val="20"/>
                <w:szCs w:val="20"/>
              </w:rPr>
            </w:pPr>
            <w:r>
              <w:rPr>
                <w:rFonts w:ascii="Times New Roman" w:hAnsi="Times New Roman" w:eastAsia="Times New Roman"/>
                <w:bCs/>
                <w:iCs/>
                <w:sz w:val="20"/>
                <w:szCs w:val="20"/>
              </w:rPr>
              <w:t xml:space="preserve">- ППРФ от 05.12.2019 № 1598 </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vAlign w:val="top"/>
            <w:textDirection w:val="lrTb"/>
            <w:noWrap w:val="false"/>
          </w:tcPr>
          <w:p>
            <w:pPr>
              <w:pStyle w:val="1135"/>
              <w:spacing w:before="40" w:after="40" w:line="240" w:lineRule="auto"/>
              <w:rPr>
                <w:rFonts w:ascii="Times New Roman" w:hAnsi="Times New Roman" w:eastAsia="Times New Roman"/>
                <w:bCs/>
                <w:iCs/>
                <w:sz w:val="20"/>
                <w:szCs w:val="20"/>
              </w:rPr>
            </w:pPr>
            <w:r>
              <w:rPr>
                <w:rFonts w:ascii="Times New Roman" w:hAnsi="Times New Roman" w:eastAsia="Times New Roman"/>
                <w:bCs/>
                <w:iCs/>
                <w:sz w:val="20"/>
                <w:szCs w:val="20"/>
              </w:rPr>
              <w:t xml:space="preserve">- ППРФ от 05.12.2019 № 1598</w:t>
            </w:r>
            <w:r>
              <w:rPr>
                <w:rFonts w:ascii="Times New Roman" w:hAnsi="Times New Roman" w:eastAsia="Times New Roman"/>
                <w:bCs/>
                <w:iCs/>
                <w:sz w:val="20"/>
                <w:szCs w:val="20"/>
              </w:rPr>
            </w:r>
            <w:r>
              <w:rPr>
                <w:rFonts w:ascii="Times New Roman" w:hAnsi="Times New Roman" w:eastAsia="Times New Roman"/>
                <w:bCs/>
                <w:iCs/>
                <w:sz w:val="20"/>
                <w:szCs w:val="20"/>
              </w:rPr>
            </w:r>
          </w:p>
        </w:tc>
      </w:tr>
      <w:tr>
        <w:tblPrEx/>
        <w:trPr/>
        <w:tc>
          <w:tcPr>
            <w:tcW w:w="675" w:type="dxa"/>
            <w:vAlign w:val="top"/>
            <w:textDirection w:val="lrTb"/>
            <w:noWrap w:val="false"/>
          </w:tcPr>
          <w:p>
            <w:pPr>
              <w:pStyle w:val="1135"/>
              <w:jc w:val="center"/>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7</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253" w:type="dxa"/>
            <w:vAlign w:val="top"/>
            <w:textDirection w:val="lrTb"/>
            <w:noWrap w:val="false"/>
          </w:tcPr>
          <w:p>
            <w:pPr>
              <w:pStyle w:val="1135"/>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 ППРФ от 30.12.2017 № 1706 </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vAlign w:val="top"/>
            <w:textDirection w:val="lrTb"/>
            <w:noWrap w:val="false"/>
          </w:tcPr>
          <w:p>
            <w:pPr>
              <w:pStyle w:val="1135"/>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r>
            <w:r>
              <w:rPr>
                <w:rFonts w:ascii="Times New Roman" w:hAnsi="Times New Roman" w:eastAsia="Times New Roman"/>
                <w:bCs/>
                <w:iCs/>
                <w:sz w:val="20"/>
                <w:szCs w:val="20"/>
              </w:rPr>
            </w:r>
            <w:r>
              <w:rPr>
                <w:rFonts w:ascii="Times New Roman" w:hAnsi="Times New Roman" w:eastAsia="Times New Roman"/>
                <w:bCs/>
                <w:iCs/>
                <w:sz w:val="20"/>
                <w:szCs w:val="20"/>
              </w:rPr>
            </w:r>
          </w:p>
        </w:tc>
      </w:tr>
      <w:tr>
        <w:tblPrEx/>
        <w:trPr/>
        <w:tc>
          <w:tcPr>
            <w:tcW w:w="675" w:type="dxa"/>
            <w:vAlign w:val="top"/>
            <w:textDirection w:val="lrTb"/>
            <w:noWrap w:val="false"/>
          </w:tcPr>
          <w:p>
            <w:pPr>
              <w:pStyle w:val="1135"/>
              <w:jc w:val="center"/>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8</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253" w:type="dxa"/>
            <w:vAlign w:val="top"/>
            <w:textDirection w:val="lrTb"/>
            <w:noWrap w:val="false"/>
          </w:tcPr>
          <w:p>
            <w:pPr>
              <w:pStyle w:val="1135"/>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 ППРФ от 06.09.2022 № 1570 </w:t>
            </w:r>
            <w:r>
              <w:rPr>
                <w:rFonts w:ascii="Times New Roman" w:hAnsi="Times New Roman" w:eastAsia="Times New Roman"/>
                <w:bCs/>
                <w:iCs/>
                <w:sz w:val="20"/>
                <w:szCs w:val="20"/>
              </w:rPr>
              <w:br/>
            </w:r>
            <w:r>
              <w:rPr>
                <w:rFonts w:ascii="Times New Roman" w:hAnsi="Times New Roman" w:eastAsia="Times New Roman"/>
                <w:bCs/>
                <w:iCs/>
                <w:sz w:val="20"/>
                <w:szCs w:val="20"/>
              </w:rPr>
              <w:t xml:space="preserve">(за исключением п. 12.1)</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vAlign w:val="center"/>
            <w:textDirection w:val="lrTb"/>
            <w:noWrap w:val="false"/>
          </w:tcPr>
          <w:p>
            <w:pPr>
              <w:pStyle w:val="1135"/>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 ППРФ от 06.092022 № 1570</w:t>
            </w:r>
            <w:r>
              <w:rPr>
                <w:rFonts w:ascii="Times New Roman" w:hAnsi="Times New Roman" w:eastAsia="Times New Roman"/>
                <w:bCs/>
                <w:iCs/>
                <w:sz w:val="20"/>
                <w:szCs w:val="20"/>
              </w:rPr>
            </w:r>
            <w:r>
              <w:rPr>
                <w:rFonts w:ascii="Times New Roman" w:hAnsi="Times New Roman" w:eastAsia="Times New Roman"/>
                <w:bCs/>
                <w:iCs/>
                <w:sz w:val="20"/>
                <w:szCs w:val="20"/>
              </w:rPr>
            </w:r>
          </w:p>
        </w:tc>
      </w:tr>
      <w:tr>
        <w:tblPrEx/>
        <w:trPr/>
        <w:tc>
          <w:tcPr>
            <w:tcW w:w="675" w:type="dxa"/>
            <w:vAlign w:val="top"/>
            <w:textDirection w:val="lrTb"/>
            <w:noWrap w:val="false"/>
          </w:tcPr>
          <w:p>
            <w:pPr>
              <w:pStyle w:val="1135"/>
              <w:jc w:val="center"/>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9</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253" w:type="dxa"/>
            <w:vAlign w:val="top"/>
            <w:textDirection w:val="lrTb"/>
            <w:noWrap w:val="false"/>
          </w:tcPr>
          <w:p>
            <w:pPr>
              <w:pStyle w:val="1135"/>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 </w:t>
            </w:r>
            <w:r>
              <w:rPr>
                <w:rFonts w:ascii="Times New Roman" w:hAnsi="Times New Roman" w:eastAsia="Times New Roman"/>
                <w:bCs/>
                <w:iCs/>
                <w:sz w:val="20"/>
                <w:szCs w:val="20"/>
              </w:rPr>
              <w:t xml:space="preserve">Решение № 258-Р (в рамках </w:t>
            </w:r>
            <w:r>
              <w:rPr>
                <w:rFonts w:ascii="Times New Roman" w:hAnsi="Times New Roman" w:eastAsia="Times New Roman"/>
                <w:bCs/>
                <w:iCs/>
                <w:sz w:val="20"/>
                <w:szCs w:val="20"/>
              </w:rPr>
              <w:t xml:space="preserve">ППРФ </w:t>
            </w:r>
            <w:r>
              <w:rPr>
                <w:rFonts w:ascii="Times New Roman" w:hAnsi="Times New Roman" w:eastAsia="Times New Roman"/>
                <w:bCs/>
                <w:iCs/>
                <w:sz w:val="20"/>
                <w:szCs w:val="20"/>
              </w:rPr>
              <w:br/>
            </w:r>
            <w:r>
              <w:rPr>
                <w:rFonts w:ascii="Times New Roman" w:hAnsi="Times New Roman" w:eastAsia="Times New Roman"/>
                <w:bCs/>
                <w:iCs/>
                <w:sz w:val="20"/>
                <w:szCs w:val="20"/>
              </w:rPr>
              <w:t xml:space="preserve">от 25.10.2023 №</w:t>
            </w:r>
            <w:r>
              <w:rPr>
                <w:rFonts w:ascii="Times New Roman" w:hAnsi="Times New Roman" w:eastAsia="Times New Roman"/>
                <w:bCs/>
                <w:iCs/>
                <w:sz w:val="20"/>
                <w:szCs w:val="20"/>
              </w:rPr>
              <w:t xml:space="preserve"> </w:t>
            </w:r>
            <w:r>
              <w:rPr>
                <w:rFonts w:ascii="Times New Roman" w:hAnsi="Times New Roman" w:eastAsia="Times New Roman"/>
                <w:bCs/>
                <w:iCs/>
                <w:sz w:val="20"/>
                <w:szCs w:val="20"/>
              </w:rPr>
              <w:t xml:space="preserve">1780</w:t>
            </w:r>
            <w:r>
              <w:rPr>
                <w:rFonts w:ascii="Times New Roman" w:hAnsi="Times New Roman" w:eastAsia="Times New Roman"/>
                <w:bCs/>
                <w:iCs/>
                <w:sz w:val="20"/>
                <w:szCs w:val="20"/>
              </w:rPr>
              <w:t xml:space="preserve">)</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vAlign w:val="top"/>
            <w:textDirection w:val="lrTb"/>
            <w:noWrap w:val="false"/>
          </w:tcPr>
          <w:p>
            <w:pPr>
              <w:pStyle w:val="1135"/>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 </w:t>
            </w:r>
            <w:r>
              <w:rPr>
                <w:rFonts w:ascii="Times New Roman" w:hAnsi="Times New Roman" w:eastAsia="Times New Roman"/>
                <w:bCs/>
                <w:iCs/>
                <w:sz w:val="20"/>
                <w:szCs w:val="20"/>
              </w:rPr>
              <w:t xml:space="preserve">Решение № 258-Р (в рамках </w:t>
            </w:r>
            <w:r>
              <w:rPr>
                <w:rFonts w:ascii="Times New Roman" w:hAnsi="Times New Roman" w:eastAsia="Times New Roman"/>
                <w:bCs/>
                <w:iCs/>
                <w:sz w:val="20"/>
                <w:szCs w:val="20"/>
              </w:rPr>
              <w:t xml:space="preserve">ППРФ </w:t>
            </w:r>
            <w:r>
              <w:rPr>
                <w:rFonts w:ascii="Times New Roman" w:hAnsi="Times New Roman" w:eastAsia="Times New Roman"/>
                <w:bCs/>
                <w:iCs/>
                <w:sz w:val="20"/>
                <w:szCs w:val="20"/>
              </w:rPr>
              <w:br/>
            </w:r>
            <w:r>
              <w:rPr>
                <w:rFonts w:ascii="Times New Roman" w:hAnsi="Times New Roman" w:eastAsia="Times New Roman"/>
                <w:bCs/>
                <w:iCs/>
                <w:sz w:val="20"/>
                <w:szCs w:val="20"/>
              </w:rPr>
              <w:t xml:space="preserve">от 25.10.2023 №</w:t>
            </w:r>
            <w:r>
              <w:rPr>
                <w:rFonts w:ascii="Times New Roman" w:hAnsi="Times New Roman" w:eastAsia="Times New Roman"/>
                <w:bCs/>
                <w:iCs/>
                <w:sz w:val="20"/>
                <w:szCs w:val="20"/>
              </w:rPr>
              <w:t xml:space="preserve"> </w:t>
            </w:r>
            <w:r>
              <w:rPr>
                <w:rFonts w:ascii="Times New Roman" w:hAnsi="Times New Roman" w:eastAsia="Times New Roman"/>
                <w:bCs/>
                <w:iCs/>
                <w:sz w:val="20"/>
                <w:szCs w:val="20"/>
              </w:rPr>
              <w:t xml:space="preserve">1780</w:t>
            </w:r>
            <w:r>
              <w:rPr>
                <w:rFonts w:ascii="Times New Roman" w:hAnsi="Times New Roman" w:eastAsia="Times New Roman"/>
                <w:bCs/>
                <w:iCs/>
                <w:sz w:val="20"/>
                <w:szCs w:val="20"/>
              </w:rPr>
              <w:t xml:space="preserve">)</w:t>
            </w:r>
            <w:r>
              <w:rPr>
                <w:rFonts w:ascii="Times New Roman" w:hAnsi="Times New Roman" w:eastAsia="Times New Roman"/>
                <w:bCs/>
                <w:iCs/>
                <w:sz w:val="20"/>
                <w:szCs w:val="20"/>
              </w:rPr>
            </w:r>
            <w:r>
              <w:rPr>
                <w:rFonts w:ascii="Times New Roman" w:hAnsi="Times New Roman" w:eastAsia="Times New Roman"/>
                <w:bCs/>
                <w:iCs/>
                <w:sz w:val="20"/>
                <w:szCs w:val="20"/>
              </w:rPr>
            </w:r>
          </w:p>
        </w:tc>
      </w:tr>
      <w:tr>
        <w:tblPrEx/>
        <w:trPr/>
        <w:tc>
          <w:tcPr>
            <w:tcW w:w="675" w:type="dxa"/>
            <w:vAlign w:val="top"/>
            <w:textDirection w:val="lrTb"/>
            <w:noWrap w:val="false"/>
          </w:tcPr>
          <w:p>
            <w:pPr>
              <w:pStyle w:val="1135"/>
              <w:jc w:val="center"/>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10</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253" w:type="dxa"/>
            <w:vAlign w:val="top"/>
            <w:textDirection w:val="lrTb"/>
            <w:noWrap w:val="false"/>
          </w:tcPr>
          <w:p>
            <w:pPr>
              <w:pStyle w:val="1135"/>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 </w:t>
            </w:r>
            <w:r>
              <w:rPr>
                <w:rFonts w:ascii="Times New Roman" w:hAnsi="Times New Roman" w:eastAsia="Times New Roman"/>
                <w:bCs/>
                <w:iCs/>
                <w:sz w:val="20"/>
                <w:szCs w:val="20"/>
              </w:rPr>
              <w:t xml:space="preserve">Решение № 358-Р (в рамках </w:t>
            </w:r>
            <w:r>
              <w:rPr>
                <w:rFonts w:ascii="Times New Roman" w:hAnsi="Times New Roman" w:eastAsia="Times New Roman"/>
                <w:bCs/>
                <w:iCs/>
                <w:sz w:val="20"/>
                <w:szCs w:val="20"/>
              </w:rPr>
              <w:t xml:space="preserve">ППРФ </w:t>
            </w:r>
            <w:r>
              <w:rPr>
                <w:rFonts w:ascii="Times New Roman" w:hAnsi="Times New Roman" w:eastAsia="Times New Roman"/>
                <w:bCs/>
                <w:iCs/>
                <w:sz w:val="20"/>
                <w:szCs w:val="20"/>
              </w:rPr>
              <w:br/>
            </w:r>
            <w:r>
              <w:rPr>
                <w:rFonts w:ascii="Times New Roman" w:hAnsi="Times New Roman" w:eastAsia="Times New Roman"/>
                <w:bCs/>
                <w:iCs/>
                <w:sz w:val="20"/>
                <w:szCs w:val="20"/>
              </w:rPr>
              <w:t xml:space="preserve">от 25.10.2023 №</w:t>
            </w:r>
            <w:r>
              <w:rPr>
                <w:rFonts w:ascii="Times New Roman" w:hAnsi="Times New Roman" w:eastAsia="Times New Roman"/>
                <w:bCs/>
                <w:iCs/>
                <w:sz w:val="20"/>
                <w:szCs w:val="20"/>
              </w:rPr>
              <w:t xml:space="preserve"> </w:t>
            </w:r>
            <w:r>
              <w:rPr>
                <w:rFonts w:ascii="Times New Roman" w:hAnsi="Times New Roman" w:eastAsia="Times New Roman"/>
                <w:bCs/>
                <w:iCs/>
                <w:sz w:val="20"/>
                <w:szCs w:val="20"/>
              </w:rPr>
              <w:t xml:space="preserve">1780</w:t>
            </w:r>
            <w:r>
              <w:rPr>
                <w:rFonts w:ascii="Times New Roman" w:hAnsi="Times New Roman" w:eastAsia="Times New Roman"/>
                <w:bCs/>
                <w:iCs/>
                <w:sz w:val="20"/>
                <w:szCs w:val="20"/>
              </w:rPr>
              <w:t xml:space="preserve">)</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vAlign w:val="top"/>
            <w:textDirection w:val="lrTb"/>
            <w:noWrap w:val="false"/>
          </w:tcPr>
          <w:p>
            <w:pPr>
              <w:pStyle w:val="1135"/>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 </w:t>
            </w:r>
            <w:r>
              <w:rPr>
                <w:rFonts w:ascii="Times New Roman" w:hAnsi="Times New Roman" w:eastAsia="Times New Roman"/>
                <w:bCs/>
                <w:iCs/>
                <w:sz w:val="20"/>
                <w:szCs w:val="20"/>
              </w:rPr>
              <w:t xml:space="preserve">Решение № 358-Р (в рамках </w:t>
            </w:r>
            <w:r>
              <w:rPr>
                <w:rFonts w:ascii="Times New Roman" w:hAnsi="Times New Roman" w:eastAsia="Times New Roman"/>
                <w:bCs/>
                <w:iCs/>
                <w:sz w:val="20"/>
                <w:szCs w:val="20"/>
              </w:rPr>
              <w:t xml:space="preserve">ППРФ </w:t>
            </w:r>
            <w:r>
              <w:rPr>
                <w:rFonts w:ascii="Times New Roman" w:hAnsi="Times New Roman" w:eastAsia="Times New Roman"/>
                <w:bCs/>
                <w:iCs/>
                <w:sz w:val="20"/>
                <w:szCs w:val="20"/>
              </w:rPr>
              <w:br/>
            </w:r>
            <w:r>
              <w:rPr>
                <w:rFonts w:ascii="Times New Roman" w:hAnsi="Times New Roman" w:eastAsia="Times New Roman"/>
                <w:bCs/>
                <w:iCs/>
                <w:sz w:val="20"/>
                <w:szCs w:val="20"/>
              </w:rPr>
              <w:t xml:space="preserve">от 25.10.2023 №</w:t>
            </w:r>
            <w:r>
              <w:rPr>
                <w:rFonts w:ascii="Times New Roman" w:hAnsi="Times New Roman" w:eastAsia="Times New Roman"/>
                <w:bCs/>
                <w:iCs/>
                <w:sz w:val="20"/>
                <w:szCs w:val="20"/>
              </w:rPr>
              <w:t xml:space="preserve"> </w:t>
            </w:r>
            <w:r>
              <w:rPr>
                <w:rFonts w:ascii="Times New Roman" w:hAnsi="Times New Roman" w:eastAsia="Times New Roman"/>
                <w:bCs/>
                <w:iCs/>
                <w:sz w:val="20"/>
                <w:szCs w:val="20"/>
              </w:rPr>
              <w:t xml:space="preserve">1780</w:t>
            </w:r>
            <w:r>
              <w:rPr>
                <w:rFonts w:ascii="Times New Roman" w:hAnsi="Times New Roman" w:eastAsia="Times New Roman"/>
                <w:bCs/>
                <w:iCs/>
                <w:sz w:val="20"/>
                <w:szCs w:val="20"/>
              </w:rPr>
              <w:t xml:space="preserve">)</w:t>
            </w:r>
            <w:r>
              <w:rPr>
                <w:rFonts w:ascii="Times New Roman" w:hAnsi="Times New Roman" w:eastAsia="Times New Roman"/>
                <w:bCs/>
                <w:iCs/>
                <w:sz w:val="20"/>
                <w:szCs w:val="20"/>
              </w:rPr>
            </w:r>
            <w:r>
              <w:rPr>
                <w:rFonts w:ascii="Times New Roman" w:hAnsi="Times New Roman" w:eastAsia="Times New Roman"/>
                <w:bCs/>
                <w:iCs/>
                <w:sz w:val="20"/>
                <w:szCs w:val="20"/>
              </w:rPr>
            </w:r>
          </w:p>
        </w:tc>
      </w:tr>
      <w:tr>
        <w:tblPrEx/>
        <w:trPr/>
        <w:tc>
          <w:tcPr>
            <w:tcW w:w="675" w:type="dxa"/>
            <w:vAlign w:val="top"/>
            <w:textDirection w:val="lrTb"/>
            <w:noWrap w:val="false"/>
          </w:tcPr>
          <w:p>
            <w:pPr>
              <w:pStyle w:val="1135"/>
              <w:jc w:val="center"/>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11</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253" w:type="dxa"/>
            <w:vAlign w:val="top"/>
            <w:textDirection w:val="lrTb"/>
            <w:noWrap w:val="false"/>
          </w:tcPr>
          <w:p>
            <w:pPr>
              <w:pStyle w:val="1135"/>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 </w:t>
            </w:r>
            <w:r>
              <w:rPr>
                <w:rFonts w:ascii="Times New Roman" w:hAnsi="Times New Roman" w:eastAsia="Times New Roman"/>
                <w:bCs/>
                <w:iCs/>
                <w:sz w:val="20"/>
                <w:szCs w:val="20"/>
              </w:rPr>
              <w:t xml:space="preserve">Решение № 1201-Р (в рамках </w:t>
            </w:r>
            <w:r>
              <w:rPr>
                <w:rFonts w:ascii="Times New Roman" w:hAnsi="Times New Roman" w:eastAsia="Times New Roman"/>
                <w:bCs/>
                <w:iCs/>
                <w:sz w:val="20"/>
                <w:szCs w:val="20"/>
              </w:rPr>
              <w:t xml:space="preserve">ППРФ </w:t>
            </w:r>
            <w:r>
              <w:rPr>
                <w:rFonts w:ascii="Times New Roman" w:hAnsi="Times New Roman" w:eastAsia="Times New Roman"/>
                <w:bCs/>
                <w:iCs/>
                <w:sz w:val="20"/>
                <w:szCs w:val="20"/>
              </w:rPr>
              <w:br/>
            </w:r>
            <w:r>
              <w:rPr>
                <w:rFonts w:ascii="Times New Roman" w:hAnsi="Times New Roman" w:eastAsia="Times New Roman"/>
                <w:bCs/>
                <w:iCs/>
                <w:sz w:val="20"/>
                <w:szCs w:val="20"/>
              </w:rPr>
              <w:t xml:space="preserve">от 25.10.2023 №</w:t>
            </w:r>
            <w:r>
              <w:rPr>
                <w:rFonts w:ascii="Times New Roman" w:hAnsi="Times New Roman" w:eastAsia="Times New Roman"/>
                <w:bCs/>
                <w:iCs/>
                <w:sz w:val="20"/>
                <w:szCs w:val="20"/>
              </w:rPr>
              <w:t xml:space="preserve"> </w:t>
            </w:r>
            <w:r>
              <w:rPr>
                <w:rFonts w:ascii="Times New Roman" w:hAnsi="Times New Roman" w:eastAsia="Times New Roman"/>
                <w:bCs/>
                <w:iCs/>
                <w:sz w:val="20"/>
                <w:szCs w:val="20"/>
              </w:rPr>
              <w:t xml:space="preserve">1780</w:t>
            </w:r>
            <w:r>
              <w:rPr>
                <w:rFonts w:ascii="Times New Roman" w:hAnsi="Times New Roman" w:eastAsia="Times New Roman"/>
                <w:bCs/>
                <w:iCs/>
                <w:sz w:val="20"/>
                <w:szCs w:val="20"/>
              </w:rPr>
              <w:t xml:space="preserve">)</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vAlign w:val="top"/>
            <w:textDirection w:val="lrTb"/>
            <w:noWrap w:val="false"/>
          </w:tcPr>
          <w:p>
            <w:pPr>
              <w:pStyle w:val="1135"/>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 </w:t>
            </w:r>
            <w:r>
              <w:rPr>
                <w:rFonts w:ascii="Times New Roman" w:hAnsi="Times New Roman" w:eastAsia="Times New Roman"/>
                <w:bCs/>
                <w:iCs/>
                <w:sz w:val="20"/>
                <w:szCs w:val="20"/>
              </w:rPr>
              <w:t xml:space="preserve">Решение № 1201-Р (в рамках </w:t>
            </w:r>
            <w:r>
              <w:rPr>
                <w:rFonts w:ascii="Times New Roman" w:hAnsi="Times New Roman" w:eastAsia="Times New Roman"/>
                <w:bCs/>
                <w:iCs/>
                <w:sz w:val="20"/>
                <w:szCs w:val="20"/>
              </w:rPr>
              <w:t xml:space="preserve">ППРФ </w:t>
            </w:r>
            <w:r>
              <w:rPr>
                <w:rFonts w:ascii="Times New Roman" w:hAnsi="Times New Roman" w:eastAsia="Times New Roman"/>
                <w:bCs/>
                <w:iCs/>
                <w:sz w:val="20"/>
                <w:szCs w:val="20"/>
              </w:rPr>
              <w:br/>
            </w:r>
            <w:r>
              <w:rPr>
                <w:rFonts w:ascii="Times New Roman" w:hAnsi="Times New Roman" w:eastAsia="Times New Roman"/>
                <w:bCs/>
                <w:iCs/>
                <w:sz w:val="20"/>
                <w:szCs w:val="20"/>
              </w:rPr>
              <w:t xml:space="preserve">от 25.10.2023 №</w:t>
            </w:r>
            <w:r>
              <w:rPr>
                <w:rFonts w:ascii="Times New Roman" w:hAnsi="Times New Roman" w:eastAsia="Times New Roman"/>
                <w:bCs/>
                <w:iCs/>
                <w:sz w:val="20"/>
                <w:szCs w:val="20"/>
              </w:rPr>
              <w:t xml:space="preserve"> </w:t>
            </w:r>
            <w:r>
              <w:rPr>
                <w:rFonts w:ascii="Times New Roman" w:hAnsi="Times New Roman" w:eastAsia="Times New Roman"/>
                <w:bCs/>
                <w:iCs/>
                <w:sz w:val="20"/>
                <w:szCs w:val="20"/>
              </w:rPr>
              <w:t xml:space="preserve">1780</w:t>
            </w:r>
            <w:r>
              <w:rPr>
                <w:rFonts w:ascii="Times New Roman" w:hAnsi="Times New Roman" w:eastAsia="Times New Roman"/>
                <w:bCs/>
                <w:iCs/>
                <w:sz w:val="20"/>
                <w:szCs w:val="20"/>
              </w:rPr>
              <w:t xml:space="preserve">)</w:t>
            </w:r>
            <w:r>
              <w:rPr>
                <w:rFonts w:ascii="Times New Roman" w:hAnsi="Times New Roman" w:eastAsia="Times New Roman"/>
                <w:bCs/>
                <w:iCs/>
                <w:sz w:val="20"/>
                <w:szCs w:val="20"/>
              </w:rPr>
            </w:r>
            <w:r>
              <w:rPr>
                <w:rFonts w:ascii="Times New Roman" w:hAnsi="Times New Roman" w:eastAsia="Times New Roman"/>
                <w:bCs/>
                <w:iCs/>
                <w:sz w:val="20"/>
                <w:szCs w:val="20"/>
              </w:rPr>
            </w:r>
          </w:p>
        </w:tc>
      </w:tr>
      <w:tr>
        <w:tblPrEx/>
        <w:trPr/>
        <w:tc>
          <w:tcPr>
            <w:tcW w:w="675" w:type="dxa"/>
            <w:vAlign w:val="top"/>
            <w:textDirection w:val="lrTb"/>
            <w:noWrap w:val="false"/>
          </w:tcPr>
          <w:p>
            <w:pPr>
              <w:pStyle w:val="1135"/>
              <w:jc w:val="center"/>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12</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253" w:type="dxa"/>
            <w:vAlign w:val="top"/>
            <w:textDirection w:val="lrTb"/>
            <w:noWrap w:val="false"/>
          </w:tcPr>
          <w:p>
            <w:pPr>
              <w:pStyle w:val="1135"/>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 </w:t>
            </w:r>
            <w:r>
              <w:rPr>
                <w:rFonts w:ascii="Times New Roman" w:hAnsi="Times New Roman" w:eastAsia="Times New Roman"/>
                <w:bCs/>
                <w:iCs/>
                <w:sz w:val="20"/>
                <w:szCs w:val="20"/>
              </w:rPr>
              <w:t xml:space="preserve">Решение № 1553-Р (в рамках </w:t>
            </w:r>
            <w:r>
              <w:rPr>
                <w:rFonts w:ascii="Times New Roman" w:hAnsi="Times New Roman" w:eastAsia="Times New Roman"/>
                <w:bCs/>
                <w:iCs/>
                <w:sz w:val="20"/>
                <w:szCs w:val="20"/>
              </w:rPr>
              <w:t xml:space="preserve">ППРФ </w:t>
            </w:r>
            <w:r>
              <w:rPr>
                <w:rFonts w:ascii="Times New Roman" w:hAnsi="Times New Roman" w:eastAsia="Times New Roman"/>
                <w:bCs/>
                <w:iCs/>
                <w:sz w:val="20"/>
                <w:szCs w:val="20"/>
              </w:rPr>
              <w:br/>
            </w:r>
            <w:r>
              <w:rPr>
                <w:rFonts w:ascii="Times New Roman" w:hAnsi="Times New Roman" w:eastAsia="Times New Roman"/>
                <w:bCs/>
                <w:iCs/>
                <w:sz w:val="20"/>
                <w:szCs w:val="20"/>
              </w:rPr>
              <w:t xml:space="preserve">от 25.10.2023 №</w:t>
            </w:r>
            <w:r>
              <w:rPr>
                <w:rFonts w:ascii="Times New Roman" w:hAnsi="Times New Roman" w:eastAsia="Times New Roman"/>
                <w:bCs/>
                <w:iCs/>
                <w:sz w:val="20"/>
                <w:szCs w:val="20"/>
              </w:rPr>
              <w:t xml:space="preserve"> </w:t>
            </w:r>
            <w:r>
              <w:rPr>
                <w:rFonts w:ascii="Times New Roman" w:hAnsi="Times New Roman" w:eastAsia="Times New Roman"/>
                <w:bCs/>
                <w:iCs/>
                <w:sz w:val="20"/>
                <w:szCs w:val="20"/>
              </w:rPr>
              <w:t xml:space="preserve">1780</w:t>
            </w:r>
            <w:r>
              <w:rPr>
                <w:rFonts w:ascii="Times New Roman" w:hAnsi="Times New Roman" w:eastAsia="Times New Roman"/>
                <w:bCs/>
                <w:iCs/>
                <w:sz w:val="20"/>
                <w:szCs w:val="20"/>
              </w:rPr>
              <w:t xml:space="preserve">)</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vAlign w:val="top"/>
            <w:textDirection w:val="lrTb"/>
            <w:noWrap w:val="false"/>
          </w:tcPr>
          <w:p>
            <w:pPr>
              <w:pStyle w:val="1135"/>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 </w:t>
            </w:r>
            <w:r>
              <w:rPr>
                <w:rFonts w:ascii="Times New Roman" w:hAnsi="Times New Roman" w:eastAsia="Times New Roman"/>
                <w:bCs/>
                <w:iCs/>
                <w:sz w:val="20"/>
                <w:szCs w:val="20"/>
              </w:rPr>
              <w:t xml:space="preserve">Решение № 1553-Р (в рамках </w:t>
            </w:r>
            <w:r>
              <w:rPr>
                <w:rFonts w:ascii="Times New Roman" w:hAnsi="Times New Roman" w:eastAsia="Times New Roman"/>
                <w:bCs/>
                <w:iCs/>
                <w:sz w:val="20"/>
                <w:szCs w:val="20"/>
              </w:rPr>
              <w:t xml:space="preserve">ППРФ </w:t>
            </w:r>
            <w:r>
              <w:rPr>
                <w:rFonts w:ascii="Times New Roman" w:hAnsi="Times New Roman" w:eastAsia="Times New Roman"/>
                <w:bCs/>
                <w:iCs/>
                <w:sz w:val="20"/>
                <w:szCs w:val="20"/>
              </w:rPr>
              <w:br/>
            </w:r>
            <w:r>
              <w:rPr>
                <w:rFonts w:ascii="Times New Roman" w:hAnsi="Times New Roman" w:eastAsia="Times New Roman"/>
                <w:bCs/>
                <w:iCs/>
                <w:sz w:val="20"/>
                <w:szCs w:val="20"/>
              </w:rPr>
              <w:t xml:space="preserve">от 25.10.2023 №</w:t>
            </w:r>
            <w:r>
              <w:rPr>
                <w:rFonts w:ascii="Times New Roman" w:hAnsi="Times New Roman" w:eastAsia="Times New Roman"/>
                <w:bCs/>
                <w:iCs/>
                <w:sz w:val="20"/>
                <w:szCs w:val="20"/>
              </w:rPr>
              <w:t xml:space="preserve"> </w:t>
            </w:r>
            <w:r>
              <w:rPr>
                <w:rFonts w:ascii="Times New Roman" w:hAnsi="Times New Roman" w:eastAsia="Times New Roman"/>
                <w:bCs/>
                <w:iCs/>
                <w:sz w:val="20"/>
                <w:szCs w:val="20"/>
              </w:rPr>
              <w:t xml:space="preserve">1780</w:t>
            </w:r>
            <w:r>
              <w:rPr>
                <w:rFonts w:ascii="Times New Roman" w:hAnsi="Times New Roman" w:eastAsia="Times New Roman"/>
                <w:bCs/>
                <w:iCs/>
                <w:sz w:val="20"/>
                <w:szCs w:val="20"/>
              </w:rPr>
              <w:t xml:space="preserve">)</w:t>
            </w:r>
            <w:r>
              <w:rPr>
                <w:rFonts w:ascii="Times New Roman" w:hAnsi="Times New Roman" w:eastAsia="Times New Roman"/>
                <w:bCs/>
                <w:iCs/>
                <w:sz w:val="20"/>
                <w:szCs w:val="20"/>
              </w:rPr>
            </w:r>
            <w:r>
              <w:rPr>
                <w:rFonts w:ascii="Times New Roman" w:hAnsi="Times New Roman" w:eastAsia="Times New Roman"/>
                <w:bCs/>
                <w:iCs/>
                <w:sz w:val="20"/>
                <w:szCs w:val="20"/>
              </w:rPr>
            </w:r>
          </w:p>
        </w:tc>
      </w:tr>
      <w:tr>
        <w:tblPrEx/>
        <w:trPr/>
        <w:tc>
          <w:tcPr>
            <w:tcW w:w="675" w:type="dxa"/>
            <w:vAlign w:val="top"/>
            <w:textDirection w:val="lrTb"/>
            <w:noWrap w:val="false"/>
          </w:tcPr>
          <w:p>
            <w:pPr>
              <w:pStyle w:val="1135"/>
              <w:jc w:val="center"/>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13</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253" w:type="dxa"/>
            <w:vAlign w:val="top"/>
            <w:textDirection w:val="lrTb"/>
            <w:noWrap w:val="false"/>
          </w:tcPr>
          <w:p>
            <w:pPr>
              <w:pStyle w:val="1135"/>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 Решение № 982-Р (в рамках ППРФ </w:t>
            </w:r>
            <w:r>
              <w:rPr>
                <w:rFonts w:ascii="Times New Roman" w:hAnsi="Times New Roman" w:eastAsia="Times New Roman"/>
                <w:bCs/>
                <w:iCs/>
                <w:sz w:val="20"/>
                <w:szCs w:val="20"/>
              </w:rPr>
              <w:br/>
            </w:r>
            <w:r>
              <w:rPr>
                <w:rFonts w:ascii="Times New Roman" w:hAnsi="Times New Roman" w:eastAsia="Times New Roman"/>
                <w:bCs/>
                <w:iCs/>
                <w:sz w:val="20"/>
                <w:szCs w:val="20"/>
              </w:rPr>
              <w:t xml:space="preserve">от 25.10.2023 № 1780) »</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vAlign w:val="top"/>
            <w:textDirection w:val="lrTb"/>
            <w:noWrap w:val="false"/>
          </w:tcPr>
          <w:p>
            <w:pPr>
              <w:pStyle w:val="1135"/>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r>
            <w:r>
              <w:rPr>
                <w:rFonts w:ascii="Times New Roman" w:hAnsi="Times New Roman" w:eastAsia="Times New Roman"/>
                <w:bCs/>
                <w:iCs/>
                <w:sz w:val="20"/>
                <w:szCs w:val="20"/>
              </w:rPr>
            </w:r>
            <w:r>
              <w:rPr>
                <w:rFonts w:ascii="Times New Roman" w:hAnsi="Times New Roman" w:eastAsia="Times New Roman"/>
                <w:bCs/>
                <w:iCs/>
                <w:sz w:val="20"/>
                <w:szCs w:val="20"/>
              </w:rPr>
            </w:r>
          </w:p>
        </w:tc>
      </w:tr>
      <w:tr>
        <w:tblPrEx/>
        <w:trPr/>
        <w:tc>
          <w:tcPr>
            <w:tcW w:w="675" w:type="dxa"/>
            <w:vAlign w:val="top"/>
            <w:textDirection w:val="lrTb"/>
            <w:noWrap w:val="false"/>
          </w:tcPr>
          <w:p>
            <w:pPr>
              <w:pStyle w:val="1135"/>
              <w:jc w:val="center"/>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14</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253" w:type="dxa"/>
            <w:vAlign w:val="top"/>
            <w:textDirection w:val="lrTb"/>
            <w:noWrap w:val="false"/>
          </w:tcPr>
          <w:p>
            <w:pPr>
              <w:pStyle w:val="1135"/>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 Решение № 665-Р (в рамках ППРФ </w:t>
            </w:r>
            <w:r>
              <w:rPr>
                <w:rFonts w:ascii="Times New Roman" w:hAnsi="Times New Roman" w:eastAsia="Times New Roman"/>
                <w:bCs/>
                <w:iCs/>
                <w:sz w:val="20"/>
                <w:szCs w:val="20"/>
              </w:rPr>
              <w:br/>
            </w:r>
            <w:r>
              <w:rPr>
                <w:rFonts w:ascii="Times New Roman" w:hAnsi="Times New Roman" w:eastAsia="Times New Roman"/>
                <w:bCs/>
                <w:iCs/>
                <w:sz w:val="20"/>
                <w:szCs w:val="20"/>
              </w:rPr>
              <w:t xml:space="preserve">от 25.10.2023 № 1780)</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vAlign w:val="top"/>
            <w:textDirection w:val="lrTb"/>
            <w:noWrap w:val="false"/>
          </w:tcPr>
          <w:p>
            <w:pPr>
              <w:pStyle w:val="1135"/>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 Решение № 665-Р (в рамках ППРФ </w:t>
            </w:r>
            <w:r>
              <w:rPr>
                <w:rFonts w:ascii="Times New Roman" w:hAnsi="Times New Roman" w:eastAsia="Times New Roman"/>
                <w:bCs/>
                <w:iCs/>
                <w:sz w:val="20"/>
                <w:szCs w:val="20"/>
              </w:rPr>
              <w:br/>
            </w:r>
            <w:r>
              <w:rPr>
                <w:rFonts w:ascii="Times New Roman" w:hAnsi="Times New Roman" w:eastAsia="Times New Roman"/>
                <w:bCs/>
                <w:iCs/>
                <w:sz w:val="20"/>
                <w:szCs w:val="20"/>
              </w:rPr>
              <w:t xml:space="preserve">от 25.10.2023 № 1780)</w:t>
            </w:r>
            <w:r>
              <w:rPr>
                <w:rFonts w:ascii="Times New Roman" w:hAnsi="Times New Roman" w:eastAsia="Times New Roman"/>
                <w:bCs/>
                <w:iCs/>
                <w:sz w:val="20"/>
                <w:szCs w:val="20"/>
              </w:rPr>
            </w:r>
            <w:r>
              <w:rPr>
                <w:rFonts w:ascii="Times New Roman" w:hAnsi="Times New Roman" w:eastAsia="Times New Roman"/>
                <w:bCs/>
                <w:iCs/>
                <w:sz w:val="20"/>
                <w:szCs w:val="20"/>
              </w:rPr>
            </w:r>
          </w:p>
        </w:tc>
      </w:tr>
      <w:tr>
        <w:tblPrEx/>
        <w:trPr/>
        <w:tc>
          <w:tcPr>
            <w:tcW w:w="675" w:type="dxa"/>
            <w:vAlign w:val="top"/>
            <w:vMerge w:val="restart"/>
            <w:textDirection w:val="lrTb"/>
            <w:noWrap w:val="false"/>
          </w:tcPr>
          <w:p>
            <w:pPr>
              <w:jc w:val="center"/>
              <w:spacing w:before="40" w:after="40" w:line="240" w:lineRule="auto"/>
              <w:rPr>
                <w:rFonts w:ascii="Times New Roman" w:hAnsi="Times New Roman" w:eastAsia="Times New Roman"/>
                <w:bCs/>
                <w:iCs/>
                <w:sz w:val="20"/>
                <w:szCs w:val="20"/>
                <w:highlight w:val="none"/>
              </w:rPr>
              <w:outlineLvl w:val="5"/>
            </w:pPr>
            <w:r>
              <w:rPr>
                <w:rFonts w:ascii="Times New Roman" w:hAnsi="Times New Roman" w:eastAsia="Times New Roman"/>
                <w:bCs/>
                <w:iCs/>
                <w:sz w:val="20"/>
                <w:szCs w:val="20"/>
                <w:highlight w:val="none"/>
              </w:rPr>
              <w:t xml:space="preserve">15</w:t>
            </w:r>
            <w:r>
              <w:rPr>
                <w:rFonts w:ascii="Times New Roman" w:hAnsi="Times New Roman" w:eastAsia="Times New Roman"/>
                <w:bCs/>
                <w:iCs/>
                <w:sz w:val="20"/>
                <w:szCs w:val="20"/>
                <w:highlight w:val="none"/>
              </w:rPr>
            </w:r>
            <w:r>
              <w:rPr>
                <w:rFonts w:ascii="Times New Roman" w:hAnsi="Times New Roman" w:eastAsia="Times New Roman"/>
                <w:bCs/>
                <w:iCs/>
                <w:sz w:val="20"/>
                <w:szCs w:val="20"/>
                <w:highlight w:val="none"/>
              </w:rPr>
            </w:r>
          </w:p>
        </w:tc>
        <w:tc>
          <w:tcPr>
            <w:tcW w:w="4253" w:type="dxa"/>
            <w:vAlign w:val="top"/>
            <w:vMerge w:val="restart"/>
            <w:textDirection w:val="lrTb"/>
            <w:noWrap w:val="false"/>
          </w:tcPr>
          <w:p>
            <w:pPr>
              <w:keepNext/>
              <w:spacing w:before="40" w:after="40" w:line="240" w:lineRule="auto"/>
              <w:rPr>
                <w:rFonts w:ascii="Times New Roman" w:hAnsi="Times New Roman" w:eastAsia="Times New Roman"/>
                <w:bCs/>
                <w:iCs/>
                <w:sz w:val="20"/>
                <w:szCs w:val="20"/>
                <w:highlight w:val="none"/>
              </w:rPr>
              <w:outlineLvl w:val="5"/>
            </w:pP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Решение № </w:t>
            </w:r>
            <w:r>
              <w:rPr>
                <w:rFonts w:ascii="Times New Roman" w:hAnsi="Times New Roman"/>
                <w:sz w:val="20"/>
                <w:szCs w:val="20"/>
                <w:highlight w:val="none"/>
              </w:rPr>
              <w:t xml:space="preserve">1969</w:t>
            </w:r>
            <w:r>
              <w:rPr>
                <w:rFonts w:ascii="Times New Roman" w:hAnsi="Times New Roman" w:eastAsia="Times New Roman"/>
                <w:bCs/>
                <w:iCs/>
                <w:sz w:val="20"/>
                <w:szCs w:val="20"/>
                <w:highlight w:val="none"/>
              </w:rPr>
              <w:t xml:space="preserve">-Р (в рамках </w:t>
            </w:r>
            <w:r>
              <w:rPr>
                <w:rFonts w:ascii="Times New Roman" w:hAnsi="Times New Roman" w:eastAsia="Times New Roman"/>
                <w:bCs/>
                <w:iCs/>
                <w:sz w:val="20"/>
                <w:szCs w:val="20"/>
                <w:highlight w:val="none"/>
              </w:rPr>
              <w:t xml:space="preserve">ППРФ </w:t>
            </w:r>
            <w:r>
              <w:rPr>
                <w:rFonts w:ascii="Times New Roman" w:hAnsi="Times New Roman" w:eastAsia="Times New Roman"/>
                <w:bCs/>
                <w:iCs/>
                <w:sz w:val="20"/>
                <w:szCs w:val="20"/>
                <w:highlight w:val="none"/>
              </w:rPr>
              <w:br/>
            </w:r>
            <w:r>
              <w:rPr>
                <w:rFonts w:ascii="Times New Roman" w:hAnsi="Times New Roman" w:eastAsia="Times New Roman"/>
                <w:bCs/>
                <w:iCs/>
                <w:sz w:val="20"/>
                <w:szCs w:val="20"/>
                <w:highlight w:val="none"/>
              </w:rPr>
              <w:t xml:space="preserve">от 25.10.2023 №</w:t>
            </w: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1780</w:t>
            </w:r>
            <w:r>
              <w:rPr>
                <w:rFonts w:ascii="Times New Roman" w:hAnsi="Times New Roman" w:eastAsia="Times New Roman"/>
                <w:bCs/>
                <w:iCs/>
                <w:sz w:val="20"/>
                <w:szCs w:val="20"/>
                <w:highlight w:val="none"/>
              </w:rPr>
              <w:t xml:space="preserve">)</w:t>
            </w:r>
            <w:r>
              <w:rPr>
                <w:rFonts w:ascii="Times New Roman" w:hAnsi="Times New Roman" w:eastAsia="Times New Roman"/>
                <w:bCs/>
                <w:iCs/>
                <w:sz w:val="20"/>
                <w:szCs w:val="20"/>
                <w:highlight w:val="none"/>
              </w:rPr>
            </w:r>
            <w:r>
              <w:rPr>
                <w:rFonts w:ascii="Times New Roman" w:hAnsi="Times New Roman" w:eastAsia="Times New Roman"/>
                <w:bCs/>
                <w:iCs/>
                <w:sz w:val="20"/>
                <w:szCs w:val="20"/>
                <w:highlight w:val="none"/>
              </w:rPr>
            </w:r>
          </w:p>
        </w:tc>
        <w:tc>
          <w:tcPr>
            <w:tcW w:w="4394" w:type="dxa"/>
            <w:vAlign w:val="top"/>
            <w:vMerge w:val="restart"/>
            <w:textDirection w:val="lrTb"/>
            <w:noWrap w:val="false"/>
          </w:tcPr>
          <w:p>
            <w:pPr>
              <w:keepNext/>
              <w:spacing w:before="40" w:after="40" w:line="240" w:lineRule="auto"/>
              <w:rPr>
                <w:rFonts w:ascii="Times New Roman" w:hAnsi="Times New Roman" w:eastAsia="Times New Roman"/>
                <w:bCs/>
                <w:iCs/>
                <w:sz w:val="20"/>
                <w:szCs w:val="20"/>
                <w:highlight w:val="none"/>
              </w:rPr>
              <w:outlineLvl w:val="5"/>
            </w:pP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Решение № </w:t>
            </w:r>
            <w:r>
              <w:rPr>
                <w:rFonts w:ascii="Times New Roman" w:hAnsi="Times New Roman"/>
                <w:sz w:val="20"/>
                <w:szCs w:val="20"/>
                <w:highlight w:val="none"/>
              </w:rPr>
              <w:t xml:space="preserve">1969</w:t>
            </w:r>
            <w:r>
              <w:rPr>
                <w:rFonts w:ascii="Times New Roman" w:hAnsi="Times New Roman" w:eastAsia="Times New Roman"/>
                <w:bCs/>
                <w:iCs/>
                <w:sz w:val="20"/>
                <w:szCs w:val="20"/>
                <w:highlight w:val="none"/>
              </w:rPr>
              <w:t xml:space="preserve">-Р (в рамках </w:t>
            </w:r>
            <w:r>
              <w:rPr>
                <w:rFonts w:ascii="Times New Roman" w:hAnsi="Times New Roman" w:eastAsia="Times New Roman"/>
                <w:bCs/>
                <w:iCs/>
                <w:sz w:val="20"/>
                <w:szCs w:val="20"/>
                <w:highlight w:val="none"/>
              </w:rPr>
              <w:t xml:space="preserve">ППРФ </w:t>
            </w:r>
            <w:r>
              <w:rPr>
                <w:rFonts w:ascii="Times New Roman" w:hAnsi="Times New Roman" w:eastAsia="Times New Roman"/>
                <w:bCs/>
                <w:iCs/>
                <w:sz w:val="20"/>
                <w:szCs w:val="20"/>
                <w:highlight w:val="none"/>
              </w:rPr>
              <w:br/>
            </w:r>
            <w:r>
              <w:rPr>
                <w:rFonts w:ascii="Times New Roman" w:hAnsi="Times New Roman" w:eastAsia="Times New Roman"/>
                <w:bCs/>
                <w:iCs/>
                <w:sz w:val="20"/>
                <w:szCs w:val="20"/>
                <w:highlight w:val="none"/>
              </w:rPr>
              <w:t xml:space="preserve">от 25.10.2023 №</w:t>
            </w: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1780</w:t>
            </w:r>
            <w:r>
              <w:rPr>
                <w:rFonts w:ascii="Times New Roman" w:hAnsi="Times New Roman" w:eastAsia="Times New Roman"/>
                <w:bCs/>
                <w:iCs/>
                <w:sz w:val="20"/>
                <w:szCs w:val="20"/>
                <w:highlight w:val="none"/>
              </w:rPr>
              <w:t xml:space="preserve">)</w:t>
            </w:r>
            <w:r>
              <w:rPr>
                <w:rFonts w:ascii="Times New Roman" w:hAnsi="Times New Roman" w:eastAsia="Times New Roman"/>
                <w:bCs/>
                <w:iCs/>
                <w:sz w:val="20"/>
                <w:szCs w:val="20"/>
                <w:highlight w:val="none"/>
              </w:rPr>
            </w:r>
            <w:r>
              <w:rPr>
                <w:rFonts w:ascii="Times New Roman" w:hAnsi="Times New Roman" w:eastAsia="Times New Roman"/>
                <w:bCs/>
                <w:iCs/>
                <w:sz w:val="20"/>
                <w:szCs w:val="20"/>
                <w:highlight w:val="none"/>
              </w:rPr>
            </w:r>
          </w:p>
        </w:tc>
      </w:tr>
      <w:tr>
        <w:tblPrEx/>
        <w:trPr/>
        <w:tc>
          <w:tcPr>
            <w:tcW w:w="675" w:type="dxa"/>
            <w:vAlign w:val="top"/>
            <w:vMerge w:val="restart"/>
            <w:textDirection w:val="lrTb"/>
            <w:noWrap w:val="false"/>
          </w:tcPr>
          <w:p>
            <w:pPr>
              <w:jc w:val="center"/>
              <w:spacing w:before="40" w:after="40" w:line="240" w:lineRule="auto"/>
              <w:rPr>
                <w:rFonts w:ascii="Times New Roman" w:hAnsi="Times New Roman" w:eastAsia="Times New Roman"/>
                <w:bCs/>
                <w:iCs/>
                <w:sz w:val="20"/>
                <w:szCs w:val="20"/>
                <w:highlight w:val="none"/>
              </w:rPr>
              <w:outlineLvl w:val="5"/>
            </w:pPr>
            <w:r>
              <w:rPr>
                <w:rFonts w:ascii="Times New Roman" w:hAnsi="Times New Roman" w:eastAsia="Times New Roman"/>
                <w:bCs/>
                <w:iCs/>
                <w:sz w:val="20"/>
                <w:szCs w:val="20"/>
                <w:highlight w:val="none"/>
              </w:rPr>
              <w:t xml:space="preserve">16</w:t>
            </w:r>
            <w:r>
              <w:rPr>
                <w:rFonts w:ascii="Times New Roman" w:hAnsi="Times New Roman" w:eastAsia="Times New Roman"/>
                <w:bCs/>
                <w:iCs/>
                <w:sz w:val="20"/>
                <w:szCs w:val="20"/>
                <w:highlight w:val="none"/>
              </w:rPr>
            </w:r>
            <w:r>
              <w:rPr>
                <w:rFonts w:ascii="Times New Roman" w:hAnsi="Times New Roman" w:eastAsia="Times New Roman"/>
                <w:bCs/>
                <w:iCs/>
                <w:sz w:val="20"/>
                <w:szCs w:val="20"/>
                <w:highlight w:val="none"/>
              </w:rPr>
            </w:r>
          </w:p>
        </w:tc>
        <w:tc>
          <w:tcPr>
            <w:tcW w:w="4253" w:type="dxa"/>
            <w:vAlign w:val="top"/>
            <w:vMerge w:val="restart"/>
            <w:textDirection w:val="lrTb"/>
            <w:noWrap w:val="false"/>
          </w:tcPr>
          <w:p>
            <w:pPr>
              <w:keepNext/>
              <w:spacing w:before="40" w:after="40" w:line="240" w:lineRule="auto"/>
              <w:rPr>
                <w:rFonts w:ascii="Times New Roman" w:hAnsi="Times New Roman" w:eastAsia="Times New Roman"/>
                <w:bCs/>
                <w:iCs/>
                <w:sz w:val="20"/>
                <w:szCs w:val="20"/>
                <w:highlight w:val="none"/>
              </w:rPr>
              <w:outlineLvl w:val="5"/>
            </w:pP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Решение № 1698-Р (в рамках </w:t>
            </w:r>
            <w:r>
              <w:rPr>
                <w:rFonts w:ascii="Times New Roman" w:hAnsi="Times New Roman" w:eastAsia="Times New Roman"/>
                <w:bCs/>
                <w:iCs/>
                <w:sz w:val="20"/>
                <w:szCs w:val="20"/>
                <w:highlight w:val="none"/>
              </w:rPr>
              <w:t xml:space="preserve">ППРФ </w:t>
            </w:r>
            <w:r>
              <w:rPr>
                <w:rFonts w:ascii="Times New Roman" w:hAnsi="Times New Roman" w:eastAsia="Times New Roman"/>
                <w:bCs/>
                <w:iCs/>
                <w:sz w:val="20"/>
                <w:szCs w:val="20"/>
                <w:highlight w:val="none"/>
              </w:rPr>
              <w:br/>
            </w:r>
            <w:r>
              <w:rPr>
                <w:rFonts w:ascii="Times New Roman" w:hAnsi="Times New Roman" w:eastAsia="Times New Roman"/>
                <w:bCs/>
                <w:iCs/>
                <w:sz w:val="20"/>
                <w:szCs w:val="20"/>
                <w:highlight w:val="none"/>
              </w:rPr>
              <w:t xml:space="preserve">от 25.10.2023 №</w:t>
            </w: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1780</w:t>
            </w:r>
            <w:r>
              <w:rPr>
                <w:rFonts w:ascii="Times New Roman" w:hAnsi="Times New Roman" w:eastAsia="Times New Roman"/>
                <w:bCs/>
                <w:iCs/>
                <w:sz w:val="20"/>
                <w:szCs w:val="20"/>
                <w:highlight w:val="none"/>
              </w:rPr>
              <w:t xml:space="preserve">)</w:t>
            </w:r>
            <w:r>
              <w:rPr>
                <w:rFonts w:ascii="Times New Roman" w:hAnsi="Times New Roman" w:eastAsia="Times New Roman"/>
                <w:bCs/>
                <w:iCs/>
                <w:sz w:val="20"/>
                <w:szCs w:val="20"/>
                <w:highlight w:val="none"/>
              </w:rPr>
            </w:r>
            <w:r>
              <w:rPr>
                <w:rFonts w:ascii="Times New Roman" w:hAnsi="Times New Roman" w:eastAsia="Times New Roman"/>
                <w:bCs/>
                <w:iCs/>
                <w:sz w:val="20"/>
                <w:szCs w:val="20"/>
                <w:highlight w:val="none"/>
              </w:rPr>
            </w:r>
          </w:p>
        </w:tc>
        <w:tc>
          <w:tcPr>
            <w:tcW w:w="4394" w:type="dxa"/>
            <w:vAlign w:val="top"/>
            <w:vMerge w:val="restart"/>
            <w:textDirection w:val="lrTb"/>
            <w:noWrap w:val="false"/>
          </w:tcPr>
          <w:p>
            <w:pPr>
              <w:keepNext/>
              <w:spacing w:before="40" w:after="40" w:line="240" w:lineRule="auto"/>
              <w:rPr>
                <w:rFonts w:ascii="Times New Roman" w:hAnsi="Times New Roman" w:eastAsia="Times New Roman"/>
                <w:bCs/>
                <w:iCs/>
                <w:sz w:val="20"/>
                <w:szCs w:val="20"/>
                <w:highlight w:val="none"/>
              </w:rPr>
              <w:outlineLvl w:val="5"/>
            </w:pP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Решение № 1698-Р (в рамках </w:t>
            </w:r>
            <w:r>
              <w:rPr>
                <w:rFonts w:ascii="Times New Roman" w:hAnsi="Times New Roman" w:eastAsia="Times New Roman"/>
                <w:bCs/>
                <w:iCs/>
                <w:sz w:val="20"/>
                <w:szCs w:val="20"/>
                <w:highlight w:val="none"/>
              </w:rPr>
              <w:t xml:space="preserve">ППРФ </w:t>
            </w:r>
            <w:r>
              <w:rPr>
                <w:rFonts w:ascii="Times New Roman" w:hAnsi="Times New Roman" w:eastAsia="Times New Roman"/>
                <w:bCs/>
                <w:iCs/>
                <w:sz w:val="20"/>
                <w:szCs w:val="20"/>
                <w:highlight w:val="none"/>
              </w:rPr>
              <w:br/>
            </w:r>
            <w:r>
              <w:rPr>
                <w:rFonts w:ascii="Times New Roman" w:hAnsi="Times New Roman" w:eastAsia="Times New Roman"/>
                <w:bCs/>
                <w:iCs/>
                <w:sz w:val="20"/>
                <w:szCs w:val="20"/>
                <w:highlight w:val="none"/>
              </w:rPr>
              <w:t xml:space="preserve">от 25.10.2023 №</w:t>
            </w: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1780</w:t>
            </w:r>
            <w:r>
              <w:rPr>
                <w:rFonts w:ascii="Times New Roman" w:hAnsi="Times New Roman" w:eastAsia="Times New Roman"/>
                <w:bCs/>
                <w:iCs/>
                <w:sz w:val="20"/>
                <w:szCs w:val="20"/>
                <w:highlight w:val="none"/>
              </w:rPr>
              <w:t xml:space="preserve">)</w:t>
            </w:r>
            <w:r>
              <w:rPr>
                <w:rFonts w:ascii="Times New Roman" w:hAnsi="Times New Roman" w:eastAsia="Times New Roman"/>
                <w:bCs/>
                <w:iCs/>
                <w:sz w:val="20"/>
                <w:szCs w:val="20"/>
                <w:highlight w:val="none"/>
              </w:rPr>
            </w:r>
            <w:r>
              <w:rPr>
                <w:rFonts w:ascii="Times New Roman" w:hAnsi="Times New Roman" w:eastAsia="Times New Roman"/>
                <w:bCs/>
                <w:iCs/>
                <w:sz w:val="20"/>
                <w:szCs w:val="20"/>
                <w:highlight w:val="none"/>
              </w:rPr>
            </w:r>
          </w:p>
        </w:tc>
      </w:tr>
      <w:tr>
        <w:tblPrEx/>
        <w:trPr/>
        <w:tc>
          <w:tcPr>
            <w:tcW w:w="675" w:type="dxa"/>
            <w:vAlign w:val="top"/>
            <w:vMerge w:val="restart"/>
            <w:textDirection w:val="lrTb"/>
            <w:noWrap w:val="false"/>
          </w:tcPr>
          <w:p>
            <w:pPr>
              <w:jc w:val="center"/>
              <w:spacing w:before="40" w:after="40" w:line="240" w:lineRule="auto"/>
              <w:rPr>
                <w:rFonts w:ascii="Times New Roman" w:hAnsi="Times New Roman" w:eastAsia="Times New Roman"/>
                <w:bCs/>
                <w:iCs/>
                <w:sz w:val="20"/>
                <w:szCs w:val="20"/>
                <w:highlight w:val="none"/>
              </w:rPr>
              <w:outlineLvl w:val="5"/>
            </w:pPr>
            <w:r>
              <w:rPr>
                <w:rFonts w:ascii="Times New Roman" w:hAnsi="Times New Roman" w:eastAsia="Times New Roman"/>
                <w:bCs/>
                <w:iCs/>
                <w:sz w:val="20"/>
                <w:szCs w:val="20"/>
                <w:highlight w:val="none"/>
              </w:rPr>
              <w:t xml:space="preserve">1</w:t>
            </w:r>
            <w:r>
              <w:rPr>
                <w:rFonts w:ascii="Times New Roman" w:hAnsi="Times New Roman" w:eastAsia="Times New Roman"/>
                <w:bCs/>
                <w:iCs/>
                <w:sz w:val="20"/>
                <w:szCs w:val="20"/>
                <w:highlight w:val="none"/>
              </w:rPr>
              <w:t xml:space="preserve">7</w:t>
            </w:r>
            <w:r>
              <w:rPr>
                <w:rFonts w:ascii="Times New Roman" w:hAnsi="Times New Roman" w:eastAsia="Times New Roman"/>
                <w:bCs/>
                <w:iCs/>
                <w:sz w:val="20"/>
                <w:szCs w:val="20"/>
                <w:highlight w:val="none"/>
              </w:rPr>
            </w:r>
            <w:r>
              <w:rPr>
                <w:rFonts w:ascii="Times New Roman" w:hAnsi="Times New Roman" w:eastAsia="Times New Roman"/>
                <w:bCs/>
                <w:iCs/>
                <w:sz w:val="20"/>
                <w:szCs w:val="20"/>
                <w:highlight w:val="none"/>
              </w:rPr>
            </w:r>
          </w:p>
        </w:tc>
        <w:tc>
          <w:tcPr>
            <w:tcW w:w="4253" w:type="dxa"/>
            <w:vAlign w:val="top"/>
            <w:vMerge w:val="restart"/>
            <w:textDirection w:val="lrTb"/>
            <w:noWrap w:val="false"/>
          </w:tcPr>
          <w:p>
            <w:pPr>
              <w:keepNext/>
              <w:spacing w:before="40" w:after="40" w:line="240" w:lineRule="auto"/>
              <w:rPr>
                <w:rFonts w:ascii="Times New Roman" w:hAnsi="Times New Roman" w:eastAsia="Times New Roman"/>
                <w:bCs/>
                <w:iCs/>
                <w:sz w:val="20"/>
                <w:szCs w:val="20"/>
                <w:highlight w:val="none"/>
              </w:rPr>
              <w:outlineLvl w:val="5"/>
            </w:pP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Решение № </w:t>
            </w:r>
            <w:r>
              <w:rPr>
                <w:rFonts w:ascii="Times New Roman" w:hAnsi="Times New Roman"/>
                <w:sz w:val="20"/>
                <w:szCs w:val="20"/>
                <w:highlight w:val="none"/>
              </w:rPr>
              <w:t xml:space="preserve">2070</w:t>
            </w:r>
            <w:r>
              <w:rPr>
                <w:rFonts w:ascii="Times New Roman" w:hAnsi="Times New Roman" w:eastAsia="Times New Roman"/>
                <w:bCs/>
                <w:iCs/>
                <w:sz w:val="20"/>
                <w:szCs w:val="20"/>
                <w:highlight w:val="none"/>
              </w:rPr>
              <w:t xml:space="preserve">-Р (в рамках </w:t>
            </w:r>
            <w:r>
              <w:rPr>
                <w:rFonts w:ascii="Times New Roman" w:hAnsi="Times New Roman" w:eastAsia="Times New Roman"/>
                <w:bCs/>
                <w:iCs/>
                <w:sz w:val="20"/>
                <w:szCs w:val="20"/>
                <w:highlight w:val="none"/>
              </w:rPr>
              <w:t xml:space="preserve">ППРФ </w:t>
            </w:r>
            <w:r>
              <w:rPr>
                <w:rFonts w:ascii="Times New Roman" w:hAnsi="Times New Roman" w:eastAsia="Times New Roman"/>
                <w:bCs/>
                <w:iCs/>
                <w:sz w:val="20"/>
                <w:szCs w:val="20"/>
                <w:highlight w:val="none"/>
              </w:rPr>
              <w:br/>
            </w:r>
            <w:r>
              <w:rPr>
                <w:rFonts w:ascii="Times New Roman" w:hAnsi="Times New Roman" w:eastAsia="Times New Roman"/>
                <w:bCs/>
                <w:iCs/>
                <w:sz w:val="20"/>
                <w:szCs w:val="20"/>
                <w:highlight w:val="none"/>
              </w:rPr>
              <w:t xml:space="preserve">от 25.10.2023 №</w:t>
            </w: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1780</w:t>
            </w:r>
            <w:r>
              <w:rPr>
                <w:rFonts w:ascii="Times New Roman" w:hAnsi="Times New Roman" w:eastAsia="Times New Roman"/>
                <w:bCs/>
                <w:iCs/>
                <w:sz w:val="20"/>
                <w:szCs w:val="20"/>
                <w:highlight w:val="none"/>
              </w:rPr>
              <w:t xml:space="preserve">)</w:t>
            </w:r>
            <w:r>
              <w:rPr>
                <w:rFonts w:ascii="Times New Roman" w:hAnsi="Times New Roman" w:eastAsia="Times New Roman"/>
                <w:bCs/>
                <w:iCs/>
                <w:sz w:val="20"/>
                <w:szCs w:val="20"/>
                <w:highlight w:val="none"/>
              </w:rPr>
            </w:r>
            <w:r>
              <w:rPr>
                <w:rFonts w:ascii="Times New Roman" w:hAnsi="Times New Roman" w:eastAsia="Times New Roman"/>
                <w:bCs/>
                <w:iCs/>
                <w:sz w:val="20"/>
                <w:szCs w:val="20"/>
                <w:highlight w:val="none"/>
              </w:rPr>
            </w:r>
          </w:p>
        </w:tc>
        <w:tc>
          <w:tcPr>
            <w:tcW w:w="4394" w:type="dxa"/>
            <w:vAlign w:val="top"/>
            <w:vMerge w:val="restart"/>
            <w:textDirection w:val="lrTb"/>
            <w:noWrap w:val="false"/>
          </w:tcPr>
          <w:p>
            <w:pPr>
              <w:keepNext/>
              <w:spacing w:before="40" w:after="40" w:line="240" w:lineRule="auto"/>
              <w:rPr>
                <w:rFonts w:ascii="Times New Roman" w:hAnsi="Times New Roman" w:eastAsia="Times New Roman"/>
                <w:bCs/>
                <w:iCs/>
                <w:sz w:val="20"/>
                <w:szCs w:val="20"/>
                <w:highlight w:val="none"/>
              </w:rPr>
              <w:outlineLvl w:val="5"/>
            </w:pP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Решение № </w:t>
            </w:r>
            <w:r>
              <w:rPr>
                <w:rFonts w:ascii="Times New Roman" w:hAnsi="Times New Roman"/>
                <w:sz w:val="20"/>
                <w:szCs w:val="20"/>
                <w:highlight w:val="none"/>
              </w:rPr>
              <w:t xml:space="preserve">2070</w:t>
            </w:r>
            <w:r>
              <w:rPr>
                <w:rFonts w:ascii="Times New Roman" w:hAnsi="Times New Roman" w:eastAsia="Times New Roman"/>
                <w:bCs/>
                <w:iCs/>
                <w:sz w:val="20"/>
                <w:szCs w:val="20"/>
                <w:highlight w:val="none"/>
              </w:rPr>
              <w:t xml:space="preserve">-Р (в рамках </w:t>
            </w:r>
            <w:r>
              <w:rPr>
                <w:rFonts w:ascii="Times New Roman" w:hAnsi="Times New Roman" w:eastAsia="Times New Roman"/>
                <w:bCs/>
                <w:iCs/>
                <w:sz w:val="20"/>
                <w:szCs w:val="20"/>
                <w:highlight w:val="none"/>
              </w:rPr>
              <w:t xml:space="preserve">ППРФ </w:t>
            </w:r>
            <w:r>
              <w:rPr>
                <w:rFonts w:ascii="Times New Roman" w:hAnsi="Times New Roman" w:eastAsia="Times New Roman"/>
                <w:bCs/>
                <w:iCs/>
                <w:sz w:val="20"/>
                <w:szCs w:val="20"/>
                <w:highlight w:val="none"/>
              </w:rPr>
              <w:br/>
            </w:r>
            <w:r>
              <w:rPr>
                <w:rFonts w:ascii="Times New Roman" w:hAnsi="Times New Roman" w:eastAsia="Times New Roman"/>
                <w:bCs/>
                <w:iCs/>
                <w:sz w:val="20"/>
                <w:szCs w:val="20"/>
                <w:highlight w:val="none"/>
              </w:rPr>
              <w:t xml:space="preserve">от 25.10.2023 №</w:t>
            </w: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1780</w:t>
            </w:r>
            <w:r>
              <w:rPr>
                <w:rFonts w:ascii="Times New Roman" w:hAnsi="Times New Roman" w:eastAsia="Times New Roman"/>
                <w:bCs/>
                <w:iCs/>
                <w:sz w:val="20"/>
                <w:szCs w:val="20"/>
                <w:highlight w:val="none"/>
              </w:rPr>
              <w:t xml:space="preserve">)</w:t>
            </w:r>
            <w:r>
              <w:rPr>
                <w:rFonts w:ascii="Times New Roman" w:hAnsi="Times New Roman" w:eastAsia="Times New Roman"/>
                <w:bCs/>
                <w:iCs/>
                <w:sz w:val="20"/>
                <w:szCs w:val="20"/>
                <w:highlight w:val="none"/>
              </w:rPr>
            </w:r>
            <w:r>
              <w:rPr>
                <w:rFonts w:ascii="Times New Roman" w:hAnsi="Times New Roman" w:eastAsia="Times New Roman"/>
                <w:bCs/>
                <w:iCs/>
                <w:sz w:val="20"/>
                <w:szCs w:val="20"/>
                <w:highlight w:val="none"/>
              </w:rPr>
            </w:r>
          </w:p>
        </w:tc>
      </w:tr>
    </w:tbl>
    <w:p>
      <w:pPr>
        <w:pStyle w:val="1135"/>
        <w:jc w:val="both"/>
        <w:spacing w:before="40" w:after="40"/>
        <w:rPr>
          <w:iCs/>
          <w:sz w:val="20"/>
          <w:szCs w:val="20"/>
        </w:rPr>
        <w:outlineLvl w:val="5"/>
      </w:pPr>
      <w:r>
        <w:rPr>
          <w:bCs/>
          <w:iCs/>
          <w:sz w:val="20"/>
          <w:szCs w:val="20"/>
        </w:rPr>
        <w:t xml:space="preserve"> </w:t>
      </w:r>
      <w:r>
        <w:rPr>
          <w:iCs/>
          <w:sz w:val="20"/>
          <w:szCs w:val="20"/>
        </w:rPr>
      </w:r>
      <w:r>
        <w:rPr>
          <w:iCs/>
          <w:sz w:val="20"/>
          <w:szCs w:val="20"/>
        </w:rPr>
      </w:r>
    </w:p>
    <w:p>
      <w:pPr>
        <w:pStyle w:val="1135"/>
        <w:jc w:val="both"/>
        <w:spacing w:before="60"/>
        <w:rPr>
          <w:bCs/>
          <w:iCs/>
          <w:sz w:val="20"/>
          <w:szCs w:val="20"/>
        </w:rPr>
      </w:pPr>
      <w:r>
        <w:rPr>
          <w:bCs/>
          <w:iCs/>
          <w:sz w:val="20"/>
          <w:szCs w:val="20"/>
        </w:rPr>
        <w:t xml:space="preserve">*Льготные программы кредитования в рамках </w:t>
      </w:r>
      <w:r>
        <w:rPr>
          <w:bCs/>
          <w:iCs/>
          <w:sz w:val="20"/>
          <w:szCs w:val="20"/>
        </w:rPr>
        <w:t xml:space="preserve">решений о порядке предоставления субсидии, разработанных в соответствии</w:t>
      </w:r>
      <w:r>
        <w:rPr>
          <w:bCs/>
          <w:iCs/>
          <w:sz w:val="20"/>
          <w:szCs w:val="20"/>
        </w:rPr>
        <w:t xml:space="preserve"> </w:t>
      </w:r>
      <w:r>
        <w:rPr>
          <w:bCs/>
          <w:iCs/>
          <w:sz w:val="20"/>
          <w:szCs w:val="20"/>
        </w:rPr>
        <w:t xml:space="preserve">с требованиями постановления Правительства Российской Федерации от 25.10.2023 № 1780 </w:t>
      </w:r>
      <w:r>
        <w:rPr>
          <w:bCs/>
          <w:iCs/>
          <w:sz w:val="20"/>
          <w:szCs w:val="20"/>
        </w:rPr>
        <w:t xml:space="preserve">«Об утверждении Правил предоставления из бюджетов бюджетной системы Российской Федерации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w:t>
      </w:r>
      <w:r>
        <w:rPr>
          <w:bCs/>
          <w:iCs/>
          <w:sz w:val="20"/>
          <w:szCs w:val="20"/>
        </w:rPr>
        <w:t xml:space="preserve">».</w:t>
      </w:r>
      <w:r>
        <w:rPr>
          <w:bCs/>
          <w:iCs/>
          <w:sz w:val="20"/>
          <w:szCs w:val="20"/>
        </w:rPr>
      </w:r>
      <w:r>
        <w:rPr>
          <w:bCs/>
          <w:iCs/>
          <w:sz w:val="20"/>
          <w:szCs w:val="20"/>
        </w:rPr>
      </w:r>
    </w:p>
    <w:p>
      <w:pPr>
        <w:pStyle w:val="1135"/>
        <w:jc w:val="both"/>
        <w:spacing w:after="120"/>
        <w:rPr>
          <w:bCs/>
          <w:iCs/>
          <w:sz w:val="20"/>
          <w:szCs w:val="20"/>
        </w:rPr>
        <w:outlineLvl w:val="5"/>
      </w:pPr>
      <w:r>
        <w:rPr>
          <w:bCs/>
          <w:iCs/>
          <w:sz w:val="20"/>
          <w:szCs w:val="20"/>
        </w:rPr>
      </w:r>
      <w:r>
        <w:rPr>
          <w:bCs/>
          <w:iCs/>
          <w:sz w:val="20"/>
          <w:szCs w:val="20"/>
        </w:rPr>
      </w:r>
      <w:r>
        <w:rPr>
          <w:bCs/>
          <w:iCs/>
          <w:sz w:val="20"/>
          <w:szCs w:val="20"/>
        </w:rPr>
      </w:r>
    </w:p>
    <w:p>
      <w:pPr>
        <w:pStyle w:val="1135"/>
        <w:jc w:val="both"/>
        <w:tabs>
          <w:tab w:val="left" w:pos="284" w:leader="none"/>
          <w:tab w:val="left" w:pos="1134" w:leader="none"/>
        </w:tabs>
        <w:rPr>
          <w:bCs/>
          <w:iCs/>
        </w:rPr>
      </w:pPr>
      <w:r>
        <w:rPr>
          <w:bCs/>
          <w:iCs/>
          <w:sz w:val="20"/>
          <w:szCs w:val="20"/>
        </w:rPr>
        <w:t xml:space="preserve">.</w:t>
      </w:r>
      <w:r>
        <w:rPr>
          <w:bCs/>
          <w:iCs/>
        </w:rPr>
      </w:r>
      <w:r>
        <w:rPr>
          <w:bCs/>
          <w:iCs/>
        </w:rPr>
      </w:r>
    </w:p>
    <w:p>
      <w:pPr>
        <w:pStyle w:val="1184"/>
        <w:contextualSpacing w:val="0"/>
        <w:ind w:left="0" w:firstLine="709"/>
        <w:jc w:val="both"/>
        <w:spacing w:after="0" w:line="257" w:lineRule="auto"/>
        <w:tabs>
          <w:tab w:val="left" w:pos="1134" w:leader="none"/>
        </w:tabs>
        <w:rPr>
          <w:rFonts w:ascii="Times New Roman" w:hAnsi="Times New Roman" w:eastAsia="Times New Roman"/>
          <w:b/>
          <w:lang w:eastAsia="ru-RU"/>
        </w:rPr>
      </w:pPr>
      <w:r>
        <w:rPr>
          <w:rFonts w:ascii="Times New Roman" w:hAnsi="Times New Roman"/>
          <w:b/>
        </w:rPr>
        <w:t xml:space="preserve">13. Обслуживание торгово-сервисных предприятий*, принимающих к оплате платежные карты, а также </w:t>
      </w:r>
      <w:r>
        <w:rPr>
          <w:rFonts w:ascii="Times New Roman" w:hAnsi="Times New Roman" w:eastAsia="Times New Roman"/>
          <w:b/>
          <w:lang w:eastAsia="ru-RU"/>
        </w:rPr>
        <w:t xml:space="preserve">принимающих оплату через сервис быстрых платежей платежной системы Банка России</w:t>
      </w:r>
      <w:r>
        <w:rPr>
          <w:rFonts w:ascii="Times New Roman" w:hAnsi="Times New Roman" w:eastAsia="Times New Roman"/>
          <w:b/>
          <w:lang w:eastAsia="ru-RU"/>
        </w:rPr>
      </w:r>
      <w:r>
        <w:rPr>
          <w:rFonts w:ascii="Times New Roman" w:hAnsi="Times New Roman" w:eastAsia="Times New Roman"/>
          <w:b/>
          <w:lang w:eastAsia="ru-RU"/>
        </w:rPr>
      </w:r>
    </w:p>
    <w:p>
      <w:pPr>
        <w:pStyle w:val="1135"/>
      </w:pPr>
      <w: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93"/>
        <w:gridCol w:w="3826"/>
        <w:gridCol w:w="2127"/>
        <w:gridCol w:w="340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35"/>
              <w:jc w:val="center"/>
              <w:rPr>
                <w:b/>
                <w:sz w:val="20"/>
                <w:szCs w:val="20"/>
              </w:rPr>
            </w:pPr>
            <w:r>
              <w:rPr>
                <w:b/>
                <w:sz w:val="20"/>
                <w:szCs w:val="20"/>
              </w:rPr>
              <w:t xml:space="preserve">№ п/п</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826" w:type="dxa"/>
            <w:vAlign w:val="top"/>
            <w:textDirection w:val="lrTb"/>
            <w:noWrap w:val="false"/>
          </w:tcPr>
          <w:p>
            <w:pPr>
              <w:pStyle w:val="1135"/>
              <w:jc w:val="center"/>
              <w:rPr>
                <w:b/>
                <w:sz w:val="20"/>
                <w:szCs w:val="20"/>
              </w:rPr>
            </w:pPr>
            <w:r>
              <w:rPr>
                <w:b/>
                <w:sz w:val="20"/>
                <w:szCs w:val="20"/>
              </w:rPr>
              <w:t xml:space="preserve">Наименование услуги</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2127" w:type="dxa"/>
            <w:vAlign w:val="top"/>
            <w:textDirection w:val="lrTb"/>
            <w:noWrap w:val="false"/>
          </w:tcPr>
          <w:p>
            <w:pPr>
              <w:pStyle w:val="1135"/>
              <w:jc w:val="center"/>
              <w:rPr>
                <w:b/>
                <w:sz w:val="20"/>
                <w:szCs w:val="20"/>
              </w:rPr>
            </w:pPr>
            <w:r>
              <w:rPr>
                <w:b/>
                <w:sz w:val="20"/>
                <w:szCs w:val="20"/>
              </w:rPr>
              <w:t xml:space="preserve">Тариф</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135"/>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4"/>
            <w:tcW w:w="10348" w:type="dxa"/>
            <w:vAlign w:val="top"/>
            <w:textDirection w:val="lrTb"/>
            <w:noWrap w:val="false"/>
          </w:tcPr>
          <w:p>
            <w:pPr>
              <w:pStyle w:val="1135"/>
              <w:jc w:val="center"/>
              <w:rPr>
                <w:sz w:val="20"/>
                <w:szCs w:val="20"/>
              </w:rPr>
            </w:pPr>
            <w:r>
              <w:rPr>
                <w:sz w:val="20"/>
                <w:szCs w:val="20"/>
              </w:rPr>
              <w:t xml:space="preserve">13.1.</w:t>
            </w:r>
            <w:r>
              <w:rPr>
                <w:sz w:val="20"/>
                <w:szCs w:val="20"/>
              </w:rPr>
              <w:t xml:space="preserve"> </w:t>
            </w:r>
            <w:r>
              <w:rPr>
                <w:bCs/>
                <w:sz w:val="20"/>
                <w:szCs w:val="20"/>
              </w:rPr>
              <w:t xml:space="preserve">Комиссия за услугу «Торговый эквайринг</w:t>
            </w:r>
            <w:r>
              <w:rPr>
                <w:bCs/>
                <w:sz w:val="20"/>
                <w:szCs w:val="20"/>
              </w:rPr>
              <w:t xml:space="preserve">»</w:t>
            </w:r>
            <w:r>
              <w:rPr>
                <w:sz w:val="20"/>
                <w:szCs w:val="20"/>
              </w:rPr>
              <w:t xml:space="preserve">:</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35"/>
              <w:jc w:val="center"/>
              <w:rPr>
                <w:sz w:val="20"/>
                <w:szCs w:val="20"/>
              </w:rPr>
            </w:pPr>
            <w:r>
              <w:rPr>
                <w:sz w:val="20"/>
                <w:szCs w:val="20"/>
              </w:rPr>
              <w:t xml:space="preserve">13.1</w:t>
            </w:r>
            <w:r>
              <w:rPr>
                <w:sz w:val="20"/>
                <w:szCs w:val="20"/>
              </w:rPr>
              <w:t xml:space="preserve">.</w:t>
            </w:r>
            <w:r>
              <w:rPr>
                <w:sz w:val="20"/>
                <w:szCs w:val="20"/>
              </w:rPr>
            </w:r>
            <w:r>
              <w:rPr>
                <w:sz w:val="20"/>
                <w:szCs w:val="20"/>
              </w:rPr>
            </w:r>
          </w:p>
        </w:tc>
        <w:tc>
          <w:tcPr>
            <w:tcW w:w="3826" w:type="dxa"/>
            <w:vAlign w:val="top"/>
            <w:textDirection w:val="lrTb"/>
            <w:noWrap w:val="false"/>
          </w:tcPr>
          <w:p>
            <w:pPr>
              <w:pStyle w:val="1135"/>
              <w:jc w:val="both"/>
              <w:rPr>
                <w:sz w:val="20"/>
                <w:szCs w:val="20"/>
              </w:rPr>
            </w:pPr>
            <w:r>
              <w:rPr>
                <w:sz w:val="20"/>
                <w:szCs w:val="20"/>
              </w:rPr>
              <w:t xml:space="preserve">Комиссия за услугу «Торговый эквайринг», подключенную путем присоединения к Условиям эквайрингового обслуживания клиентов АО «Россельхозбанк» (торговый эквайринг) в соответствии с Тарифам</w:t>
            </w:r>
            <w:r>
              <w:rPr>
                <w:sz w:val="20"/>
                <w:szCs w:val="20"/>
              </w:rPr>
              <w:t xml:space="preserve">и Банка, с использованием карты JCB International, UnionPay International, национальной платежной системы «Мир» и иных международных платежных систем (В) (М), осуществление операций по картам которых обеспечивается АО «Национальная система платежных карт».</w:t>
            </w:r>
            <w:r>
              <w:rPr>
                <w:sz w:val="20"/>
                <w:szCs w:val="20"/>
              </w:rPr>
            </w:r>
            <w:r>
              <w:rPr>
                <w:sz w:val="20"/>
                <w:szCs w:val="20"/>
              </w:rPr>
            </w:r>
          </w:p>
        </w:tc>
        <w:tc>
          <w:tcPr>
            <w:tcW w:w="2127" w:type="dxa"/>
            <w:vAlign w:val="top"/>
            <w:textDirection w:val="lrTb"/>
            <w:noWrap w:val="false"/>
          </w:tcPr>
          <w:p>
            <w:pPr>
              <w:pStyle w:val="1135"/>
              <w:jc w:val="center"/>
              <w:rPr>
                <w:sz w:val="20"/>
                <w:szCs w:val="20"/>
              </w:rPr>
            </w:pPr>
            <w:r>
              <w:rPr>
                <w:sz w:val="20"/>
                <w:szCs w:val="20"/>
              </w:rPr>
              <w:t xml:space="preserve">Согласно </w:t>
            </w:r>
            <w:r>
              <w:rPr>
                <w:sz w:val="20"/>
                <w:szCs w:val="20"/>
              </w:rPr>
              <w:br w:type="textWrapping" w:clear="all"/>
            </w:r>
            <w:r>
              <w:rPr>
                <w:sz w:val="20"/>
                <w:szCs w:val="20"/>
              </w:rPr>
              <w:t xml:space="preserve">Приложению 1 </w:t>
            </w:r>
            <w:r>
              <w:rPr>
                <w:sz w:val="20"/>
                <w:szCs w:val="20"/>
              </w:rPr>
              <w:br w:type="textWrapping" w:clear="all"/>
            </w:r>
            <w:r>
              <w:rPr>
                <w:sz w:val="20"/>
                <w:szCs w:val="20"/>
              </w:rPr>
              <w:t xml:space="preserve">к Тарифам</w:t>
            </w:r>
            <w:r>
              <w:rPr>
                <w:sz w:val="20"/>
                <w:szCs w:val="20"/>
              </w:rPr>
            </w:r>
            <w:r>
              <w:rPr>
                <w:sz w:val="20"/>
                <w:szCs w:val="20"/>
              </w:rPr>
            </w:r>
          </w:p>
        </w:tc>
        <w:tc>
          <w:tcPr>
            <w:tcW w:w="3402" w:type="dxa"/>
            <w:vAlign w:val="top"/>
            <w:textDirection w:val="lrTb"/>
            <w:noWrap w:val="false"/>
          </w:tcPr>
          <w:p>
            <w:pPr>
              <w:pStyle w:val="113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170"/>
        </w:trPr>
        <w:tc>
          <w:tcPr>
            <w:tcW w:w="993" w:type="dxa"/>
            <w:vAlign w:val="top"/>
            <w:textDirection w:val="lrTb"/>
            <w:noWrap w:val="false"/>
          </w:tcPr>
          <w:p>
            <w:pPr>
              <w:pStyle w:val="1135"/>
              <w:jc w:val="center"/>
              <w:rPr>
                <w:sz w:val="20"/>
                <w:szCs w:val="20"/>
              </w:rPr>
            </w:pPr>
            <w:r>
              <w:rPr>
                <w:sz w:val="20"/>
                <w:szCs w:val="20"/>
              </w:rPr>
              <w:t xml:space="preserve">13.2.</w:t>
            </w:r>
            <w:r>
              <w:rPr>
                <w:sz w:val="20"/>
                <w:szCs w:val="20"/>
              </w:rPr>
            </w:r>
            <w:r>
              <w:rPr>
                <w:sz w:val="20"/>
                <w:szCs w:val="20"/>
              </w:rPr>
            </w:r>
          </w:p>
        </w:tc>
        <w:tc>
          <w:tcPr>
            <w:tcW w:w="3826" w:type="dxa"/>
            <w:vAlign w:val="top"/>
            <w:textDirection w:val="lrTb"/>
            <w:noWrap w:val="false"/>
          </w:tcPr>
          <w:p>
            <w:pPr>
              <w:pStyle w:val="1135"/>
              <w:jc w:val="both"/>
              <w:spacing w:before="40" w:after="40"/>
              <w:rPr>
                <w:sz w:val="20"/>
                <w:szCs w:val="20"/>
              </w:rPr>
            </w:pPr>
            <w:r>
              <w:rPr>
                <w:bCs/>
                <w:sz w:val="20"/>
                <w:szCs w:val="20"/>
              </w:rPr>
              <w:t xml:space="preserve">Ежемесячная комиссия за оказание услуги по сбору, обработке и рассылке участникам расчетов информации по операциям с платежными картами</w:t>
            </w:r>
            <w:r>
              <w:rPr>
                <w:sz w:val="20"/>
                <w:szCs w:val="20"/>
              </w:rPr>
            </w:r>
            <w:r>
              <w:rPr>
                <w:sz w:val="20"/>
                <w:szCs w:val="20"/>
              </w:rPr>
            </w:r>
          </w:p>
        </w:tc>
        <w:tc>
          <w:tcPr>
            <w:tcW w:w="2127" w:type="dxa"/>
            <w:vAlign w:val="top"/>
            <w:textDirection w:val="lrTb"/>
            <w:noWrap w:val="false"/>
          </w:tcPr>
          <w:p>
            <w:pPr>
              <w:pStyle w:val="1135"/>
              <w:jc w:val="center"/>
              <w:rPr>
                <w:sz w:val="20"/>
                <w:szCs w:val="20"/>
              </w:rPr>
            </w:pPr>
            <w:r>
              <w:rPr>
                <w:sz w:val="20"/>
                <w:szCs w:val="20"/>
              </w:rPr>
              <w:t xml:space="preserve">Не взимается</w:t>
            </w:r>
            <w:r>
              <w:rPr>
                <w:sz w:val="20"/>
                <w:szCs w:val="20"/>
              </w:rPr>
            </w:r>
            <w:r>
              <w:rPr>
                <w:sz w:val="20"/>
                <w:szCs w:val="20"/>
              </w:rPr>
            </w:r>
          </w:p>
        </w:tc>
        <w:tc>
          <w:tcPr>
            <w:tcW w:w="3402" w:type="dxa"/>
            <w:vAlign w:val="top"/>
            <w:textDirection w:val="lrTb"/>
            <w:noWrap w:val="false"/>
          </w:tcPr>
          <w:p>
            <w:pPr>
              <w:pStyle w:val="113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00"/>
        </w:trPr>
        <w:tc>
          <w:tcPr>
            <w:tcW w:w="993" w:type="dxa"/>
            <w:vAlign w:val="top"/>
            <w:textDirection w:val="lrTb"/>
            <w:noWrap w:val="false"/>
          </w:tcPr>
          <w:p>
            <w:pPr>
              <w:pStyle w:val="1135"/>
              <w:jc w:val="center"/>
              <w:rPr>
                <w:sz w:val="20"/>
                <w:szCs w:val="20"/>
              </w:rPr>
            </w:pPr>
            <w:r>
              <w:rPr>
                <w:sz w:val="20"/>
                <w:szCs w:val="20"/>
              </w:rPr>
              <w:t xml:space="preserve">13.3</w:t>
            </w:r>
            <w:r>
              <w:rPr>
                <w:sz w:val="20"/>
                <w:szCs w:val="20"/>
              </w:rPr>
            </w:r>
            <w:r>
              <w:rPr>
                <w:sz w:val="20"/>
                <w:szCs w:val="20"/>
              </w:rPr>
            </w:r>
          </w:p>
        </w:tc>
        <w:tc>
          <w:tcPr>
            <w:tcW w:w="3826" w:type="dxa"/>
            <w:vAlign w:val="top"/>
            <w:textDirection w:val="lrTb"/>
            <w:noWrap w:val="false"/>
          </w:tcPr>
          <w:p>
            <w:pPr>
              <w:pStyle w:val="1135"/>
              <w:rPr>
                <w:sz w:val="20"/>
                <w:szCs w:val="20"/>
              </w:rPr>
            </w:pPr>
            <w:r>
              <w:rPr>
                <w:sz w:val="20"/>
                <w:szCs w:val="20"/>
              </w:rPr>
            </w:r>
            <w:r>
              <w:rPr>
                <w:rFonts w:ascii="Times New Roman" w:hAnsi="Times New Roman" w:eastAsia="Times New Roman"/>
                <w:bCs/>
                <w:sz w:val="20"/>
                <w:szCs w:val="20"/>
                <w:highlight w:val="white"/>
                <w:lang w:eastAsia="ru-RU"/>
              </w:rPr>
              <w:t xml:space="preserve">Комиссия за совершение операции в сети Интернет </w:t>
            </w:r>
            <w:r>
              <w:rPr>
                <w:rFonts w:ascii="Times New Roman" w:hAnsi="Times New Roman" w:eastAsia="Times New Roman"/>
                <w:sz w:val="20"/>
                <w:szCs w:val="20"/>
                <w:highlight w:val="white"/>
                <w:lang w:eastAsia="ru-RU"/>
              </w:rPr>
              <w:t xml:space="preserve">с использованием карты JCB International, UnionPay Int</w:t>
            </w:r>
            <w:r>
              <w:rPr>
                <w:rFonts w:ascii="Times New Roman" w:hAnsi="Times New Roman" w:eastAsia="Times New Roman"/>
                <w:sz w:val="20"/>
                <w:szCs w:val="20"/>
                <w:highlight w:val="white"/>
                <w:lang w:eastAsia="ru-RU"/>
              </w:rPr>
              <w:t xml:space="preserve">e</w:t>
            </w:r>
            <w:r>
              <w:rPr>
                <w:rFonts w:ascii="Times New Roman" w:hAnsi="Times New Roman" w:eastAsia="Times New Roman"/>
                <w:sz w:val="20"/>
                <w:szCs w:val="20"/>
                <w:highlight w:val="white"/>
                <w:lang w:eastAsia="ru-RU"/>
              </w:rPr>
              <w:t xml:space="preserve">rnational, национальной платежной системы «Мир» и иных международных платежных систем (В) (М), осуществление операций по картам которых обеспечивается </w:t>
              <w:br/>
              <w:t xml:space="preserve">АО «Национальная система платежных карт» и производится исключительно на территории Российской Федерации</w:t>
            </w:r>
            <w:r>
              <w:rPr>
                <w:sz w:val="20"/>
                <w:szCs w:val="20"/>
              </w:rPr>
            </w:r>
            <w:r>
              <w:rPr>
                <w:sz w:val="20"/>
                <w:szCs w:val="20"/>
              </w:rPr>
            </w:r>
          </w:p>
        </w:tc>
        <w:tc>
          <w:tcPr>
            <w:tcW w:w="2127" w:type="dxa"/>
            <w:vAlign w:val="top"/>
            <w:textDirection w:val="lrTb"/>
            <w:noWrap w:val="false"/>
          </w:tcPr>
          <w:p>
            <w:pPr>
              <w:pStyle w:val="1135"/>
              <w:jc w:val="center"/>
              <w:rPr>
                <w:sz w:val="20"/>
                <w:szCs w:val="20"/>
              </w:rPr>
            </w:pPr>
            <w:r>
              <w:rPr>
                <w:sz w:val="20"/>
                <w:szCs w:val="20"/>
              </w:rPr>
            </w:r>
            <w:r>
              <w:rPr>
                <w:rFonts w:ascii="Times New Roman" w:hAnsi="Times New Roman"/>
                <w:sz w:val="20"/>
                <w:szCs w:val="20"/>
                <w:highlight w:val="white"/>
              </w:rPr>
              <w:t xml:space="preserve">Согласно </w:t>
            </w:r>
            <w:r>
              <w:rPr>
                <w:rFonts w:ascii="Times New Roman" w:hAnsi="Times New Roman"/>
                <w:sz w:val="20"/>
                <w:szCs w:val="20"/>
                <w:highlight w:val="white"/>
              </w:rPr>
              <w:t xml:space="preserve">Приложению 2</w:t>
            </w:r>
            <w:r>
              <w:rPr>
                <w:rFonts w:ascii="Times New Roman" w:hAnsi="Times New Roman"/>
                <w:sz w:val="20"/>
                <w:szCs w:val="20"/>
                <w:highlight w:val="white"/>
              </w:rPr>
              <w:t xml:space="preserve"> к Тарифам</w:t>
            </w:r>
            <w:r>
              <w:rPr>
                <w:sz w:val="20"/>
                <w:szCs w:val="20"/>
              </w:rPr>
            </w:r>
            <w:r>
              <w:rPr>
                <w:sz w:val="20"/>
                <w:szCs w:val="20"/>
              </w:rPr>
            </w:r>
          </w:p>
        </w:tc>
        <w:tc>
          <w:tcPr>
            <w:tcW w:w="3402" w:type="dxa"/>
            <w:vAlign w:val="top"/>
            <w:textDirection w:val="lrTb"/>
            <w:noWrap w:val="false"/>
          </w:tcPr>
          <w:p>
            <w:pPr>
              <w:pStyle w:val="113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140"/>
        </w:trPr>
        <w:tc>
          <w:tcPr>
            <w:tcW w:w="993" w:type="dxa"/>
            <w:vAlign w:val="top"/>
            <w:textDirection w:val="lrTb"/>
            <w:noWrap w:val="false"/>
          </w:tcPr>
          <w:p>
            <w:pPr>
              <w:pStyle w:val="1135"/>
              <w:jc w:val="center"/>
              <w:spacing w:before="40" w:after="40"/>
              <w:rPr>
                <w:sz w:val="20"/>
                <w:szCs w:val="20"/>
              </w:rPr>
            </w:pPr>
            <w:r>
              <w:rPr>
                <w:sz w:val="20"/>
                <w:szCs w:val="20"/>
              </w:rPr>
              <w:t xml:space="preserve">13.4.</w:t>
            </w:r>
            <w:r>
              <w:rPr>
                <w:sz w:val="20"/>
                <w:szCs w:val="20"/>
              </w:rPr>
            </w:r>
            <w:r>
              <w:rPr>
                <w:sz w:val="20"/>
                <w:szCs w:val="20"/>
              </w:rPr>
            </w:r>
          </w:p>
        </w:tc>
        <w:tc>
          <w:tcPr>
            <w:tcW w:w="3826" w:type="dxa"/>
            <w:vAlign w:val="top"/>
            <w:textDirection w:val="lrTb"/>
            <w:noWrap w:val="false"/>
          </w:tcPr>
          <w:p>
            <w:pPr>
              <w:pStyle w:val="1135"/>
              <w:ind w:left="74"/>
              <w:jc w:val="both"/>
              <w:rPr>
                <w:sz w:val="20"/>
                <w:szCs w:val="20"/>
              </w:rPr>
            </w:pPr>
            <w:r>
              <w:rPr>
                <w:sz w:val="20"/>
                <w:szCs w:val="20"/>
              </w:rPr>
            </w:r>
            <w:r>
              <w:rPr>
                <w:rFonts w:ascii="Times New Roman" w:hAnsi="Times New Roman" w:eastAsia="Times New Roman"/>
                <w:bCs/>
                <w:sz w:val="20"/>
                <w:szCs w:val="20"/>
                <w:highlight w:val="white"/>
                <w:lang w:eastAsia="ru-RU"/>
              </w:rPr>
              <w:t xml:space="preserve">Комиссия за технологическое взаимодействие в </w:t>
            </w:r>
            <w:r>
              <w:rPr>
                <w:rFonts w:ascii="Times New Roman" w:hAnsi="Times New Roman" w:eastAsia="Times New Roman"/>
                <w:bCs/>
                <w:sz w:val="20"/>
                <w:szCs w:val="20"/>
                <w:lang w:eastAsia="ru-RU"/>
              </w:rPr>
              <w:t xml:space="preserve">рамках услуги «Интернет-эквайринг»</w:t>
            </w:r>
            <w:r>
              <w:rPr>
                <w:sz w:val="20"/>
                <w:szCs w:val="20"/>
              </w:rPr>
            </w:r>
            <w:r>
              <w:rPr>
                <w:sz w:val="20"/>
                <w:szCs w:val="20"/>
              </w:rPr>
            </w:r>
          </w:p>
          <w:p>
            <w:pPr>
              <w:pStyle w:val="1135"/>
              <w:ind w:left="74"/>
              <w:jc w:val="both"/>
              <w:rPr>
                <w:sz w:val="20"/>
                <w:szCs w:val="20"/>
              </w:rPr>
            </w:pPr>
            <w:r>
              <w:rPr>
                <w:sz w:val="20"/>
                <w:szCs w:val="20"/>
              </w:rPr>
            </w:r>
            <w:r>
              <w:rPr>
                <w:sz w:val="20"/>
                <w:szCs w:val="20"/>
              </w:rPr>
            </w:r>
            <w:r>
              <w:rPr>
                <w:sz w:val="20"/>
                <w:szCs w:val="20"/>
              </w:rPr>
            </w:r>
          </w:p>
        </w:tc>
        <w:tc>
          <w:tcPr>
            <w:tcW w:w="2127" w:type="dxa"/>
            <w:vAlign w:val="top"/>
            <w:textDirection w:val="lrTb"/>
            <w:noWrap w:val="false"/>
          </w:tcPr>
          <w:p>
            <w:pPr>
              <w:pStyle w:val="1135"/>
              <w:ind w:left="72"/>
              <w:jc w:val="center"/>
              <w:spacing w:before="40" w:after="40"/>
              <w:rPr>
                <w:sz w:val="20"/>
                <w:szCs w:val="20"/>
              </w:rPr>
            </w:pPr>
            <w:r>
              <w:rPr>
                <w:sz w:val="20"/>
                <w:szCs w:val="20"/>
              </w:rPr>
            </w:r>
            <w:r>
              <w:rPr>
                <w:rFonts w:ascii="Times New Roman" w:hAnsi="Times New Roman"/>
                <w:sz w:val="20"/>
                <w:szCs w:val="20"/>
                <w:highlight w:val="white"/>
              </w:rPr>
              <w:t xml:space="preserve">Согласно </w:t>
            </w:r>
            <w:r>
              <w:rPr>
                <w:rFonts w:ascii="Times New Roman" w:hAnsi="Times New Roman"/>
                <w:color w:val="auto"/>
                <w:sz w:val="20"/>
                <w:szCs w:val="20"/>
                <w:highlight w:val="white"/>
              </w:rPr>
              <w:t xml:space="preserve">Приложению </w:t>
            </w:r>
            <w:r>
              <w:rPr>
                <w:rFonts w:ascii="Times New Roman" w:hAnsi="Times New Roman"/>
                <w:color w:val="auto"/>
                <w:sz w:val="20"/>
                <w:szCs w:val="20"/>
                <w:highlight w:val="white"/>
              </w:rPr>
              <w:t xml:space="preserve">2</w:t>
            </w:r>
            <w:r>
              <w:rPr>
                <w:rFonts w:ascii="Times New Roman" w:hAnsi="Times New Roman"/>
                <w:color w:val="ffffff" w:themeColor="background1"/>
                <w:sz w:val="20"/>
                <w:szCs w:val="20"/>
                <w:highlight w:val="white"/>
              </w:rPr>
              <w:t xml:space="preserve"> </w:t>
            </w:r>
            <w:r>
              <w:rPr>
                <w:rFonts w:ascii="Times New Roman" w:hAnsi="Times New Roman"/>
                <w:sz w:val="20"/>
                <w:szCs w:val="20"/>
                <w:highlight w:val="white"/>
              </w:rPr>
              <w:t xml:space="preserve">к Тарифам</w:t>
            </w:r>
            <w:r>
              <w:rPr>
                <w:sz w:val="20"/>
                <w:szCs w:val="20"/>
              </w:rPr>
            </w:r>
            <w:r>
              <w:rPr>
                <w:sz w:val="20"/>
                <w:szCs w:val="20"/>
              </w:rPr>
            </w:r>
          </w:p>
        </w:tc>
        <w:tc>
          <w:tcPr>
            <w:tcW w:w="3402" w:type="dxa"/>
            <w:vAlign w:val="top"/>
            <w:textDirection w:val="lrTb"/>
            <w:noWrap w:val="false"/>
          </w:tcPr>
          <w:p>
            <w:pPr>
              <w:pStyle w:val="113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5"/>
        </w:trPr>
        <w:tc>
          <w:tcPr>
            <w:tcW w:w="993" w:type="dxa"/>
            <w:vAlign w:val="top"/>
            <w:textDirection w:val="lrTb"/>
            <w:noWrap w:val="false"/>
          </w:tcPr>
          <w:p>
            <w:pPr>
              <w:pStyle w:val="1135"/>
              <w:jc w:val="center"/>
              <w:spacing w:before="40" w:after="40"/>
              <w:rPr>
                <w:sz w:val="20"/>
                <w:szCs w:val="20"/>
              </w:rPr>
            </w:pPr>
            <w:r>
              <w:rPr>
                <w:sz w:val="20"/>
                <w:szCs w:val="20"/>
              </w:rPr>
              <w:t xml:space="preserve">13.5.</w:t>
            </w:r>
            <w:r>
              <w:rPr>
                <w:sz w:val="20"/>
                <w:szCs w:val="20"/>
              </w:rPr>
            </w:r>
            <w:r>
              <w:rPr>
                <w:sz w:val="20"/>
                <w:szCs w:val="20"/>
              </w:rPr>
            </w:r>
          </w:p>
        </w:tc>
        <w:tc>
          <w:tcPr>
            <w:tcW w:w="3826" w:type="dxa"/>
            <w:vAlign w:val="top"/>
            <w:textDirection w:val="lrTb"/>
            <w:noWrap w:val="false"/>
          </w:tcPr>
          <w:p>
            <w:pPr>
              <w:pStyle w:val="1135"/>
              <w:jc w:val="both"/>
              <w:spacing w:before="40"/>
              <w:tabs>
                <w:tab w:val="left" w:pos="708" w:leader="none"/>
                <w:tab w:val="center" w:pos="4677" w:leader="none"/>
                <w:tab w:val="right" w:pos="9355" w:leader="none"/>
              </w:tabs>
              <w:rPr>
                <w:bCs/>
                <w:sz w:val="20"/>
                <w:szCs w:val="20"/>
              </w:rPr>
            </w:pPr>
            <w:r>
              <w:rPr>
                <w:sz w:val="20"/>
                <w:szCs w:val="20"/>
              </w:rPr>
              <w:t xml:space="preserve">Комиссия за с</w:t>
            </w:r>
            <w:r>
              <w:rPr>
                <w:sz w:val="20"/>
                <w:szCs w:val="20"/>
              </w:rPr>
              <w:t xml:space="preserve">овершение операции с использованием сервиса быстрых платежей платежной системы Банка России, уплачиваемая получателями денежных средств при осуществлении их перевода физическими лицами в пользу юридических лиц, индивидуальных предпринимателей и самозанятых</w:t>
            </w:r>
            <w:r>
              <w:rPr>
                <w:bCs/>
                <w:sz w:val="20"/>
                <w:szCs w:val="20"/>
              </w:rPr>
            </w:r>
            <w:r>
              <w:rPr>
                <w:bCs/>
                <w:sz w:val="20"/>
                <w:szCs w:val="20"/>
              </w:rPr>
            </w:r>
          </w:p>
        </w:tc>
        <w:tc>
          <w:tcPr>
            <w:tcW w:w="2127" w:type="dxa"/>
            <w:vAlign w:val="top"/>
            <w:textDirection w:val="lrTb"/>
            <w:noWrap w:val="false"/>
          </w:tcPr>
          <w:p>
            <w:pPr>
              <w:pStyle w:val="1135"/>
              <w:ind w:left="72"/>
              <w:spacing w:before="40" w:after="40"/>
              <w:rPr>
                <w:sz w:val="18"/>
                <w:szCs w:val="18"/>
              </w:rPr>
            </w:pPr>
            <w:r>
              <w:rPr>
                <w:sz w:val="18"/>
                <w:szCs w:val="18"/>
              </w:rPr>
            </w:r>
            <w:r>
              <w:rPr>
                <w:sz w:val="18"/>
                <w:szCs w:val="18"/>
              </w:rPr>
            </w:r>
            <w:r>
              <w:rPr>
                <w:sz w:val="18"/>
                <w:szCs w:val="18"/>
              </w:rPr>
            </w:r>
          </w:p>
        </w:tc>
        <w:tc>
          <w:tcPr>
            <w:tcW w:w="3402" w:type="dxa"/>
            <w:vAlign w:val="top"/>
            <w:textDirection w:val="lrTb"/>
            <w:noWrap w:val="false"/>
          </w:tcPr>
          <w:p>
            <w:pPr>
              <w:pStyle w:val="113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40"/>
        </w:trPr>
        <w:tc>
          <w:tcPr>
            <w:tcW w:w="993" w:type="dxa"/>
            <w:vAlign w:val="top"/>
            <w:textDirection w:val="lrTb"/>
            <w:noWrap w:val="false"/>
          </w:tcPr>
          <w:p>
            <w:pPr>
              <w:pStyle w:val="1135"/>
              <w:jc w:val="center"/>
              <w:spacing w:before="40" w:after="40"/>
              <w:rPr>
                <w:sz w:val="20"/>
                <w:szCs w:val="20"/>
              </w:rPr>
            </w:pPr>
            <w:r>
              <w:rPr>
                <w:sz w:val="20"/>
                <w:szCs w:val="20"/>
              </w:rPr>
              <w:t xml:space="preserve">13.5.1.</w:t>
            </w:r>
            <w:r>
              <w:rPr>
                <w:sz w:val="20"/>
                <w:szCs w:val="20"/>
              </w:rPr>
            </w:r>
            <w:r>
              <w:rPr>
                <w:sz w:val="20"/>
                <w:szCs w:val="20"/>
              </w:rPr>
            </w:r>
          </w:p>
        </w:tc>
        <w:tc>
          <w:tcPr>
            <w:tcW w:w="3826" w:type="dxa"/>
            <w:vAlign w:val="top"/>
            <w:textDirection w:val="lrTb"/>
            <w:noWrap w:val="false"/>
          </w:tcPr>
          <w:p>
            <w:pPr>
              <w:pStyle w:val="1135"/>
              <w:jc w:val="both"/>
              <w:spacing w:before="40" w:after="40"/>
              <w:rPr>
                <w:sz w:val="20"/>
                <w:szCs w:val="20"/>
              </w:rPr>
            </w:pPr>
            <w:r>
              <w:rPr>
                <w:sz w:val="20"/>
                <w:szCs w:val="20"/>
              </w:rPr>
              <w:t xml:space="preserve">В зависимости от классификации получателя по типу деятельности: </w:t>
            </w:r>
            <w:r>
              <w:rPr>
                <w:sz w:val="20"/>
                <w:szCs w:val="20"/>
              </w:rPr>
            </w:r>
            <w:r>
              <w:rPr>
                <w:sz w:val="20"/>
                <w:szCs w:val="20"/>
              </w:rPr>
            </w:r>
          </w:p>
        </w:tc>
        <w:tc>
          <w:tcPr>
            <w:tcW w:w="2127" w:type="dxa"/>
            <w:vAlign w:val="top"/>
            <w:textDirection w:val="lrTb"/>
            <w:noWrap w:val="false"/>
          </w:tcPr>
          <w:p>
            <w:pPr>
              <w:pStyle w:val="1135"/>
              <w:ind w:left="72"/>
              <w:spacing w:before="40" w:after="40"/>
              <w:rPr>
                <w:sz w:val="18"/>
                <w:szCs w:val="18"/>
              </w:rPr>
            </w:pPr>
            <w:r>
              <w:rPr>
                <w:sz w:val="18"/>
                <w:szCs w:val="18"/>
              </w:rPr>
            </w:r>
            <w:r>
              <w:rPr>
                <w:sz w:val="18"/>
                <w:szCs w:val="18"/>
              </w:rPr>
            </w:r>
            <w:r>
              <w:rPr>
                <w:sz w:val="18"/>
                <w:szCs w:val="18"/>
              </w:rPr>
            </w:r>
          </w:p>
        </w:tc>
        <w:tc>
          <w:tcPr>
            <w:tcW w:w="3402" w:type="dxa"/>
            <w:vAlign w:val="top"/>
            <w:textDirection w:val="lrTb"/>
            <w:noWrap w:val="false"/>
          </w:tcPr>
          <w:p>
            <w:pPr>
              <w:pStyle w:val="113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85"/>
        </w:trPr>
        <w:tc>
          <w:tcPr>
            <w:tcW w:w="993" w:type="dxa"/>
            <w:vAlign w:val="top"/>
            <w:textDirection w:val="lrTb"/>
            <w:noWrap w:val="false"/>
          </w:tcPr>
          <w:p>
            <w:pPr>
              <w:pStyle w:val="1135"/>
              <w:jc w:val="center"/>
              <w:spacing w:before="40" w:after="40"/>
              <w:rPr>
                <w:sz w:val="20"/>
                <w:szCs w:val="20"/>
              </w:rPr>
            </w:pPr>
            <w:r>
              <w:rPr>
                <w:sz w:val="20"/>
                <w:szCs w:val="20"/>
              </w:rPr>
              <w:t xml:space="preserve">13.5.1.1.</w:t>
            </w:r>
            <w:r>
              <w:rPr>
                <w:sz w:val="20"/>
                <w:szCs w:val="20"/>
              </w:rPr>
            </w:r>
            <w:r>
              <w:rPr>
                <w:sz w:val="20"/>
                <w:szCs w:val="20"/>
              </w:rPr>
            </w:r>
          </w:p>
        </w:tc>
        <w:tc>
          <w:tcPr>
            <w:tcW w:w="3826" w:type="dxa"/>
            <w:vAlign w:val="top"/>
            <w:textDirection w:val="lrTb"/>
            <w:noWrap w:val="false"/>
          </w:tcPr>
          <w:p>
            <w:pPr>
              <w:pStyle w:val="1135"/>
              <w:jc w:val="both"/>
              <w:spacing w:before="40" w:after="40"/>
              <w:rPr>
                <w:sz w:val="20"/>
                <w:szCs w:val="20"/>
              </w:rPr>
            </w:pPr>
            <w:r>
              <w:rPr>
                <w:sz w:val="20"/>
                <w:szCs w:val="20"/>
              </w:rPr>
              <w:t xml:space="preserve">Государственные платежи</w:t>
            </w:r>
            <w:r>
              <w:rPr>
                <w:sz w:val="20"/>
                <w:szCs w:val="20"/>
              </w:rPr>
            </w:r>
            <w:r>
              <w:rPr>
                <w:sz w:val="20"/>
                <w:szCs w:val="20"/>
              </w:rPr>
            </w:r>
          </w:p>
        </w:tc>
        <w:tc>
          <w:tcPr>
            <w:tcW w:w="2127" w:type="dxa"/>
            <w:vAlign w:val="top"/>
            <w:textDirection w:val="lrTb"/>
            <w:noWrap w:val="false"/>
          </w:tcPr>
          <w:p>
            <w:pPr>
              <w:pStyle w:val="1135"/>
              <w:ind w:left="72"/>
              <w:jc w:val="center"/>
              <w:spacing w:before="40" w:after="40"/>
              <w:rPr>
                <w:sz w:val="20"/>
                <w:szCs w:val="20"/>
              </w:rPr>
            </w:pPr>
            <w:r>
              <w:rPr>
                <w:sz w:val="20"/>
                <w:szCs w:val="20"/>
              </w:rPr>
              <w:t xml:space="preserve">Не взимается</w:t>
            </w:r>
            <w:r>
              <w:rPr>
                <w:sz w:val="20"/>
                <w:szCs w:val="20"/>
              </w:rPr>
            </w:r>
            <w:r>
              <w:rPr>
                <w:sz w:val="20"/>
                <w:szCs w:val="20"/>
              </w:rPr>
            </w:r>
          </w:p>
        </w:tc>
        <w:tc>
          <w:tcPr>
            <w:tcW w:w="3402" w:type="dxa"/>
            <w:vAlign w:val="top"/>
            <w:textDirection w:val="lrTb"/>
            <w:noWrap w:val="false"/>
          </w:tcPr>
          <w:p>
            <w:pPr>
              <w:pStyle w:val="113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50"/>
        </w:trPr>
        <w:tc>
          <w:tcPr>
            <w:tcW w:w="993" w:type="dxa"/>
            <w:vAlign w:val="top"/>
            <w:textDirection w:val="lrTb"/>
            <w:noWrap w:val="false"/>
          </w:tcPr>
          <w:p>
            <w:pPr>
              <w:pStyle w:val="1135"/>
              <w:jc w:val="center"/>
              <w:spacing w:before="40" w:after="40"/>
              <w:rPr>
                <w:sz w:val="20"/>
                <w:szCs w:val="20"/>
              </w:rPr>
            </w:pPr>
            <w:r>
              <w:rPr>
                <w:sz w:val="20"/>
                <w:szCs w:val="20"/>
              </w:rPr>
              <w:t xml:space="preserve">13.5.1.2.</w:t>
            </w:r>
            <w:r>
              <w:rPr>
                <w:sz w:val="20"/>
                <w:szCs w:val="20"/>
              </w:rPr>
            </w:r>
            <w:r>
              <w:rPr>
                <w:sz w:val="20"/>
                <w:szCs w:val="20"/>
              </w:rPr>
            </w:r>
          </w:p>
        </w:tc>
        <w:tc>
          <w:tcPr>
            <w:tcW w:w="3826" w:type="dxa"/>
            <w:vAlign w:val="top"/>
            <w:textDirection w:val="lrTb"/>
            <w:noWrap w:val="false"/>
          </w:tcPr>
          <w:p>
            <w:pPr>
              <w:pStyle w:val="1135"/>
              <w:jc w:val="both"/>
              <w:spacing w:before="40" w:after="40"/>
              <w:rPr>
                <w:sz w:val="20"/>
                <w:szCs w:val="20"/>
              </w:rPr>
            </w:pPr>
            <w:r>
              <w:rPr>
                <w:sz w:val="20"/>
                <w:szCs w:val="20"/>
              </w:rPr>
              <w:t xml:space="preserve">Оплата услуг медицинских и образовательных учреждений, платежи в пользу благотворительных организаций, оплата жилищно-коммунальн</w:t>
            </w:r>
            <w:r>
              <w:rPr>
                <w:sz w:val="20"/>
                <w:szCs w:val="20"/>
              </w:rPr>
              <w:t xml:space="preserve">ых услуг, оплата услуг транспортной инфраструктуры, оплата телекоммуникационных, информационных и почтовых услуг, оплата потребительских товаров и товаров повседневного спроса, оплата лекарств, биологически-активных добавок и иных товаров медицинского назн</w:t>
            </w:r>
            <w:r>
              <w:rPr>
                <w:sz w:val="20"/>
                <w:szCs w:val="20"/>
              </w:rPr>
              <w:t xml:space="preserve">ачения, исключая медтехнику, оплата услуг страховых компаний, перевод денежных средств на счета профессиональных участников рынка ценных бумаг и управляющих компаний инвестиционных фондов, паевых инвестиционных фондов и негосударственных пенсионных фондов.</w:t>
            </w:r>
            <w:r>
              <w:rPr>
                <w:sz w:val="20"/>
                <w:szCs w:val="20"/>
              </w:rPr>
            </w:r>
            <w:r>
              <w:rPr>
                <w:sz w:val="20"/>
                <w:szCs w:val="20"/>
              </w:rPr>
            </w:r>
          </w:p>
        </w:tc>
        <w:tc>
          <w:tcPr>
            <w:tcW w:w="2127" w:type="dxa"/>
            <w:vAlign w:val="top"/>
            <w:textDirection w:val="lrTb"/>
            <w:noWrap w:val="false"/>
          </w:tcPr>
          <w:p>
            <w:pPr>
              <w:pStyle w:val="1135"/>
              <w:jc w:val="center"/>
              <w:spacing w:before="40" w:after="40"/>
              <w:rPr>
                <w:sz w:val="20"/>
                <w:szCs w:val="20"/>
              </w:rPr>
            </w:pPr>
            <w:r>
              <w:rPr>
                <w:sz w:val="20"/>
                <w:szCs w:val="20"/>
              </w:rPr>
              <w:t xml:space="preserve">0,40% от суммы операции, но не более 1 500 руб. за операцию</w:t>
            </w:r>
            <w:r>
              <w:rPr>
                <w:sz w:val="20"/>
                <w:szCs w:val="20"/>
              </w:rPr>
            </w:r>
            <w:r>
              <w:rPr>
                <w:sz w:val="20"/>
                <w:szCs w:val="20"/>
              </w:rPr>
            </w:r>
          </w:p>
        </w:tc>
        <w:tc>
          <w:tcPr>
            <w:tcW w:w="3402" w:type="dxa"/>
            <w:vAlign w:val="top"/>
            <w:textDirection w:val="lrTb"/>
            <w:noWrap w:val="false"/>
          </w:tcPr>
          <w:p>
            <w:pPr>
              <w:pStyle w:val="113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0"/>
        </w:trPr>
        <w:tc>
          <w:tcPr>
            <w:tcW w:w="993" w:type="dxa"/>
            <w:vAlign w:val="top"/>
            <w:textDirection w:val="lrTb"/>
            <w:noWrap w:val="false"/>
          </w:tcPr>
          <w:p>
            <w:pPr>
              <w:pStyle w:val="1135"/>
              <w:jc w:val="center"/>
              <w:spacing w:before="40" w:after="40"/>
              <w:rPr>
                <w:sz w:val="20"/>
                <w:szCs w:val="20"/>
              </w:rPr>
            </w:pPr>
            <w:r>
              <w:rPr>
                <w:sz w:val="20"/>
                <w:szCs w:val="20"/>
              </w:rPr>
              <w:t xml:space="preserve">13.5.1.3.</w:t>
            </w:r>
            <w:r>
              <w:rPr>
                <w:sz w:val="20"/>
                <w:szCs w:val="20"/>
              </w:rPr>
            </w:r>
            <w:r>
              <w:rPr>
                <w:sz w:val="20"/>
                <w:szCs w:val="20"/>
              </w:rPr>
            </w:r>
          </w:p>
        </w:tc>
        <w:tc>
          <w:tcPr>
            <w:tcW w:w="3826" w:type="dxa"/>
            <w:vAlign w:val="top"/>
            <w:textDirection w:val="lrTb"/>
            <w:noWrap w:val="false"/>
          </w:tcPr>
          <w:p>
            <w:pPr>
              <w:pStyle w:val="1135"/>
              <w:jc w:val="both"/>
              <w:spacing w:before="40" w:after="40"/>
              <w:rPr>
                <w:sz w:val="20"/>
                <w:szCs w:val="20"/>
              </w:rPr>
            </w:pPr>
            <w:r>
              <w:rPr>
                <w:sz w:val="20"/>
                <w:szCs w:val="20"/>
              </w:rPr>
              <w:t xml:space="preserve">Оплата товаров (работ, услуг), не включенных в </w:t>
              <w:br w:type="textWrapping" w:clear="all"/>
              <w:t xml:space="preserve">п.п. 13.5.1.1 и 13.5.1.2</w:t>
            </w:r>
            <w:r>
              <w:rPr>
                <w:sz w:val="20"/>
                <w:szCs w:val="20"/>
              </w:rPr>
            </w:r>
            <w:r>
              <w:rPr>
                <w:sz w:val="20"/>
                <w:szCs w:val="20"/>
              </w:rPr>
            </w:r>
          </w:p>
        </w:tc>
        <w:tc>
          <w:tcPr>
            <w:tcW w:w="2127" w:type="dxa"/>
            <w:vAlign w:val="top"/>
            <w:textDirection w:val="lrTb"/>
            <w:noWrap w:val="false"/>
          </w:tcPr>
          <w:p>
            <w:pPr>
              <w:pStyle w:val="1135"/>
              <w:jc w:val="center"/>
              <w:spacing w:before="40" w:after="40"/>
              <w:rPr>
                <w:sz w:val="20"/>
                <w:szCs w:val="20"/>
              </w:rPr>
            </w:pPr>
            <w:r>
              <w:rPr>
                <w:sz w:val="20"/>
                <w:szCs w:val="20"/>
              </w:rPr>
              <w:t xml:space="preserve">0,70% от суммы операции, но не более </w:t>
            </w:r>
            <w:r>
              <w:rPr>
                <w:sz w:val="20"/>
                <w:szCs w:val="20"/>
              </w:rPr>
            </w:r>
            <w:r>
              <w:rPr>
                <w:sz w:val="20"/>
                <w:szCs w:val="20"/>
              </w:rPr>
            </w:r>
          </w:p>
          <w:p>
            <w:pPr>
              <w:pStyle w:val="1135"/>
              <w:jc w:val="center"/>
              <w:spacing w:before="40" w:after="40"/>
              <w:rPr>
                <w:sz w:val="20"/>
                <w:szCs w:val="20"/>
              </w:rPr>
            </w:pPr>
            <w:r>
              <w:rPr>
                <w:sz w:val="20"/>
                <w:szCs w:val="20"/>
              </w:rPr>
              <w:t xml:space="preserve">1 500 руб. за операцию</w:t>
            </w:r>
            <w:r>
              <w:rPr>
                <w:sz w:val="20"/>
                <w:szCs w:val="20"/>
              </w:rPr>
            </w:r>
            <w:r>
              <w:rPr>
                <w:sz w:val="20"/>
                <w:szCs w:val="20"/>
              </w:rPr>
            </w:r>
          </w:p>
        </w:tc>
        <w:tc>
          <w:tcPr>
            <w:tcW w:w="3402" w:type="dxa"/>
            <w:vAlign w:val="top"/>
            <w:textDirection w:val="lrTb"/>
            <w:noWrap w:val="false"/>
          </w:tcPr>
          <w:p>
            <w:pPr>
              <w:pStyle w:val="113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95"/>
        </w:trPr>
        <w:tc>
          <w:tcPr>
            <w:tcW w:w="993" w:type="dxa"/>
            <w:vAlign w:val="top"/>
            <w:textDirection w:val="lrTb"/>
            <w:noWrap w:val="false"/>
          </w:tcPr>
          <w:p>
            <w:pPr>
              <w:pStyle w:val="1135"/>
              <w:jc w:val="center"/>
              <w:spacing w:before="40" w:after="40"/>
              <w:rPr>
                <w:sz w:val="20"/>
                <w:szCs w:val="20"/>
              </w:rPr>
            </w:pPr>
            <w:r>
              <w:rPr>
                <w:sz w:val="20"/>
                <w:szCs w:val="20"/>
              </w:rPr>
              <w:t xml:space="preserve">13.5.2.</w:t>
            </w:r>
            <w:r>
              <w:rPr>
                <w:sz w:val="20"/>
                <w:szCs w:val="20"/>
              </w:rPr>
            </w:r>
            <w:r>
              <w:rPr>
                <w:sz w:val="20"/>
                <w:szCs w:val="20"/>
              </w:rPr>
            </w:r>
          </w:p>
        </w:tc>
        <w:tc>
          <w:tcPr>
            <w:tcW w:w="3826" w:type="dxa"/>
            <w:vAlign w:val="top"/>
            <w:textDirection w:val="lrTb"/>
            <w:noWrap w:val="false"/>
          </w:tcPr>
          <w:p>
            <w:pPr>
              <w:pStyle w:val="1135"/>
              <w:jc w:val="both"/>
              <w:spacing w:before="40" w:after="40"/>
              <w:rPr>
                <w:sz w:val="20"/>
                <w:szCs w:val="20"/>
              </w:rPr>
            </w:pPr>
            <w:r>
              <w:rPr>
                <w:sz w:val="20"/>
                <w:szCs w:val="20"/>
              </w:rPr>
              <w:t xml:space="preserve">Обработка операции, инициируемой ТСП, по возврату плательщику ранее перечисленных им денежных средств в счет оплаты товаров (работ, услуг)</w:t>
            </w:r>
            <w:r>
              <w:rPr>
                <w:sz w:val="20"/>
                <w:szCs w:val="20"/>
              </w:rPr>
            </w:r>
            <w:r>
              <w:rPr>
                <w:sz w:val="20"/>
                <w:szCs w:val="20"/>
              </w:rPr>
            </w:r>
          </w:p>
        </w:tc>
        <w:tc>
          <w:tcPr>
            <w:tcW w:w="2127" w:type="dxa"/>
            <w:vAlign w:val="top"/>
            <w:textDirection w:val="lrTb"/>
            <w:noWrap w:val="false"/>
          </w:tcPr>
          <w:p>
            <w:pPr>
              <w:pStyle w:val="1135"/>
              <w:jc w:val="center"/>
              <w:spacing w:before="40" w:after="40"/>
              <w:rPr>
                <w:sz w:val="20"/>
                <w:szCs w:val="20"/>
              </w:rPr>
            </w:pPr>
            <w:r>
              <w:rPr>
                <w:sz w:val="20"/>
                <w:szCs w:val="20"/>
              </w:rPr>
              <w:t xml:space="preserve">Не взимается</w:t>
            </w:r>
            <w:r>
              <w:rPr>
                <w:sz w:val="20"/>
                <w:szCs w:val="20"/>
              </w:rPr>
            </w:r>
            <w:r>
              <w:rPr>
                <w:sz w:val="20"/>
                <w:szCs w:val="20"/>
              </w:rPr>
            </w:r>
          </w:p>
        </w:tc>
        <w:tc>
          <w:tcPr>
            <w:tcW w:w="3402" w:type="dxa"/>
            <w:vAlign w:val="top"/>
            <w:textDirection w:val="lrTb"/>
            <w:noWrap w:val="false"/>
          </w:tcPr>
          <w:p>
            <w:pPr>
              <w:pStyle w:val="113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711"/>
        </w:trPr>
        <w:tc>
          <w:tcPr>
            <w:tcW w:w="993" w:type="dxa"/>
            <w:vAlign w:val="top"/>
            <w:textDirection w:val="lrTb"/>
            <w:noWrap w:val="false"/>
          </w:tcPr>
          <w:p>
            <w:pPr>
              <w:pStyle w:val="1135"/>
              <w:jc w:val="center"/>
              <w:spacing w:before="40" w:after="40"/>
              <w:rPr>
                <w:sz w:val="20"/>
                <w:szCs w:val="20"/>
              </w:rPr>
            </w:pPr>
            <w:r>
              <w:rPr>
                <w:sz w:val="20"/>
                <w:szCs w:val="20"/>
              </w:rPr>
              <w:t xml:space="preserve">13.6.</w:t>
            </w:r>
            <w:r>
              <w:rPr>
                <w:sz w:val="20"/>
                <w:szCs w:val="20"/>
              </w:rPr>
            </w:r>
            <w:r>
              <w:rPr>
                <w:sz w:val="20"/>
                <w:szCs w:val="20"/>
              </w:rPr>
            </w:r>
          </w:p>
        </w:tc>
        <w:tc>
          <w:tcPr>
            <w:tcW w:w="3826" w:type="dxa"/>
            <w:vAlign w:val="top"/>
            <w:textDirection w:val="lrTb"/>
            <w:noWrap w:val="false"/>
          </w:tcPr>
          <w:p>
            <w:pPr>
              <w:pStyle w:val="1135"/>
              <w:jc w:val="both"/>
              <w:spacing w:before="40" w:after="40"/>
              <w:rPr>
                <w:sz w:val="20"/>
                <w:szCs w:val="20"/>
              </w:rPr>
            </w:pPr>
            <w:r>
              <w:rPr>
                <w:sz w:val="20"/>
                <w:szCs w:val="20"/>
              </w:rPr>
              <w:t xml:space="preserve">Комиссия за совершение операции с использованием сервиса быстрых платежей платежной системы Банка России, при осуществлении их перевода юридическими лицами, индивидуальными предпринимателями в пользу юридических лиц и индивидуальных предпринимателей:</w:t>
            </w:r>
            <w:r>
              <w:rPr>
                <w:sz w:val="20"/>
                <w:szCs w:val="20"/>
              </w:rPr>
            </w:r>
            <w:r>
              <w:rPr>
                <w:sz w:val="20"/>
                <w:szCs w:val="20"/>
              </w:rPr>
            </w:r>
          </w:p>
        </w:tc>
        <w:tc>
          <w:tcPr>
            <w:tcW w:w="2127" w:type="dxa"/>
            <w:vAlign w:val="top"/>
            <w:textDirection w:val="lrTb"/>
            <w:noWrap w:val="false"/>
          </w:tcPr>
          <w:p>
            <w:pPr>
              <w:pStyle w:val="1135"/>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0,1 руб. за операцию в сумме до 125,00 руб. (включительно);</w:t>
            </w:r>
            <w:r>
              <w:rPr>
                <w:sz w:val="20"/>
                <w:szCs w:val="20"/>
                <w:lang w:eastAsia="en-US"/>
              </w:rPr>
            </w:r>
            <w:r>
              <w:rPr>
                <w:sz w:val="20"/>
                <w:szCs w:val="20"/>
                <w:lang w:eastAsia="en-US"/>
              </w:rPr>
            </w:r>
          </w:p>
          <w:p>
            <w:pPr>
              <w:pStyle w:val="1135"/>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0,24 руб. за операцию в сумме от 125,01 руб. до 250,00 руб. (включительно);</w:t>
            </w:r>
            <w:r>
              <w:rPr>
                <w:sz w:val="20"/>
                <w:szCs w:val="20"/>
                <w:lang w:eastAsia="en-US"/>
              </w:rPr>
            </w:r>
            <w:r>
              <w:rPr>
                <w:sz w:val="20"/>
                <w:szCs w:val="20"/>
                <w:lang w:eastAsia="en-US"/>
              </w:rPr>
            </w:r>
          </w:p>
          <w:p>
            <w:pPr>
              <w:pStyle w:val="1135"/>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0,60 руб. за операцию в сумме от 250,01 руб. до </w:t>
            </w:r>
            <w:r>
              <w:rPr>
                <w:sz w:val="20"/>
                <w:szCs w:val="20"/>
                <w:lang w:eastAsia="en-US"/>
              </w:rPr>
            </w:r>
            <w:r>
              <w:rPr>
                <w:sz w:val="20"/>
                <w:szCs w:val="20"/>
                <w:lang w:eastAsia="en-US"/>
              </w:rPr>
            </w:r>
          </w:p>
          <w:p>
            <w:pPr>
              <w:pStyle w:val="1135"/>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1 000,00 руб. (включительно);</w:t>
            </w:r>
            <w:r>
              <w:rPr>
                <w:sz w:val="20"/>
                <w:szCs w:val="20"/>
                <w:lang w:eastAsia="en-US"/>
              </w:rPr>
            </w:r>
            <w:r>
              <w:rPr>
                <w:sz w:val="20"/>
                <w:szCs w:val="20"/>
                <w:lang w:eastAsia="en-US"/>
              </w:rPr>
            </w:r>
          </w:p>
          <w:p>
            <w:pPr>
              <w:pStyle w:val="1135"/>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1,60 руб. за операцию в сумме от 1 000,01 руб. до </w:t>
            </w:r>
            <w:r>
              <w:rPr>
                <w:sz w:val="20"/>
                <w:szCs w:val="20"/>
                <w:lang w:eastAsia="en-US"/>
              </w:rPr>
            </w:r>
            <w:r>
              <w:rPr>
                <w:sz w:val="20"/>
                <w:szCs w:val="20"/>
                <w:lang w:eastAsia="en-US"/>
              </w:rPr>
            </w:r>
          </w:p>
          <w:p>
            <w:pPr>
              <w:pStyle w:val="1135"/>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3 000,00 руб. (включительно);</w:t>
            </w:r>
            <w:r>
              <w:rPr>
                <w:sz w:val="20"/>
                <w:szCs w:val="20"/>
                <w:lang w:eastAsia="en-US"/>
              </w:rPr>
            </w:r>
            <w:r>
              <w:rPr>
                <w:sz w:val="20"/>
                <w:szCs w:val="20"/>
                <w:lang w:eastAsia="en-US"/>
              </w:rPr>
            </w:r>
          </w:p>
          <w:p>
            <w:pPr>
              <w:pStyle w:val="1135"/>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4,00 руб. за операцию в сумме от 3 000,01 руб. до </w:t>
            </w:r>
            <w:r>
              <w:rPr>
                <w:sz w:val="20"/>
                <w:szCs w:val="20"/>
                <w:lang w:eastAsia="en-US"/>
              </w:rPr>
            </w:r>
            <w:r>
              <w:rPr>
                <w:sz w:val="20"/>
                <w:szCs w:val="20"/>
                <w:lang w:eastAsia="en-US"/>
              </w:rPr>
            </w:r>
          </w:p>
          <w:p>
            <w:pPr>
              <w:pStyle w:val="1135"/>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6 000,00 рублей (включительно);</w:t>
            </w:r>
            <w:r>
              <w:rPr>
                <w:sz w:val="20"/>
                <w:szCs w:val="20"/>
                <w:lang w:eastAsia="en-US"/>
              </w:rPr>
            </w:r>
            <w:r>
              <w:rPr>
                <w:sz w:val="20"/>
                <w:szCs w:val="20"/>
                <w:lang w:eastAsia="en-US"/>
              </w:rPr>
            </w:r>
          </w:p>
          <w:p>
            <w:pPr>
              <w:pStyle w:val="1135"/>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6,00 руб. за операцию в сумме от 6 000,01 руб. до </w:t>
            </w:r>
            <w:r>
              <w:rPr>
                <w:sz w:val="20"/>
                <w:szCs w:val="20"/>
                <w:lang w:eastAsia="en-US"/>
              </w:rPr>
            </w:r>
            <w:r>
              <w:rPr>
                <w:sz w:val="20"/>
                <w:szCs w:val="20"/>
                <w:lang w:eastAsia="en-US"/>
              </w:rPr>
            </w:r>
          </w:p>
          <w:p>
            <w:pPr>
              <w:pStyle w:val="1135"/>
              <w:jc w:val="center"/>
              <w:spacing w:before="40" w:after="40"/>
              <w:rPr>
                <w:sz w:val="20"/>
                <w:szCs w:val="20"/>
              </w:rPr>
            </w:pPr>
            <w:r>
              <w:rPr>
                <w:sz w:val="20"/>
                <w:szCs w:val="20"/>
                <w:lang w:eastAsia="en-US"/>
              </w:rPr>
              <w:t xml:space="preserve">999 999,99 руб. (включительно)</w:t>
            </w:r>
            <w:r>
              <w:rPr>
                <w:sz w:val="20"/>
                <w:szCs w:val="20"/>
              </w:rPr>
            </w:r>
            <w:r>
              <w:rPr>
                <w:sz w:val="20"/>
                <w:szCs w:val="20"/>
              </w:rPr>
            </w:r>
          </w:p>
        </w:tc>
        <w:tc>
          <w:tcPr>
            <w:tcW w:w="3402" w:type="dxa"/>
            <w:vAlign w:val="top"/>
            <w:textDirection w:val="lrTb"/>
            <w:noWrap w:val="false"/>
          </w:tcPr>
          <w:p>
            <w:pPr>
              <w:pStyle w:val="113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95"/>
        </w:trPr>
        <w:tc>
          <w:tcPr>
            <w:tcW w:w="993" w:type="dxa"/>
            <w:vAlign w:val="top"/>
            <w:textDirection w:val="lrTb"/>
            <w:noWrap w:val="false"/>
          </w:tcPr>
          <w:p>
            <w:pPr>
              <w:pStyle w:val="1135"/>
              <w:jc w:val="center"/>
              <w:spacing w:before="40" w:after="40"/>
              <w:rPr>
                <w:color w:val="000000"/>
                <w:sz w:val="20"/>
                <w:szCs w:val="20"/>
              </w:rPr>
            </w:pPr>
            <w:r>
              <w:rPr>
                <w:color w:val="000000"/>
                <w:sz w:val="20"/>
                <w:szCs w:val="20"/>
              </w:rPr>
              <w:t xml:space="preserve">13.6.1</w:t>
            </w:r>
            <w:r>
              <w:rPr>
                <w:color w:val="000000"/>
                <w:sz w:val="20"/>
                <w:szCs w:val="20"/>
              </w:rPr>
            </w:r>
            <w:r>
              <w:rPr>
                <w:color w:val="000000"/>
                <w:sz w:val="20"/>
                <w:szCs w:val="20"/>
              </w:rPr>
            </w:r>
          </w:p>
        </w:tc>
        <w:tc>
          <w:tcPr>
            <w:tcW w:w="3826" w:type="dxa"/>
            <w:vAlign w:val="center"/>
            <w:textDirection w:val="lrTb"/>
            <w:noWrap w:val="false"/>
          </w:tcPr>
          <w:p>
            <w:pPr>
              <w:pStyle w:val="1135"/>
              <w:jc w:val="both"/>
              <w:spacing w:before="40" w:after="40"/>
              <w:tabs>
                <w:tab w:val="left" w:pos="708" w:leader="none"/>
                <w:tab w:val="center" w:pos="4677" w:leader="none"/>
                <w:tab w:val="right" w:pos="9355" w:leader="none"/>
              </w:tabs>
              <w:rPr>
                <w:sz w:val="20"/>
                <w:szCs w:val="20"/>
              </w:rPr>
            </w:pPr>
            <w:r>
              <w:rPr>
                <w:sz w:val="20"/>
                <w:szCs w:val="20"/>
              </w:rPr>
              <w:t xml:space="preserve">- уплачиваемая клиентами Банка, являющимися отправителями денежных средств</w:t>
            </w:r>
            <w:r>
              <w:rPr>
                <w:sz w:val="20"/>
                <w:szCs w:val="20"/>
              </w:rPr>
            </w:r>
            <w:r>
              <w:rPr>
                <w:sz w:val="20"/>
                <w:szCs w:val="20"/>
              </w:rPr>
            </w:r>
          </w:p>
        </w:tc>
        <w:tc>
          <w:tcPr>
            <w:tcW w:w="2127" w:type="dxa"/>
            <w:vAlign w:val="center"/>
            <w:textDirection w:val="lrTb"/>
            <w:noWrap w:val="false"/>
          </w:tcPr>
          <w:p>
            <w:pPr>
              <w:pStyle w:val="1135"/>
              <w:jc w:val="center"/>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37 руб. за операцию</w:t>
            </w:r>
            <w:r>
              <w:rPr>
                <w:sz w:val="20"/>
                <w:szCs w:val="20"/>
                <w:lang w:eastAsia="en-US"/>
              </w:rPr>
            </w:r>
            <w:r>
              <w:rPr>
                <w:sz w:val="20"/>
                <w:szCs w:val="20"/>
                <w:lang w:eastAsia="en-US"/>
              </w:rPr>
            </w:r>
          </w:p>
        </w:tc>
        <w:tc>
          <w:tcPr>
            <w:tcW w:w="3402" w:type="dxa"/>
            <w:vAlign w:val="center"/>
            <w:textDirection w:val="lrTb"/>
            <w:noWrap w:val="false"/>
          </w:tcPr>
          <w:p>
            <w:pPr>
              <w:pStyle w:val="1135"/>
              <w:jc w:val="center"/>
              <w:spacing w:before="40" w:after="40"/>
              <w:rPr>
                <w:sz w:val="20"/>
                <w:szCs w:val="20"/>
              </w:rPr>
            </w:pPr>
            <w:r>
              <w:rPr>
                <w:sz w:val="20"/>
                <w:szCs w:val="20"/>
              </w:rPr>
              <w:t xml:space="preserve">лимит одного перевода – 999 999,99 руб.</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95"/>
        </w:trPr>
        <w:tc>
          <w:tcPr>
            <w:tcW w:w="993" w:type="dxa"/>
            <w:vAlign w:val="top"/>
            <w:textDirection w:val="lrTb"/>
            <w:noWrap w:val="false"/>
          </w:tcPr>
          <w:p>
            <w:pPr>
              <w:pStyle w:val="1135"/>
              <w:jc w:val="center"/>
              <w:spacing w:before="40" w:after="40"/>
              <w:rPr>
                <w:color w:val="000000"/>
                <w:sz w:val="20"/>
                <w:szCs w:val="20"/>
              </w:rPr>
            </w:pPr>
            <w:r>
              <w:rPr>
                <w:color w:val="000000"/>
                <w:sz w:val="20"/>
                <w:szCs w:val="20"/>
              </w:rPr>
              <w:t xml:space="preserve">13.6.2</w:t>
            </w:r>
            <w:r>
              <w:rPr>
                <w:color w:val="000000"/>
                <w:sz w:val="20"/>
                <w:szCs w:val="20"/>
              </w:rPr>
            </w:r>
            <w:r>
              <w:rPr>
                <w:color w:val="000000"/>
                <w:sz w:val="20"/>
                <w:szCs w:val="20"/>
              </w:rPr>
            </w:r>
          </w:p>
        </w:tc>
        <w:tc>
          <w:tcPr>
            <w:tcW w:w="3826" w:type="dxa"/>
            <w:vAlign w:val="center"/>
            <w:textDirection w:val="lrTb"/>
            <w:noWrap w:val="false"/>
          </w:tcPr>
          <w:p>
            <w:pPr>
              <w:pStyle w:val="1135"/>
              <w:jc w:val="both"/>
              <w:spacing w:before="40" w:after="40"/>
              <w:tabs>
                <w:tab w:val="left" w:pos="708" w:leader="none"/>
                <w:tab w:val="center" w:pos="4677" w:leader="none"/>
                <w:tab w:val="right" w:pos="9355" w:leader="none"/>
              </w:tabs>
              <w:rPr>
                <w:sz w:val="20"/>
                <w:szCs w:val="20"/>
              </w:rPr>
            </w:pPr>
            <w:r>
              <w:rPr>
                <w:sz w:val="20"/>
                <w:szCs w:val="20"/>
              </w:rPr>
              <w:t xml:space="preserve">- уплачиваемая клиентами Банка, являющимися получателями денежных средств</w:t>
            </w:r>
            <w:r>
              <w:rPr>
                <w:sz w:val="20"/>
                <w:szCs w:val="20"/>
              </w:rPr>
            </w:r>
            <w:r>
              <w:rPr>
                <w:sz w:val="20"/>
                <w:szCs w:val="20"/>
              </w:rPr>
            </w:r>
          </w:p>
        </w:tc>
        <w:tc>
          <w:tcPr>
            <w:tcW w:w="2127" w:type="dxa"/>
            <w:vAlign w:val="center"/>
            <w:textDirection w:val="lrTb"/>
            <w:noWrap w:val="false"/>
          </w:tcPr>
          <w:p>
            <w:pPr>
              <w:pStyle w:val="1135"/>
              <w:jc w:val="center"/>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tcW w:w="3402" w:type="dxa"/>
            <w:vAlign w:val="center"/>
            <w:textDirection w:val="lrTb"/>
            <w:noWrap w:val="false"/>
          </w:tcPr>
          <w:p>
            <w:pPr>
              <w:pStyle w:val="1135"/>
              <w:jc w:val="center"/>
              <w:spacing w:before="40" w:after="40"/>
              <w:rPr>
                <w:b/>
                <w:sz w:val="20"/>
                <w:szCs w:val="20"/>
              </w:rPr>
            </w:pPr>
            <w:r>
              <w:rPr>
                <w:b/>
                <w:sz w:val="20"/>
                <w:szCs w:val="20"/>
              </w:rPr>
            </w:r>
            <w:r>
              <w:rPr>
                <w:b/>
                <w:sz w:val="20"/>
                <w:szCs w:val="20"/>
              </w:rPr>
            </w:r>
            <w:r>
              <w:rPr>
                <w:b/>
                <w:sz w:val="20"/>
                <w:szCs w:val="20"/>
              </w:rPr>
            </w:r>
          </w:p>
        </w:tc>
      </w:tr>
    </w:tbl>
    <w:p>
      <w:pPr>
        <w:pStyle w:val="1135"/>
        <w:rPr>
          <w:i/>
          <w:sz w:val="16"/>
          <w:szCs w:val="16"/>
        </w:rPr>
      </w:pPr>
      <w:r>
        <w:rPr>
          <w:rFonts w:ascii="Symbol" w:hAnsi="Symbol" w:eastAsia="Symbol" w:cs="Symbol"/>
          <w:i/>
          <w:sz w:val="16"/>
          <w:szCs w:val="16"/>
        </w:rPr>
        <w:t xml:space="preserve">*</w:t>
      </w:r>
      <w:r>
        <w:rPr>
          <w:i/>
          <w:sz w:val="16"/>
          <w:szCs w:val="16"/>
        </w:rPr>
        <w:t xml:space="preserve"> Под торгово-сервисным предприятием (ТСП) для целей настоящего р</w:t>
      </w:r>
      <w:r>
        <w:rPr>
          <w:i/>
          <w:sz w:val="16"/>
          <w:szCs w:val="16"/>
        </w:rPr>
        <w:t xml:space="preserve">аздела понимается юридическое лицо, индивидуальный предприниматель, бюджетное учреждение, нотариус, занимающийся частной практикой, иные организации и учреждения независимо от вида деятельности и организационно-правовой формы, заключившие с Банком договор </w:t>
      </w:r>
      <w:r>
        <w:rPr>
          <w:i/>
          <w:sz w:val="16"/>
          <w:szCs w:val="16"/>
        </w:rPr>
        <w:t xml:space="preserve">эквайринга.</w:t>
      </w:r>
      <w:r>
        <w:rPr>
          <w:i/>
          <w:sz w:val="16"/>
          <w:szCs w:val="16"/>
        </w:rPr>
      </w:r>
      <w:r>
        <w:rPr>
          <w:i/>
          <w:sz w:val="16"/>
          <w:szCs w:val="16"/>
        </w:rPr>
      </w:r>
    </w:p>
    <w:p>
      <w:pPr>
        <w:pStyle w:val="1135"/>
        <w:jc w:val="both"/>
        <w:rPr>
          <w:i/>
          <w:sz w:val="20"/>
          <w:szCs w:val="20"/>
        </w:rPr>
      </w:pPr>
      <w:r>
        <w:rPr>
          <w:i/>
          <w:sz w:val="16"/>
          <w:szCs w:val="16"/>
        </w:rPr>
        <w:t xml:space="preserve">Примечание: </w:t>
      </w:r>
      <w:r>
        <w:rPr>
          <w:i/>
          <w:sz w:val="20"/>
          <w:szCs w:val="20"/>
        </w:rPr>
      </w:r>
      <w:r>
        <w:rPr>
          <w:i/>
          <w:sz w:val="20"/>
          <w:szCs w:val="20"/>
        </w:rPr>
      </w:r>
    </w:p>
    <w:p>
      <w:pPr>
        <w:pStyle w:val="1135"/>
        <w:jc w:val="both"/>
        <w:spacing w:after="60"/>
        <w:tabs>
          <w:tab w:val="left" w:pos="1134" w:leader="none"/>
        </w:tabs>
        <w:rPr>
          <w:sz w:val="16"/>
          <w:szCs w:val="16"/>
        </w:rPr>
      </w:pPr>
      <w:r>
        <w:rPr>
          <w:sz w:val="16"/>
          <w:szCs w:val="16"/>
        </w:rPr>
        <w:t xml:space="preserve">«Обслуживание бюджетных учреждений, принимающих к оплате платежные карты, осуществляется без взимания комиссионного вознаграждения.»</w:t>
      </w:r>
      <w:r>
        <w:rPr>
          <w:sz w:val="16"/>
          <w:szCs w:val="16"/>
        </w:rPr>
      </w:r>
      <w:r>
        <w:rPr>
          <w:sz w:val="16"/>
          <w:szCs w:val="16"/>
        </w:rPr>
      </w:r>
    </w:p>
    <w:p>
      <w:pPr>
        <w:pStyle w:val="1135"/>
        <w:rPr>
          <w:i/>
          <w:sz w:val="16"/>
          <w:szCs w:val="16"/>
        </w:rPr>
      </w:pPr>
      <w:r>
        <w:rPr>
          <w:i/>
          <w:sz w:val="16"/>
          <w:szCs w:val="16"/>
        </w:rPr>
      </w:r>
      <w:r>
        <w:rPr>
          <w:i/>
          <w:sz w:val="16"/>
          <w:szCs w:val="16"/>
        </w:rPr>
      </w:r>
      <w:r>
        <w:rPr>
          <w:i/>
          <w:sz w:val="16"/>
          <w:szCs w:val="16"/>
        </w:rPr>
      </w:r>
    </w:p>
    <w:p>
      <w:pPr>
        <w:pStyle w:val="1139"/>
        <w:keepLines/>
      </w:pPr>
      <w:r>
        <w:t xml:space="preserve">14.</w:t>
      </w:r>
      <w:r>
        <w:t xml:space="preserve"> </w:t>
      </w:r>
      <w:r>
        <w:t xml:space="preserve">Депозитарные</w:t>
      </w:r>
      <w:r>
        <w:t xml:space="preserve"> </w:t>
      </w:r>
      <w:r>
        <w:t xml:space="preserve">услуги</w:t>
      </w:r>
      <w:r>
        <w:t xml:space="preserve">**</w:t>
      </w:r>
      <w:r/>
    </w:p>
    <w:p>
      <w:pPr>
        <w:pStyle w:val="1135"/>
      </w:pPr>
      <w: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39"/>
        <w:gridCol w:w="10"/>
        <w:gridCol w:w="3970"/>
        <w:gridCol w:w="1419"/>
        <w:gridCol w:w="1417"/>
        <w:gridCol w:w="269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gridSpan w:val="2"/>
            <w:tcBorders>
              <w:top w:val="single" w:color="000000" w:sz="4" w:space="0"/>
              <w:left w:val="single" w:color="000000" w:sz="4" w:space="0"/>
              <w:bottom w:val="single" w:color="000000" w:sz="4" w:space="0"/>
              <w:right w:val="single" w:color="000000" w:sz="4" w:space="0"/>
            </w:tcBorders>
            <w:tcW w:w="849" w:type="dxa"/>
            <w:vAlign w:val="top"/>
            <w:textDirection w:val="lrTb"/>
            <w:noWrap w:val="false"/>
          </w:tcPr>
          <w:p>
            <w:pPr>
              <w:pStyle w:val="1135"/>
              <w:jc w:val="center"/>
              <w:rPr>
                <w:b/>
                <w:sz w:val="20"/>
                <w:szCs w:val="20"/>
              </w:rPr>
            </w:pPr>
            <w:r>
              <w:rPr>
                <w:b/>
                <w:sz w:val="20"/>
                <w:szCs w:val="20"/>
              </w:rPr>
              <w:t xml:space="preserve">№ п/п</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970" w:type="dxa"/>
            <w:vAlign w:val="top"/>
            <w:textDirection w:val="lrTb"/>
            <w:noWrap w:val="false"/>
          </w:tcPr>
          <w:p>
            <w:pPr>
              <w:pStyle w:val="1135"/>
              <w:jc w:val="center"/>
              <w:rPr>
                <w:b/>
                <w:sz w:val="20"/>
                <w:szCs w:val="20"/>
              </w:rPr>
            </w:pPr>
            <w:r>
              <w:rPr>
                <w:b/>
                <w:sz w:val="20"/>
                <w:szCs w:val="20"/>
              </w:rPr>
              <w:t xml:space="preserve">Наименование услуги</w:t>
            </w:r>
            <w:r>
              <w:rPr>
                <w:b/>
                <w:sz w:val="20"/>
                <w:szCs w:val="20"/>
              </w:rPr>
            </w:r>
            <w:r>
              <w:rPr>
                <w:b/>
                <w:sz w:val="20"/>
                <w:szCs w:val="20"/>
              </w:rPr>
            </w:r>
          </w:p>
        </w:tc>
        <w:tc>
          <w:tcPr>
            <w:gridSpan w:val="2"/>
            <w:tcBorders>
              <w:top w:val="single" w:color="000000" w:sz="4" w:space="0"/>
              <w:left w:val="single" w:color="000000" w:sz="4" w:space="0"/>
              <w:bottom w:val="single" w:color="000000" w:sz="4" w:space="0"/>
              <w:right w:val="single" w:color="000000" w:sz="4" w:space="0"/>
            </w:tcBorders>
            <w:tcW w:w="2836" w:type="dxa"/>
            <w:vAlign w:val="top"/>
            <w:textDirection w:val="lrTb"/>
            <w:noWrap w:val="false"/>
          </w:tcPr>
          <w:p>
            <w:pPr>
              <w:pStyle w:val="1135"/>
              <w:jc w:val="center"/>
              <w:rPr>
                <w:b/>
                <w:sz w:val="20"/>
                <w:szCs w:val="20"/>
              </w:rPr>
            </w:pPr>
            <w:r>
              <w:rPr>
                <w:b/>
                <w:sz w:val="20"/>
                <w:szCs w:val="20"/>
              </w:rPr>
              <w:t xml:space="preserve">Тариф</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1135"/>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6"/>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1135"/>
              <w:jc w:val="center"/>
              <w:rPr>
                <w:sz w:val="20"/>
                <w:szCs w:val="20"/>
              </w:rPr>
            </w:pPr>
            <w:r>
              <w:rPr>
                <w:sz w:val="20"/>
                <w:szCs w:val="20"/>
              </w:rPr>
              <w:t xml:space="preserve">14.1. Административные операции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2"/>
            <w:tcBorders>
              <w:top w:val="single" w:color="000000" w:sz="4" w:space="0"/>
              <w:left w:val="single" w:color="000000" w:sz="4" w:space="0"/>
              <w:bottom w:val="single" w:color="000000" w:sz="4" w:space="0"/>
              <w:right w:val="single" w:color="000000" w:sz="4" w:space="0"/>
            </w:tcBorders>
            <w:tcW w:w="849" w:type="dxa"/>
            <w:vAlign w:val="top"/>
            <w:textDirection w:val="lrTb"/>
            <w:noWrap w:val="false"/>
          </w:tcPr>
          <w:p>
            <w:pPr>
              <w:pStyle w:val="1135"/>
              <w:jc w:val="center"/>
              <w:rPr>
                <w:rFonts w:eastAsia="Arial Unicode MS"/>
                <w:sz w:val="20"/>
                <w:szCs w:val="20"/>
              </w:rPr>
            </w:pPr>
            <w:r>
              <w:rPr>
                <w:sz w:val="20"/>
                <w:szCs w:val="20"/>
              </w:rPr>
              <w:t xml:space="preserve">14.1.1.</w:t>
            </w:r>
            <w:r>
              <w:rPr>
                <w:rFonts w:eastAsia="Arial Unicode MS"/>
                <w:sz w:val="20"/>
                <w:szCs w:val="20"/>
              </w:rPr>
            </w:r>
            <w:r>
              <w:rPr>
                <w:rFonts w:eastAsia="Arial Unicode MS"/>
                <w:sz w:val="20"/>
                <w:szCs w:val="20"/>
              </w:rPr>
            </w:r>
          </w:p>
        </w:tc>
        <w:tc>
          <w:tcPr>
            <w:tcBorders>
              <w:top w:val="single" w:color="000000" w:sz="4" w:space="0"/>
              <w:left w:val="single" w:color="000000" w:sz="4" w:space="0"/>
              <w:bottom w:val="single" w:color="000000" w:sz="4" w:space="0"/>
              <w:right w:val="single" w:color="000000" w:sz="4" w:space="0"/>
            </w:tcBorders>
            <w:tcW w:w="3970" w:type="dxa"/>
            <w:vAlign w:val="top"/>
            <w:textDirection w:val="lrTb"/>
            <w:noWrap w:val="false"/>
          </w:tcPr>
          <w:p>
            <w:pPr>
              <w:pStyle w:val="1135"/>
              <w:rPr>
                <w:rFonts w:eastAsia="Arial Unicode MS"/>
                <w:sz w:val="20"/>
                <w:szCs w:val="20"/>
              </w:rPr>
            </w:pPr>
            <w:r>
              <w:rPr>
                <w:sz w:val="20"/>
                <w:szCs w:val="20"/>
              </w:rPr>
              <w:t xml:space="preserve">Открытие счета депо</w:t>
            </w:r>
            <w:r>
              <w:rPr>
                <w:rFonts w:eastAsia="Arial Unicode MS"/>
                <w:sz w:val="20"/>
                <w:szCs w:val="20"/>
              </w:rPr>
            </w:r>
            <w:r>
              <w:rPr>
                <w:rFonts w:eastAsia="Arial Unicode MS"/>
                <w:sz w:val="20"/>
                <w:szCs w:val="20"/>
              </w:rPr>
            </w:r>
          </w:p>
        </w:tc>
        <w:tc>
          <w:tcPr>
            <w:gridSpan w:val="2"/>
            <w:tcBorders>
              <w:top w:val="single" w:color="000000" w:sz="4" w:space="0"/>
              <w:left w:val="single" w:color="000000" w:sz="4" w:space="0"/>
              <w:bottom w:val="single" w:color="000000" w:sz="4" w:space="0"/>
              <w:right w:val="single" w:color="000000" w:sz="4" w:space="0"/>
            </w:tcBorders>
            <w:tcW w:w="2836" w:type="dxa"/>
            <w:vAlign w:val="top"/>
            <w:textDirection w:val="lrTb"/>
            <w:noWrap w:val="false"/>
          </w:tcPr>
          <w:p>
            <w:pPr>
              <w:pStyle w:val="1135"/>
              <w:jc w:val="center"/>
              <w:rPr>
                <w:sz w:val="20"/>
                <w:szCs w:val="20"/>
              </w:rPr>
            </w:pPr>
            <w:r>
              <w:rPr>
                <w:sz w:val="20"/>
                <w:szCs w:val="20"/>
              </w:rPr>
              <w:t xml:space="preserve">2 000 руб., </w:t>
            </w:r>
            <w:r>
              <w:rPr>
                <w:sz w:val="20"/>
                <w:szCs w:val="20"/>
              </w:rPr>
            </w:r>
            <w:r>
              <w:rPr>
                <w:sz w:val="20"/>
                <w:szCs w:val="20"/>
              </w:rPr>
            </w:r>
          </w:p>
          <w:p>
            <w:pPr>
              <w:pStyle w:val="1135"/>
              <w:jc w:val="center"/>
              <w:rPr>
                <w:rFonts w:eastAsia="Arial Unicode MS"/>
                <w:sz w:val="20"/>
                <w:szCs w:val="20"/>
              </w:rPr>
            </w:pPr>
            <w:r>
              <w:rPr>
                <w:sz w:val="20"/>
                <w:szCs w:val="20"/>
              </w:rPr>
              <w:t xml:space="preserve">100 руб. за каждый последующий счет</w:t>
            </w:r>
            <w:r>
              <w:rPr>
                <w:rFonts w:eastAsia="Arial Unicode MS"/>
                <w:sz w:val="20"/>
                <w:szCs w:val="20"/>
              </w:rPr>
            </w:r>
            <w:r>
              <w:rPr>
                <w:rFonts w:eastAsia="Arial Unicode MS"/>
                <w:sz w:val="20"/>
                <w:szCs w:val="20"/>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1135"/>
              <w:rPr>
                <w:rFonts w:eastAsia="Arial Unicode MS"/>
                <w:sz w:val="20"/>
                <w:szCs w:val="20"/>
              </w:rPr>
            </w:pPr>
            <w:r>
              <w:rPr>
                <w:rFonts w:eastAsia="Arial Unicode MS"/>
                <w:sz w:val="20"/>
                <w:szCs w:val="20"/>
              </w:rPr>
            </w:r>
            <w:r>
              <w:rPr>
                <w:rFonts w:eastAsia="Arial Unicode MS"/>
                <w:sz w:val="20"/>
                <w:szCs w:val="20"/>
              </w:rPr>
            </w:r>
            <w:r>
              <w:rPr>
                <w:rFonts w:eastAsia="Arial Unicode M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2"/>
            <w:tcBorders>
              <w:top w:val="single" w:color="000000" w:sz="4" w:space="0"/>
              <w:left w:val="single" w:color="000000" w:sz="4" w:space="0"/>
              <w:bottom w:val="single" w:color="000000" w:sz="4" w:space="0"/>
              <w:right w:val="single" w:color="000000" w:sz="4" w:space="0"/>
            </w:tcBorders>
            <w:tcW w:w="849" w:type="dxa"/>
            <w:vAlign w:val="top"/>
            <w:textDirection w:val="lrTb"/>
            <w:noWrap w:val="false"/>
          </w:tcPr>
          <w:p>
            <w:pPr>
              <w:pStyle w:val="1135"/>
              <w:jc w:val="center"/>
              <w:rPr>
                <w:rFonts w:eastAsia="Arial Unicode MS"/>
                <w:sz w:val="20"/>
                <w:szCs w:val="20"/>
              </w:rPr>
            </w:pPr>
            <w:r>
              <w:rPr>
                <w:sz w:val="20"/>
                <w:szCs w:val="20"/>
              </w:rPr>
              <w:t xml:space="preserve">14.1.2.</w:t>
            </w:r>
            <w:r>
              <w:rPr>
                <w:rFonts w:eastAsia="Arial Unicode MS"/>
                <w:sz w:val="20"/>
                <w:szCs w:val="20"/>
              </w:rPr>
            </w:r>
            <w:r>
              <w:rPr>
                <w:rFonts w:eastAsia="Arial Unicode MS"/>
                <w:sz w:val="20"/>
                <w:szCs w:val="20"/>
              </w:rPr>
            </w:r>
          </w:p>
        </w:tc>
        <w:tc>
          <w:tcPr>
            <w:tcBorders>
              <w:top w:val="single" w:color="000000" w:sz="4" w:space="0"/>
              <w:left w:val="single" w:color="000000" w:sz="4" w:space="0"/>
              <w:bottom w:val="single" w:color="000000" w:sz="4" w:space="0"/>
              <w:right w:val="single" w:color="000000" w:sz="4" w:space="0"/>
            </w:tcBorders>
            <w:tcW w:w="3970" w:type="dxa"/>
            <w:vAlign w:val="top"/>
            <w:textDirection w:val="lrTb"/>
            <w:noWrap w:val="false"/>
          </w:tcPr>
          <w:p>
            <w:pPr>
              <w:pStyle w:val="1135"/>
              <w:rPr>
                <w:sz w:val="20"/>
                <w:szCs w:val="20"/>
              </w:rPr>
            </w:pPr>
            <w:r>
              <w:rPr>
                <w:sz w:val="20"/>
                <w:szCs w:val="20"/>
              </w:rPr>
              <w:t xml:space="preserve">Открытие индивидуального раздела на междепозитарном счете </w:t>
            </w:r>
            <w:r>
              <w:rPr>
                <w:sz w:val="20"/>
                <w:szCs w:val="20"/>
              </w:rPr>
            </w:r>
            <w:r>
              <w:rPr>
                <w:sz w:val="20"/>
                <w:szCs w:val="20"/>
              </w:rPr>
            </w:r>
          </w:p>
          <w:p>
            <w:pPr>
              <w:pStyle w:val="1135"/>
              <w:rPr>
                <w:sz w:val="20"/>
                <w:szCs w:val="20"/>
              </w:rPr>
            </w:pPr>
            <w:r>
              <w:rPr>
                <w:sz w:val="20"/>
                <w:szCs w:val="20"/>
              </w:rPr>
              <w:t xml:space="preserve">АО «Россельхозбанк» в НКО </w:t>
            </w:r>
            <w:r>
              <w:rPr>
                <w:sz w:val="20"/>
                <w:szCs w:val="20"/>
              </w:rPr>
            </w:r>
            <w:r>
              <w:rPr>
                <w:sz w:val="20"/>
                <w:szCs w:val="20"/>
              </w:rPr>
            </w:r>
          </w:p>
          <w:p>
            <w:pPr>
              <w:pStyle w:val="1135"/>
              <w:rPr>
                <w:rFonts w:eastAsia="Arial Unicode MS"/>
                <w:sz w:val="20"/>
                <w:szCs w:val="20"/>
              </w:rPr>
            </w:pPr>
            <w:r>
              <w:rPr>
                <w:sz w:val="20"/>
                <w:szCs w:val="20"/>
              </w:rPr>
              <w:t xml:space="preserve">АО НРД и в других депозитариях по поручению клиента</w:t>
            </w:r>
            <w:r>
              <w:rPr>
                <w:rFonts w:eastAsia="Arial Unicode MS"/>
                <w:sz w:val="20"/>
                <w:szCs w:val="20"/>
              </w:rPr>
            </w:r>
            <w:r>
              <w:rPr>
                <w:rFonts w:eastAsia="Arial Unicode MS"/>
                <w:sz w:val="20"/>
                <w:szCs w:val="20"/>
              </w:rPr>
            </w:r>
          </w:p>
        </w:tc>
        <w:tc>
          <w:tcPr>
            <w:gridSpan w:val="2"/>
            <w:tcBorders>
              <w:top w:val="single" w:color="000000" w:sz="4" w:space="0"/>
              <w:left w:val="single" w:color="000000" w:sz="4" w:space="0"/>
              <w:bottom w:val="single" w:color="000000" w:sz="4" w:space="0"/>
              <w:right w:val="single" w:color="000000" w:sz="4" w:space="0"/>
            </w:tcBorders>
            <w:tcW w:w="2836" w:type="dxa"/>
            <w:vAlign w:val="top"/>
            <w:textDirection w:val="lrTb"/>
            <w:noWrap w:val="false"/>
          </w:tcPr>
          <w:p>
            <w:pPr>
              <w:pStyle w:val="1135"/>
              <w:jc w:val="center"/>
              <w:rPr>
                <w:rFonts w:eastAsia="Arial Unicode MS"/>
                <w:sz w:val="20"/>
                <w:szCs w:val="20"/>
              </w:rPr>
            </w:pPr>
            <w:r>
              <w:rPr>
                <w:sz w:val="20"/>
                <w:szCs w:val="20"/>
              </w:rPr>
              <w:t xml:space="preserve">1 000 руб. за каждый раздел</w:t>
            </w:r>
            <w:r>
              <w:rPr>
                <w:rFonts w:eastAsia="Arial Unicode MS"/>
                <w:sz w:val="20"/>
                <w:szCs w:val="20"/>
              </w:rPr>
            </w:r>
            <w:r>
              <w:rPr>
                <w:rFonts w:eastAsia="Arial Unicode MS"/>
                <w:sz w:val="20"/>
                <w:szCs w:val="20"/>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1135"/>
              <w:rPr>
                <w:rFonts w:eastAsia="Arial Unicode MS"/>
                <w:sz w:val="20"/>
                <w:szCs w:val="20"/>
              </w:rPr>
            </w:pPr>
            <w:r>
              <w:rPr>
                <w:rFonts w:eastAsia="Arial Unicode MS"/>
                <w:sz w:val="20"/>
                <w:szCs w:val="20"/>
              </w:rPr>
            </w:r>
            <w:r>
              <w:rPr>
                <w:rFonts w:eastAsia="Arial Unicode MS"/>
                <w:sz w:val="20"/>
                <w:szCs w:val="20"/>
              </w:rPr>
            </w:r>
            <w:r>
              <w:rPr>
                <w:rFonts w:eastAsia="Arial Unicode M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2"/>
            <w:tcBorders>
              <w:top w:val="single" w:color="000000" w:sz="4" w:space="0"/>
              <w:left w:val="single" w:color="000000" w:sz="4" w:space="0"/>
              <w:bottom w:val="single" w:color="000000" w:sz="4" w:space="0"/>
              <w:right w:val="single" w:color="000000" w:sz="4" w:space="0"/>
            </w:tcBorders>
            <w:tcW w:w="849" w:type="dxa"/>
            <w:vAlign w:val="top"/>
            <w:textDirection w:val="lrTb"/>
            <w:noWrap w:val="false"/>
          </w:tcPr>
          <w:p>
            <w:pPr>
              <w:pStyle w:val="1135"/>
              <w:jc w:val="center"/>
              <w:rPr>
                <w:rFonts w:eastAsia="Arial Unicode MS"/>
                <w:sz w:val="20"/>
                <w:szCs w:val="20"/>
              </w:rPr>
            </w:pPr>
            <w:r>
              <w:rPr>
                <w:sz w:val="20"/>
                <w:szCs w:val="20"/>
              </w:rPr>
              <w:t xml:space="preserve">14.1.3.</w:t>
            </w:r>
            <w:r>
              <w:rPr>
                <w:rFonts w:eastAsia="Arial Unicode MS"/>
                <w:sz w:val="20"/>
                <w:szCs w:val="20"/>
              </w:rPr>
            </w:r>
            <w:r>
              <w:rPr>
                <w:rFonts w:eastAsia="Arial Unicode MS"/>
                <w:sz w:val="20"/>
                <w:szCs w:val="20"/>
              </w:rPr>
            </w:r>
          </w:p>
        </w:tc>
        <w:tc>
          <w:tcPr>
            <w:tcBorders>
              <w:top w:val="single" w:color="000000" w:sz="4" w:space="0"/>
              <w:left w:val="single" w:color="000000" w:sz="4" w:space="0"/>
              <w:bottom w:val="single" w:color="000000" w:sz="4" w:space="0"/>
              <w:right w:val="single" w:color="000000" w:sz="4" w:space="0"/>
            </w:tcBorders>
            <w:tcW w:w="3970" w:type="dxa"/>
            <w:vAlign w:val="top"/>
            <w:textDirection w:val="lrTb"/>
            <w:noWrap w:val="false"/>
          </w:tcPr>
          <w:p>
            <w:pPr>
              <w:pStyle w:val="1135"/>
              <w:rPr>
                <w:rFonts w:eastAsia="Arial Unicode MS"/>
                <w:sz w:val="20"/>
                <w:szCs w:val="20"/>
              </w:rPr>
            </w:pPr>
            <w:r>
              <w:rPr>
                <w:sz w:val="20"/>
                <w:szCs w:val="20"/>
              </w:rPr>
              <w:t xml:space="preserve">Ведение счета депо</w:t>
            </w:r>
            <w:r>
              <w:rPr>
                <w:rFonts w:eastAsia="Arial Unicode MS"/>
                <w:sz w:val="20"/>
                <w:szCs w:val="20"/>
              </w:rPr>
            </w:r>
            <w:r>
              <w:rPr>
                <w:rFonts w:eastAsia="Arial Unicode MS"/>
                <w:sz w:val="20"/>
                <w:szCs w:val="20"/>
              </w:rPr>
            </w:r>
          </w:p>
        </w:tc>
        <w:tc>
          <w:tcPr>
            <w:gridSpan w:val="2"/>
            <w:tcBorders>
              <w:top w:val="single" w:color="000000" w:sz="4" w:space="0"/>
              <w:left w:val="single" w:color="000000" w:sz="4" w:space="0"/>
              <w:bottom w:val="single" w:color="000000" w:sz="4" w:space="0"/>
              <w:right w:val="single" w:color="000000" w:sz="4" w:space="0"/>
            </w:tcBorders>
            <w:tcW w:w="2836" w:type="dxa"/>
            <w:vAlign w:val="top"/>
            <w:textDirection w:val="lrTb"/>
            <w:noWrap w:val="false"/>
          </w:tcPr>
          <w:p>
            <w:pPr>
              <w:pStyle w:val="1135"/>
              <w:jc w:val="center"/>
              <w:rPr>
                <w:rFonts w:eastAsia="Arial Unicode MS"/>
                <w:sz w:val="20"/>
                <w:szCs w:val="20"/>
              </w:rPr>
            </w:pPr>
            <w:r>
              <w:rPr>
                <w:sz w:val="20"/>
                <w:szCs w:val="20"/>
              </w:rPr>
              <w:t xml:space="preserve">Комиссия не взимается</w:t>
            </w:r>
            <w:r>
              <w:rPr>
                <w:rFonts w:eastAsia="Arial Unicode MS"/>
                <w:sz w:val="20"/>
                <w:szCs w:val="20"/>
              </w:rPr>
            </w:r>
            <w:r>
              <w:rPr>
                <w:rFonts w:eastAsia="Arial Unicode MS"/>
                <w:sz w:val="20"/>
                <w:szCs w:val="20"/>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1135"/>
              <w:rPr>
                <w:rFonts w:eastAsia="Arial Unicode MS"/>
                <w:sz w:val="20"/>
                <w:szCs w:val="20"/>
              </w:rPr>
            </w:pPr>
            <w:r>
              <w:rPr>
                <w:rFonts w:eastAsia="Arial Unicode MS"/>
                <w:sz w:val="20"/>
                <w:szCs w:val="20"/>
              </w:rPr>
            </w:r>
            <w:r>
              <w:rPr>
                <w:rFonts w:eastAsia="Arial Unicode MS"/>
                <w:sz w:val="20"/>
                <w:szCs w:val="20"/>
              </w:rPr>
            </w:r>
            <w:r>
              <w:rPr>
                <w:rFonts w:eastAsia="Arial Unicode M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2"/>
            <w:tcBorders>
              <w:top w:val="single" w:color="000000" w:sz="4" w:space="0"/>
              <w:left w:val="single" w:color="000000" w:sz="4" w:space="0"/>
              <w:bottom w:val="single" w:color="000000" w:sz="4" w:space="0"/>
              <w:right w:val="single" w:color="000000" w:sz="4" w:space="0"/>
            </w:tcBorders>
            <w:tcW w:w="849" w:type="dxa"/>
            <w:vAlign w:val="top"/>
            <w:textDirection w:val="lrTb"/>
            <w:noWrap w:val="false"/>
          </w:tcPr>
          <w:p>
            <w:pPr>
              <w:pStyle w:val="1135"/>
              <w:jc w:val="center"/>
              <w:rPr>
                <w:sz w:val="20"/>
                <w:szCs w:val="20"/>
              </w:rPr>
            </w:pPr>
            <w:r>
              <w:rPr>
                <w:sz w:val="20"/>
                <w:szCs w:val="20"/>
              </w:rPr>
              <w:t xml:space="preserve">14.1.4.</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70" w:type="dxa"/>
            <w:vAlign w:val="top"/>
            <w:textDirection w:val="lrTb"/>
            <w:noWrap w:val="false"/>
          </w:tcPr>
          <w:p>
            <w:pPr>
              <w:pStyle w:val="1135"/>
              <w:rPr>
                <w:sz w:val="20"/>
                <w:szCs w:val="20"/>
              </w:rPr>
            </w:pPr>
            <w:r>
              <w:rPr>
                <w:sz w:val="20"/>
                <w:szCs w:val="20"/>
              </w:rPr>
              <w:t xml:space="preserve">Открытие счета номинального держателя АО «Россельхозбанк» в реестре владельцев ценных бумаг</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836" w:type="dxa"/>
            <w:vAlign w:val="top"/>
            <w:textDirection w:val="lrTb"/>
            <w:noWrap w:val="false"/>
          </w:tcPr>
          <w:p>
            <w:pPr>
              <w:pStyle w:val="1135"/>
              <w:jc w:val="center"/>
              <w:rPr>
                <w:sz w:val="20"/>
                <w:szCs w:val="20"/>
              </w:rPr>
            </w:pPr>
            <w:r>
              <w:rPr>
                <w:sz w:val="20"/>
                <w:szCs w:val="20"/>
              </w:rPr>
              <w:t xml:space="preserve">20 000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1135"/>
              <w:rPr>
                <w:rFonts w:eastAsia="Arial Unicode MS"/>
                <w:sz w:val="20"/>
                <w:szCs w:val="20"/>
              </w:rPr>
            </w:pPr>
            <w:r>
              <w:rPr>
                <w:rFonts w:eastAsia="Arial Unicode MS"/>
                <w:sz w:val="20"/>
                <w:szCs w:val="20"/>
              </w:rPr>
            </w:r>
            <w:r>
              <w:rPr>
                <w:rFonts w:eastAsia="Arial Unicode MS"/>
                <w:sz w:val="20"/>
                <w:szCs w:val="20"/>
              </w:rPr>
            </w:r>
            <w:r>
              <w:rPr>
                <w:rFonts w:eastAsia="Arial Unicode M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2"/>
            <w:tcBorders>
              <w:top w:val="single" w:color="000000" w:sz="4" w:space="0"/>
              <w:left w:val="single" w:color="000000" w:sz="4" w:space="0"/>
              <w:bottom w:val="single" w:color="000000" w:sz="4" w:space="0"/>
              <w:right w:val="single" w:color="000000" w:sz="4" w:space="0"/>
            </w:tcBorders>
            <w:tcW w:w="849" w:type="dxa"/>
            <w:vAlign w:val="top"/>
            <w:textDirection w:val="lrTb"/>
            <w:noWrap w:val="false"/>
          </w:tcPr>
          <w:p>
            <w:pPr>
              <w:pStyle w:val="1135"/>
              <w:jc w:val="center"/>
              <w:rPr>
                <w:rFonts w:eastAsia="Arial Unicode MS"/>
                <w:sz w:val="20"/>
                <w:szCs w:val="20"/>
              </w:rPr>
            </w:pPr>
            <w:r>
              <w:rPr>
                <w:sz w:val="20"/>
                <w:szCs w:val="20"/>
              </w:rPr>
              <w:t xml:space="preserve">14.1.5</w:t>
            </w:r>
            <w:r>
              <w:rPr>
                <w:sz w:val="20"/>
                <w:szCs w:val="20"/>
              </w:rPr>
              <w:t xml:space="preserve">.</w:t>
            </w:r>
            <w:r>
              <w:rPr>
                <w:rFonts w:eastAsia="Arial Unicode MS"/>
                <w:sz w:val="20"/>
                <w:szCs w:val="20"/>
              </w:rPr>
            </w:r>
            <w:r>
              <w:rPr>
                <w:rFonts w:eastAsia="Arial Unicode MS"/>
                <w:sz w:val="20"/>
                <w:szCs w:val="20"/>
              </w:rPr>
            </w:r>
          </w:p>
        </w:tc>
        <w:tc>
          <w:tcPr>
            <w:tcBorders>
              <w:top w:val="single" w:color="000000" w:sz="4" w:space="0"/>
              <w:left w:val="single" w:color="000000" w:sz="4" w:space="0"/>
              <w:bottom w:val="single" w:color="000000" w:sz="4" w:space="0"/>
              <w:right w:val="single" w:color="000000" w:sz="4" w:space="0"/>
            </w:tcBorders>
            <w:tcW w:w="3970" w:type="dxa"/>
            <w:vAlign w:val="top"/>
            <w:textDirection w:val="lrTb"/>
            <w:noWrap w:val="false"/>
          </w:tcPr>
          <w:p>
            <w:pPr>
              <w:pStyle w:val="1135"/>
              <w:rPr>
                <w:rFonts w:eastAsia="Arial Unicode MS"/>
                <w:sz w:val="20"/>
                <w:szCs w:val="20"/>
              </w:rPr>
            </w:pPr>
            <w:r>
              <w:rPr>
                <w:sz w:val="20"/>
                <w:szCs w:val="20"/>
              </w:rPr>
              <w:t xml:space="preserve">Закрытие счета депо</w:t>
            </w:r>
            <w:r>
              <w:rPr>
                <w:rFonts w:eastAsia="Arial Unicode MS"/>
                <w:sz w:val="20"/>
                <w:szCs w:val="20"/>
              </w:rPr>
            </w:r>
            <w:r>
              <w:rPr>
                <w:rFonts w:eastAsia="Arial Unicode MS"/>
                <w:sz w:val="20"/>
                <w:szCs w:val="20"/>
              </w:rPr>
            </w:r>
          </w:p>
        </w:tc>
        <w:tc>
          <w:tcPr>
            <w:gridSpan w:val="2"/>
            <w:tcBorders>
              <w:top w:val="single" w:color="000000" w:sz="4" w:space="0"/>
              <w:left w:val="single" w:color="000000" w:sz="4" w:space="0"/>
              <w:bottom w:val="single" w:color="000000" w:sz="4" w:space="0"/>
              <w:right w:val="single" w:color="000000" w:sz="4" w:space="0"/>
            </w:tcBorders>
            <w:tcW w:w="2836" w:type="dxa"/>
            <w:vAlign w:val="top"/>
            <w:textDirection w:val="lrTb"/>
            <w:noWrap w:val="false"/>
          </w:tcPr>
          <w:p>
            <w:pPr>
              <w:pStyle w:val="1135"/>
              <w:jc w:val="center"/>
              <w:rPr>
                <w:rFonts w:eastAsia="Arial Unicode MS"/>
                <w:sz w:val="20"/>
                <w:szCs w:val="20"/>
              </w:rPr>
            </w:pPr>
            <w:r>
              <w:rPr>
                <w:sz w:val="20"/>
                <w:szCs w:val="20"/>
              </w:rPr>
              <w:t xml:space="preserve">Не взимается</w:t>
            </w:r>
            <w:r>
              <w:rPr>
                <w:rFonts w:eastAsia="Arial Unicode MS"/>
                <w:sz w:val="20"/>
                <w:szCs w:val="20"/>
              </w:rPr>
            </w:r>
            <w:r>
              <w:rPr>
                <w:rFonts w:eastAsia="Arial Unicode MS"/>
                <w:sz w:val="20"/>
                <w:szCs w:val="20"/>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1135"/>
              <w:rPr>
                <w:rFonts w:eastAsia="Arial Unicode MS"/>
                <w:sz w:val="20"/>
                <w:szCs w:val="20"/>
              </w:rPr>
            </w:pPr>
            <w:r>
              <w:rPr>
                <w:rFonts w:eastAsia="Arial Unicode MS"/>
                <w:sz w:val="20"/>
                <w:szCs w:val="20"/>
              </w:rPr>
            </w:r>
            <w:r>
              <w:rPr>
                <w:rFonts w:eastAsia="Arial Unicode MS"/>
                <w:sz w:val="20"/>
                <w:szCs w:val="20"/>
              </w:rPr>
            </w:r>
            <w:r>
              <w:rPr>
                <w:rFonts w:eastAsia="Arial Unicode M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6"/>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1135"/>
              <w:jc w:val="center"/>
              <w:rPr>
                <w:sz w:val="20"/>
                <w:szCs w:val="20"/>
              </w:rPr>
            </w:pPr>
            <w:r>
              <w:rPr>
                <w:sz w:val="20"/>
                <w:szCs w:val="20"/>
              </w:rPr>
              <w:t xml:space="preserve">14.2. Хранение и учет ценных бумаг</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2"/>
            <w:tcBorders>
              <w:top w:val="single" w:color="000000" w:sz="4" w:space="0"/>
              <w:left w:val="single" w:color="000000" w:sz="4" w:space="0"/>
              <w:bottom w:val="single" w:color="000000" w:sz="4" w:space="0"/>
              <w:right w:val="single" w:color="000000" w:sz="4" w:space="0"/>
            </w:tcBorders>
            <w:tcW w:w="849" w:type="dxa"/>
            <w:vAlign w:val="top"/>
            <w:textDirection w:val="lrTb"/>
            <w:noWrap w:val="false"/>
          </w:tcPr>
          <w:p>
            <w:pPr>
              <w:pStyle w:val="1135"/>
              <w:jc w:val="center"/>
              <w:rPr>
                <w:rFonts w:eastAsia="Arial Unicode MS"/>
                <w:sz w:val="20"/>
                <w:szCs w:val="20"/>
              </w:rPr>
            </w:pPr>
            <w:r>
              <w:rPr>
                <w:sz w:val="20"/>
                <w:szCs w:val="20"/>
              </w:rPr>
              <w:t xml:space="preserve">14.2.1.</w:t>
            </w:r>
            <w:r>
              <w:rPr>
                <w:rFonts w:eastAsia="Arial Unicode MS"/>
                <w:sz w:val="20"/>
                <w:szCs w:val="20"/>
              </w:rPr>
            </w:r>
            <w:r>
              <w:rPr>
                <w:rFonts w:eastAsia="Arial Unicode MS"/>
                <w:sz w:val="20"/>
                <w:szCs w:val="20"/>
              </w:rPr>
            </w:r>
          </w:p>
        </w:tc>
        <w:tc>
          <w:tcPr>
            <w:tcBorders>
              <w:top w:val="single" w:color="000000" w:sz="4" w:space="0"/>
              <w:left w:val="single" w:color="000000" w:sz="4" w:space="0"/>
              <w:bottom w:val="single" w:color="000000" w:sz="4" w:space="0"/>
              <w:right w:val="single" w:color="000000" w:sz="4" w:space="0"/>
            </w:tcBorders>
            <w:tcW w:w="3970" w:type="dxa"/>
            <w:vAlign w:val="top"/>
            <w:textDirection w:val="lrTb"/>
            <w:noWrap w:val="false"/>
          </w:tcPr>
          <w:p>
            <w:pPr>
              <w:pStyle w:val="1135"/>
              <w:rPr>
                <w:rFonts w:eastAsia="Arial Unicode MS"/>
                <w:sz w:val="20"/>
                <w:szCs w:val="20"/>
              </w:rPr>
            </w:pPr>
            <w:r>
              <w:rPr>
                <w:sz w:val="20"/>
                <w:szCs w:val="20"/>
              </w:rPr>
              <w:t xml:space="preserve">Депозитарный учет акций, облигаций и российских депозитарных расписок, хранение сертификатов эмиссионных ценных бумаг, выпущенных на территории Российской Федерации</w:t>
            </w:r>
            <w:r>
              <w:rPr>
                <w:rFonts w:eastAsia="Arial Unicode MS"/>
                <w:sz w:val="20"/>
                <w:szCs w:val="20"/>
              </w:rPr>
            </w:r>
            <w:r>
              <w:rPr>
                <w:rFonts w:eastAsia="Arial Unicode MS"/>
                <w:sz w:val="20"/>
                <w:szCs w:val="20"/>
              </w:rPr>
            </w:r>
          </w:p>
        </w:tc>
        <w:tc>
          <w:tcPr>
            <w:gridSpan w:val="2"/>
            <w:tcBorders>
              <w:top w:val="single" w:color="000000" w:sz="4" w:space="0"/>
              <w:left w:val="single" w:color="000000" w:sz="4" w:space="0"/>
              <w:bottom w:val="single" w:color="000000" w:sz="4" w:space="0"/>
              <w:right w:val="single" w:color="000000" w:sz="4" w:space="0"/>
            </w:tcBorders>
            <w:tcW w:w="2836" w:type="dxa"/>
            <w:vAlign w:val="top"/>
            <w:textDirection w:val="lrTb"/>
            <w:noWrap w:val="false"/>
          </w:tcPr>
          <w:p>
            <w:pPr>
              <w:pStyle w:val="1135"/>
              <w:jc w:val="center"/>
              <w:rPr>
                <w:sz w:val="20"/>
                <w:szCs w:val="20"/>
              </w:rPr>
            </w:pPr>
            <w:r>
              <w:rPr>
                <w:sz w:val="20"/>
                <w:szCs w:val="20"/>
              </w:rPr>
              <w:t xml:space="preserve">Акций (депозитарных расписок) до 50 млн. руб. (включительно) - 0,07% годовых, минимум 300 руб. в месяц, свыше 50 млн. руб. - 0,06% годовых, минимум 300 руб. в месяц</w:t>
            </w:r>
            <w:r>
              <w:rPr>
                <w:sz w:val="20"/>
                <w:szCs w:val="20"/>
              </w:rPr>
            </w:r>
            <w:r>
              <w:rPr>
                <w:sz w:val="20"/>
                <w:szCs w:val="20"/>
              </w:rPr>
            </w:r>
          </w:p>
          <w:p>
            <w:pPr>
              <w:pStyle w:val="1135"/>
              <w:jc w:val="center"/>
              <w:rPr>
                <w:sz w:val="20"/>
                <w:szCs w:val="20"/>
              </w:rPr>
            </w:pPr>
            <w:r>
              <w:rPr>
                <w:sz w:val="20"/>
                <w:szCs w:val="20"/>
              </w:rPr>
              <w:t xml:space="preserve">Облигаций до 50 млн. руб. (включительно) - 0,06% годовых, минимум 300 руб. в месяц, свыше 50 млн. руб. - 0,05% годовых минимум 300 руб. в месяц</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1135"/>
              <w:rPr>
                <w:sz w:val="20"/>
                <w:szCs w:val="20"/>
              </w:rPr>
            </w:pPr>
            <w:r>
              <w:rPr>
                <w:sz w:val="20"/>
                <w:szCs w:val="20"/>
              </w:rPr>
              <w:t xml:space="preserve">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2"/>
            <w:tcBorders>
              <w:top w:val="single" w:color="000000" w:sz="4" w:space="0"/>
              <w:left w:val="single" w:color="000000" w:sz="4" w:space="0"/>
              <w:bottom w:val="single" w:color="000000" w:sz="4" w:space="0"/>
              <w:right w:val="single" w:color="000000" w:sz="4" w:space="0"/>
            </w:tcBorders>
            <w:tcW w:w="849" w:type="dxa"/>
            <w:vAlign w:val="top"/>
            <w:textDirection w:val="lrTb"/>
            <w:noWrap w:val="false"/>
          </w:tcPr>
          <w:p>
            <w:pPr>
              <w:pStyle w:val="1135"/>
              <w:jc w:val="center"/>
              <w:rPr>
                <w:sz w:val="20"/>
                <w:szCs w:val="20"/>
              </w:rPr>
            </w:pPr>
            <w:r>
              <w:rPr>
                <w:sz w:val="20"/>
                <w:szCs w:val="20"/>
              </w:rPr>
              <w:t xml:space="preserve">14.2.2.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70" w:type="dxa"/>
            <w:vAlign w:val="top"/>
            <w:textDirection w:val="lrTb"/>
            <w:noWrap w:val="false"/>
          </w:tcPr>
          <w:p>
            <w:pPr>
              <w:pStyle w:val="1135"/>
              <w:rPr>
                <w:sz w:val="20"/>
                <w:szCs w:val="20"/>
              </w:rPr>
            </w:pPr>
            <w:r>
              <w:rPr>
                <w:sz w:val="20"/>
                <w:szCs w:val="20"/>
              </w:rPr>
              <w:t xml:space="preserve">Депозитарный учет и/или хранение иностранных финансовых инструментов, выпущенных вне территории Российской Федерации</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836" w:type="dxa"/>
            <w:vAlign w:val="top"/>
            <w:textDirection w:val="lrTb"/>
            <w:noWrap w:val="false"/>
          </w:tcPr>
          <w:p>
            <w:pPr>
              <w:pStyle w:val="1135"/>
              <w:jc w:val="center"/>
              <w:rPr>
                <w:sz w:val="20"/>
                <w:szCs w:val="20"/>
              </w:rPr>
            </w:pPr>
            <w:r>
              <w:rPr>
                <w:sz w:val="20"/>
                <w:szCs w:val="20"/>
              </w:rPr>
              <w:t xml:space="preserve">Акций (депозитарных расписок) до 50 млн. руб. (включительно) - 0,07% годовых, минимум 300 руб. месяц, свыше 50 млн. руб. - 0,06% годовых, минимум 300 руб. в месяц</w:t>
            </w:r>
            <w:r>
              <w:rPr>
                <w:sz w:val="20"/>
                <w:szCs w:val="20"/>
              </w:rPr>
            </w:r>
            <w:r>
              <w:rPr>
                <w:sz w:val="20"/>
                <w:szCs w:val="20"/>
              </w:rPr>
            </w:r>
          </w:p>
          <w:p>
            <w:pPr>
              <w:pStyle w:val="1135"/>
              <w:jc w:val="center"/>
              <w:rPr>
                <w:sz w:val="20"/>
                <w:szCs w:val="20"/>
              </w:rPr>
            </w:pPr>
            <w:r>
              <w:rPr>
                <w:sz w:val="20"/>
                <w:szCs w:val="20"/>
              </w:rPr>
              <w:t xml:space="preserve">Облигаций до 50 млн. руб. (включительно) - 0,06% годовых, минимум 300 руб. в месяц, свыше 50 млн. руб. - 0,05% годовых, минимум 300 руб. в месяцгодовых</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1135"/>
              <w:rPr>
                <w:sz w:val="20"/>
                <w:szCs w:val="20"/>
              </w:rPr>
            </w:pPr>
            <w:r>
              <w:rPr>
                <w:sz w:val="20"/>
                <w:szCs w:val="20"/>
              </w:rPr>
              <w:t xml:space="preserve">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6"/>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1135"/>
              <w:jc w:val="center"/>
              <w:rPr>
                <w:sz w:val="20"/>
                <w:szCs w:val="20"/>
              </w:rPr>
            </w:pPr>
            <w:r>
              <w:rPr>
                <w:sz w:val="20"/>
                <w:szCs w:val="20"/>
              </w:rPr>
              <w:t xml:space="preserve">14.2.3. Хранение неэмиссионных ценных бумаг:</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2"/>
            <w:tcBorders>
              <w:top w:val="single" w:color="000000" w:sz="4" w:space="0"/>
              <w:left w:val="single" w:color="000000" w:sz="4" w:space="0"/>
              <w:bottom w:val="single" w:color="000000" w:sz="4" w:space="0"/>
              <w:right w:val="single" w:color="000000" w:sz="4" w:space="0"/>
            </w:tcBorders>
            <w:tcW w:w="849" w:type="dxa"/>
            <w:vAlign w:val="top"/>
            <w:textDirection w:val="lrTb"/>
            <w:noWrap w:val="false"/>
          </w:tcPr>
          <w:p>
            <w:pPr>
              <w:pStyle w:val="1135"/>
              <w:jc w:val="center"/>
              <w:rPr>
                <w:sz w:val="20"/>
                <w:szCs w:val="20"/>
              </w:rPr>
            </w:pPr>
            <w:r>
              <w:rPr>
                <w:sz w:val="20"/>
                <w:szCs w:val="20"/>
              </w:rPr>
              <w:t xml:space="preserve">14.2.3.1.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70" w:type="dxa"/>
            <w:vAlign w:val="top"/>
            <w:textDirection w:val="lrTb"/>
            <w:noWrap w:val="false"/>
          </w:tcPr>
          <w:p>
            <w:pPr>
              <w:pStyle w:val="1135"/>
              <w:rPr>
                <w:sz w:val="20"/>
                <w:szCs w:val="20"/>
              </w:rPr>
            </w:pPr>
            <w:r>
              <w:rPr>
                <w:sz w:val="20"/>
                <w:szCs w:val="20"/>
              </w:rPr>
              <w:t xml:space="preserve">- имеющих номинальную стоимость</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836" w:type="dxa"/>
            <w:vAlign w:val="top"/>
            <w:textDirection w:val="lrTb"/>
            <w:noWrap w:val="false"/>
          </w:tcPr>
          <w:p>
            <w:pPr>
              <w:pStyle w:val="1135"/>
              <w:jc w:val="center"/>
              <w:rPr>
                <w:sz w:val="20"/>
                <w:szCs w:val="20"/>
              </w:rPr>
            </w:pPr>
            <w:r>
              <w:rPr>
                <w:sz w:val="20"/>
                <w:szCs w:val="20"/>
              </w:rPr>
              <w:t xml:space="preserve">До 300 млн. руб. (включительно) - 0,07% годовых, минимум 300 руб. месяц, от 300 млн. руб. до 500 млн. руб. (включительно) - 0,065% годовых, минимум 300 руб. в месяц, свыше 500 млн. руб. - 0,06% годовых, минимум 300 руб. в месяц</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1135"/>
              <w:rPr>
                <w:sz w:val="20"/>
                <w:szCs w:val="20"/>
              </w:rPr>
            </w:pPr>
            <w:r>
              <w:rPr>
                <w:sz w:val="20"/>
                <w:szCs w:val="20"/>
              </w:rPr>
              <w:t xml:space="preserve">Рассчитывается ежеквартально от номинальной стоимости ежедневного остатка ценных бумаг</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2"/>
            <w:tcBorders>
              <w:top w:val="single" w:color="000000" w:sz="4" w:space="0"/>
              <w:left w:val="single" w:color="000000" w:sz="4" w:space="0"/>
              <w:bottom w:val="single" w:color="000000" w:sz="4" w:space="0"/>
              <w:right w:val="single" w:color="000000" w:sz="4" w:space="0"/>
            </w:tcBorders>
            <w:tcW w:w="849" w:type="dxa"/>
            <w:vAlign w:val="top"/>
            <w:textDirection w:val="lrTb"/>
            <w:noWrap w:val="false"/>
          </w:tcPr>
          <w:p>
            <w:pPr>
              <w:pStyle w:val="1135"/>
              <w:jc w:val="center"/>
              <w:rPr>
                <w:sz w:val="20"/>
                <w:szCs w:val="20"/>
              </w:rPr>
            </w:pPr>
            <w:r>
              <w:rPr>
                <w:sz w:val="20"/>
                <w:szCs w:val="20"/>
              </w:rPr>
              <w:t xml:space="preserve">14.2.3.2.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70" w:type="dxa"/>
            <w:vAlign w:val="top"/>
            <w:textDirection w:val="lrTb"/>
            <w:noWrap w:val="false"/>
          </w:tcPr>
          <w:p>
            <w:pPr>
              <w:pStyle w:val="1135"/>
              <w:rPr>
                <w:sz w:val="20"/>
                <w:szCs w:val="20"/>
              </w:rPr>
            </w:pPr>
            <w:r>
              <w:rPr>
                <w:sz w:val="20"/>
                <w:szCs w:val="20"/>
              </w:rPr>
              <w:t xml:space="preserve">- не имеющих номинальную стоимость</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836" w:type="dxa"/>
            <w:vAlign w:val="top"/>
            <w:textDirection w:val="lrTb"/>
            <w:noWrap w:val="false"/>
          </w:tcPr>
          <w:p>
            <w:pPr>
              <w:pStyle w:val="1135"/>
              <w:jc w:val="center"/>
              <w:rPr>
                <w:sz w:val="20"/>
                <w:szCs w:val="20"/>
              </w:rPr>
            </w:pPr>
            <w:r>
              <w:rPr>
                <w:sz w:val="20"/>
                <w:szCs w:val="20"/>
              </w:rPr>
              <w:t xml:space="preserve">1 000 руб. в месяц</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1135"/>
              <w:rPr>
                <w:sz w:val="20"/>
                <w:szCs w:val="20"/>
              </w:rPr>
            </w:pPr>
            <w:r>
              <w:rPr>
                <w:sz w:val="20"/>
                <w:szCs w:val="20"/>
              </w:rPr>
              <w:t xml:space="preserve">Взимается ежеквартально независ</w:t>
            </w:r>
            <w:r>
              <w:rPr>
                <w:sz w:val="20"/>
                <w:szCs w:val="20"/>
              </w:rPr>
              <w:t xml:space="preserve">имо от количества ценных бумаг</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2"/>
            <w:tcBorders>
              <w:top w:val="single" w:color="000000" w:sz="4" w:space="0"/>
              <w:left w:val="single" w:color="000000" w:sz="4" w:space="0"/>
              <w:bottom w:val="single" w:color="000000" w:sz="4" w:space="0"/>
              <w:right w:val="single" w:color="000000" w:sz="4" w:space="0"/>
            </w:tcBorders>
            <w:tcW w:w="849" w:type="dxa"/>
            <w:vAlign w:val="top"/>
            <w:textDirection w:val="lrTb"/>
            <w:noWrap w:val="false"/>
          </w:tcPr>
          <w:p>
            <w:pPr>
              <w:pStyle w:val="1135"/>
              <w:jc w:val="center"/>
              <w:rPr>
                <w:rFonts w:eastAsia="Arial Unicode MS"/>
                <w:sz w:val="20"/>
                <w:szCs w:val="20"/>
              </w:rPr>
            </w:pPr>
            <w:r>
              <w:rPr>
                <w:sz w:val="20"/>
                <w:szCs w:val="20"/>
              </w:rPr>
              <w:t xml:space="preserve">14.2.4.</w:t>
            </w:r>
            <w:r>
              <w:rPr>
                <w:rFonts w:eastAsia="Arial Unicode MS"/>
                <w:sz w:val="20"/>
                <w:szCs w:val="20"/>
              </w:rPr>
            </w:r>
            <w:r>
              <w:rPr>
                <w:rFonts w:eastAsia="Arial Unicode MS"/>
                <w:sz w:val="20"/>
                <w:szCs w:val="20"/>
              </w:rPr>
            </w:r>
          </w:p>
        </w:tc>
        <w:tc>
          <w:tcPr>
            <w:tcBorders>
              <w:top w:val="single" w:color="000000" w:sz="4" w:space="0"/>
              <w:left w:val="single" w:color="000000" w:sz="4" w:space="0"/>
              <w:bottom w:val="single" w:color="000000" w:sz="4" w:space="0"/>
              <w:right w:val="single" w:color="000000" w:sz="4" w:space="0"/>
            </w:tcBorders>
            <w:tcW w:w="3970" w:type="dxa"/>
            <w:vAlign w:val="top"/>
            <w:textDirection w:val="lrTb"/>
            <w:noWrap w:val="false"/>
          </w:tcPr>
          <w:p>
            <w:pPr>
              <w:pStyle w:val="1135"/>
              <w:rPr>
                <w:sz w:val="20"/>
                <w:szCs w:val="20"/>
              </w:rPr>
            </w:pPr>
            <w:r>
              <w:rPr>
                <w:bCs/>
                <w:sz w:val="20"/>
                <w:szCs w:val="20"/>
              </w:rPr>
              <w:t xml:space="preserve">Депозитарный учет прав на инвестиционные паи паевых инвестиционных фондов выпущенных вне территории Российской Федерации</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836" w:type="dxa"/>
            <w:vAlign w:val="top"/>
            <w:textDirection w:val="lrTb"/>
            <w:noWrap w:val="false"/>
          </w:tcPr>
          <w:p>
            <w:pPr>
              <w:pStyle w:val="1135"/>
              <w:jc w:val="center"/>
              <w:rPr>
                <w:sz w:val="20"/>
                <w:szCs w:val="20"/>
              </w:rPr>
            </w:pPr>
            <w:r>
              <w:rPr>
                <w:sz w:val="20"/>
                <w:szCs w:val="20"/>
              </w:rPr>
              <w:t xml:space="preserve">500 руб. в месяц</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1135"/>
              <w:rPr>
                <w:sz w:val="20"/>
                <w:szCs w:val="20"/>
              </w:rPr>
            </w:pPr>
            <w:r>
              <w:rPr>
                <w:sz w:val="20"/>
                <w:szCs w:val="20"/>
              </w:rPr>
              <w:t xml:space="preserve">В месяц за инвестиционные паи каждого инвестиционного фонда (вне </w:t>
            </w:r>
            <w:r>
              <w:rPr>
                <w:sz w:val="20"/>
                <w:szCs w:val="20"/>
              </w:rPr>
              <w:t xml:space="preserve">зависимости от количества паев)</w:t>
            </w:r>
            <w:r>
              <w:rPr>
                <w:sz w:val="20"/>
                <w:szCs w:val="20"/>
              </w:rPr>
              <w:t xml:space="preserve">.</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2"/>
            <w:tcBorders>
              <w:top w:val="single" w:color="000000" w:sz="4" w:space="0"/>
              <w:left w:val="single" w:color="000000" w:sz="4" w:space="0"/>
              <w:bottom w:val="single" w:color="000000" w:sz="4" w:space="0"/>
              <w:right w:val="single" w:color="000000" w:sz="4" w:space="0"/>
            </w:tcBorders>
            <w:tcW w:w="849" w:type="dxa"/>
            <w:vAlign w:val="top"/>
            <w:textDirection w:val="lrTb"/>
            <w:noWrap w:val="false"/>
          </w:tcPr>
          <w:p>
            <w:pPr>
              <w:pStyle w:val="1135"/>
              <w:jc w:val="center"/>
              <w:rPr>
                <w:sz w:val="20"/>
                <w:szCs w:val="20"/>
              </w:rPr>
            </w:pPr>
            <w:r>
              <w:rPr>
                <w:sz w:val="20"/>
                <w:szCs w:val="20"/>
              </w:rPr>
              <w:t xml:space="preserve">14.2.5.</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70" w:type="dxa"/>
            <w:vAlign w:val="top"/>
            <w:textDirection w:val="lrTb"/>
            <w:noWrap w:val="false"/>
          </w:tcPr>
          <w:p>
            <w:pPr>
              <w:pStyle w:val="1135"/>
              <w:rPr>
                <w:sz w:val="20"/>
                <w:szCs w:val="20"/>
              </w:rPr>
            </w:pPr>
            <w:r>
              <w:rPr>
                <w:bCs/>
                <w:sz w:val="20"/>
                <w:szCs w:val="20"/>
              </w:rPr>
              <w:t xml:space="preserve">Депозитарный учет прав на инвестиционные паи паевых инвестиционных фондов выпущенных на территории Российской Федерации</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836" w:type="dxa"/>
            <w:vAlign w:val="top"/>
            <w:textDirection w:val="lrTb"/>
            <w:noWrap w:val="false"/>
          </w:tcPr>
          <w:p>
            <w:pPr>
              <w:pStyle w:val="1135"/>
              <w:jc w:val="center"/>
              <w:rPr>
                <w:sz w:val="20"/>
                <w:szCs w:val="20"/>
              </w:rPr>
            </w:pPr>
            <w:r>
              <w:rPr>
                <w:sz w:val="20"/>
                <w:szCs w:val="20"/>
              </w:rPr>
              <w:t xml:space="preserve">300 руб. в месяц</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1135"/>
              <w:rPr>
                <w:sz w:val="20"/>
                <w:szCs w:val="20"/>
              </w:rPr>
            </w:pPr>
            <w:r>
              <w:rPr>
                <w:sz w:val="20"/>
                <w:szCs w:val="20"/>
              </w:rPr>
              <w:t xml:space="preserve">В месяц за инвестиционные паи  каждого инвестиционного фонда (вне зависимости </w:t>
            </w:r>
            <w:r>
              <w:rPr>
                <w:sz w:val="20"/>
                <w:szCs w:val="20"/>
              </w:rPr>
              <w:br w:type="textWrapping" w:clear="all"/>
            </w:r>
            <w:r>
              <w:rPr>
                <w:sz w:val="20"/>
                <w:szCs w:val="20"/>
              </w:rPr>
              <w:t xml:space="preserve">от количества паев)</w:t>
            </w:r>
            <w:r>
              <w:rPr>
                <w:sz w:val="20"/>
                <w:szCs w:val="20"/>
              </w:rPr>
              <w:t xml:space="preserve">».</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2"/>
            <w:tcBorders>
              <w:top w:val="single" w:color="000000" w:sz="4" w:space="0"/>
              <w:left w:val="single" w:color="000000" w:sz="4" w:space="0"/>
              <w:bottom w:val="single" w:color="000000" w:sz="4" w:space="0"/>
              <w:right w:val="single" w:color="000000" w:sz="4" w:space="0"/>
            </w:tcBorders>
            <w:tcW w:w="849" w:type="dxa"/>
            <w:vAlign w:val="top"/>
            <w:textDirection w:val="lrTb"/>
            <w:noWrap w:val="false"/>
          </w:tcPr>
          <w:p>
            <w:pPr>
              <w:pStyle w:val="1135"/>
              <w:jc w:val="center"/>
              <w:rPr>
                <w:rFonts w:eastAsia="Arial Unicode MS"/>
                <w:sz w:val="20"/>
                <w:szCs w:val="20"/>
              </w:rPr>
            </w:pPr>
            <w:r>
              <w:rPr>
                <w:sz w:val="20"/>
                <w:szCs w:val="20"/>
              </w:rPr>
              <w:t xml:space="preserve">14.2.</w:t>
            </w:r>
            <w:r>
              <w:rPr>
                <w:sz w:val="20"/>
                <w:szCs w:val="20"/>
              </w:rPr>
              <w:t xml:space="preserve">6</w:t>
            </w:r>
            <w:r>
              <w:rPr>
                <w:sz w:val="20"/>
                <w:szCs w:val="20"/>
              </w:rPr>
              <w:t xml:space="preserve">.</w:t>
            </w:r>
            <w:r>
              <w:rPr>
                <w:rFonts w:eastAsia="Arial Unicode MS"/>
                <w:sz w:val="20"/>
                <w:szCs w:val="20"/>
              </w:rPr>
            </w:r>
            <w:r>
              <w:rPr>
                <w:rFonts w:eastAsia="Arial Unicode MS"/>
                <w:sz w:val="20"/>
                <w:szCs w:val="20"/>
              </w:rPr>
            </w:r>
          </w:p>
        </w:tc>
        <w:tc>
          <w:tcPr>
            <w:tcBorders>
              <w:top w:val="single" w:color="000000" w:sz="4" w:space="0"/>
              <w:left w:val="single" w:color="000000" w:sz="4" w:space="0"/>
              <w:bottom w:val="single" w:color="000000" w:sz="4" w:space="0"/>
              <w:right w:val="single" w:color="000000" w:sz="4" w:space="0"/>
            </w:tcBorders>
            <w:tcW w:w="3970" w:type="dxa"/>
            <w:vAlign w:val="top"/>
            <w:textDirection w:val="lrTb"/>
            <w:noWrap w:val="false"/>
          </w:tcPr>
          <w:p>
            <w:pPr>
              <w:pStyle w:val="1135"/>
              <w:rPr>
                <w:sz w:val="20"/>
                <w:szCs w:val="20"/>
              </w:rPr>
            </w:pPr>
            <w:r>
              <w:rPr>
                <w:sz w:val="20"/>
                <w:szCs w:val="20"/>
              </w:rPr>
              <w:t xml:space="preserve">Хранение и учет ценных бумаг, являющихся обеспечением по кредитам, выданным АО «Россельхозбанк»</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836" w:type="dxa"/>
            <w:vAlign w:val="top"/>
            <w:textDirection w:val="lrTb"/>
            <w:noWrap w:val="false"/>
          </w:tcPr>
          <w:p>
            <w:pPr>
              <w:pStyle w:val="1135"/>
              <w:jc w:val="center"/>
              <w:rPr>
                <w:sz w:val="20"/>
                <w:szCs w:val="20"/>
              </w:rPr>
            </w:pPr>
            <w:r>
              <w:rPr>
                <w:sz w:val="20"/>
                <w:szCs w:val="20"/>
              </w:rPr>
              <w:t xml:space="preserve">0,035%, годовых минимум 100 руб. в месяц</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1135"/>
              <w:rPr>
                <w:sz w:val="20"/>
                <w:szCs w:val="20"/>
              </w:rPr>
            </w:pPr>
            <w:r>
              <w:rPr>
                <w:sz w:val="20"/>
                <w:szCs w:val="20"/>
              </w:rPr>
              <w:t xml:space="preserve">Рассчитывается ежеквартально от ежедневного остатка по рыночной стоимости по акциям и производным инструментам и по номинальной стоимости по облигациям и акциям, не имеющим рыночной стоимости.</w:t>
            </w:r>
            <w:r>
              <w:rPr>
                <w:sz w:val="20"/>
                <w:szCs w:val="20"/>
              </w:rPr>
            </w:r>
            <w:r>
              <w:rPr>
                <w:sz w:val="20"/>
                <w:szCs w:val="20"/>
              </w:rPr>
            </w:r>
          </w:p>
        </w:tc>
      </w:tr>
      <w:tr>
        <w:tblPrEx/>
        <w:trPr>
          <w:trHeight w:val="127"/>
        </w:trPr>
        <w:tc>
          <w:tcPr>
            <w:gridSpan w:val="2"/>
            <w:tcW w:w="849" w:type="dxa"/>
            <w:vAlign w:val="top"/>
            <w:vMerge w:val="restart"/>
            <w:textDirection w:val="lrTb"/>
            <w:noWrap w:val="false"/>
          </w:tcPr>
          <w:p>
            <w:pPr>
              <w:rPr>
                <w:color w:val="000000" w:themeColor="text1"/>
                <w:sz w:val="20"/>
                <w:szCs w:val="20"/>
              </w:rPr>
            </w:pPr>
            <w:r>
              <w:rPr>
                <w:color w:val="000000" w:themeColor="text1"/>
                <w:sz w:val="20"/>
                <w:szCs w:val="20"/>
              </w:rPr>
              <w:t xml:space="preserve">14.2.7.</w:t>
            </w:r>
            <w:r>
              <w:rPr>
                <w:color w:val="000000" w:themeColor="text1"/>
                <w:sz w:val="20"/>
                <w:szCs w:val="20"/>
              </w:rPr>
            </w:r>
            <w:r>
              <w:rPr>
                <w:color w:val="000000" w:themeColor="text1"/>
                <w:sz w:val="20"/>
                <w:szCs w:val="20"/>
              </w:rPr>
            </w:r>
          </w:p>
        </w:tc>
        <w:tc>
          <w:tcPr>
            <w:gridSpan w:val="4"/>
            <w:tcBorders>
              <w:right w:val="single" w:color="000000" w:sz="4" w:space="0"/>
            </w:tcBorders>
            <w:tcW w:w="9499" w:type="dxa"/>
            <w:vAlign w:val="top"/>
            <w:vMerge w:val="restart"/>
            <w:textDirection w:val="lrTb"/>
            <w:noWrap w:val="false"/>
          </w:tcPr>
          <w:p>
            <w:pPr>
              <w:rPr>
                <w:color w:val="000000" w:themeColor="text1"/>
              </w:rPr>
            </w:pPr>
            <w:r>
              <w:rPr>
                <w:bCs/>
                <w:color w:val="000000" w:themeColor="text1"/>
                <w:sz w:val="20"/>
                <w:szCs w:val="20"/>
              </w:rPr>
              <w:t xml:space="preserve">Хранение и учет на счете ДЕПО ценных бумаг Депонентов</w:t>
            </w:r>
            <w:r>
              <w:rPr>
                <w:rStyle w:val="1180"/>
                <w:color w:val="000000" w:themeColor="text1"/>
                <w:sz w:val="20"/>
                <w:szCs w:val="20"/>
              </w:rPr>
              <w:footnoteReference w:id="6"/>
            </w:r>
            <w:r>
              <w:rPr>
                <w:bCs/>
                <w:color w:val="000000" w:themeColor="text1"/>
                <w:sz w:val="20"/>
                <w:szCs w:val="20"/>
              </w:rPr>
              <w:t xml:space="preserve">, </w:t>
            </w:r>
            <w:r>
              <w:rPr>
                <w:bCs/>
                <w:iCs/>
                <w:color w:val="000000" w:themeColor="text1"/>
                <w:sz w:val="20"/>
                <w:szCs w:val="20"/>
              </w:rPr>
              <w:t xml:space="preserve">принятых </w:t>
            </w:r>
            <w:r>
              <w:rPr>
                <w:bCs/>
                <w:iCs/>
                <w:color w:val="000000" w:themeColor="text1"/>
                <w:sz w:val="20"/>
                <w:szCs w:val="20"/>
              </w:rPr>
              <w:t xml:space="preserve">АО «Россельхозбанк» на брокерское </w:t>
            </w:r>
            <w:r>
              <w:rPr>
                <w:bCs/>
                <w:iCs/>
                <w:color w:val="000000" w:themeColor="text1"/>
                <w:sz w:val="20"/>
                <w:szCs w:val="20"/>
              </w:rPr>
              <w:t xml:space="preserve">    </w:t>
            </w:r>
            <w:r>
              <w:rPr>
                <w:color w:val="000000" w:themeColor="text1"/>
              </w:rPr>
            </w:r>
            <w:r>
              <w:rPr>
                <w:color w:val="000000" w:themeColor="text1"/>
              </w:rPr>
            </w:r>
          </w:p>
          <w:p>
            <w:pPr>
              <w:pStyle w:val="1135"/>
              <w:jc w:val="left"/>
              <w:spacing w:before="40" w:after="40"/>
              <w:rPr>
                <w:bCs/>
                <w:color w:val="000000" w:themeColor="text1"/>
                <w:sz w:val="20"/>
                <w:szCs w:val="20"/>
              </w:rPr>
            </w:pPr>
            <w:r>
              <w:rPr>
                <w:bCs/>
                <w:iCs/>
                <w:color w:val="000000" w:themeColor="text1"/>
                <w:sz w:val="20"/>
                <w:szCs w:val="20"/>
              </w:rPr>
              <w:t xml:space="preserve"> </w:t>
            </w:r>
            <w:r>
              <w:rPr>
                <w:bCs/>
                <w:iCs/>
                <w:color w:val="000000" w:themeColor="text1"/>
                <w:sz w:val="20"/>
                <w:szCs w:val="20"/>
              </w:rPr>
              <w:t xml:space="preserve">обслуживание</w:t>
            </w:r>
            <w:r>
              <w:rPr>
                <w:bCs/>
                <w:color w:val="000000" w:themeColor="text1"/>
                <w:sz w:val="20"/>
                <w:szCs w:val="20"/>
              </w:rPr>
            </w:r>
            <w:r>
              <w:rPr>
                <w:bCs/>
                <w:color w:val="000000" w:themeColor="text1"/>
                <w:sz w:val="20"/>
                <w:szCs w:val="20"/>
              </w:rPr>
            </w:r>
          </w:p>
        </w:tc>
      </w:tr>
      <w:tr>
        <w:tblPrEx/>
        <w:trPr>
          <w:trHeight w:val="127"/>
        </w:trPr>
        <w:tc>
          <w:tcPr>
            <w:gridSpan w:val="2"/>
            <w:tcW w:w="849" w:type="dxa"/>
            <w:vAlign w:val="top"/>
            <w:vMerge w:val="continue"/>
            <w:textDirection w:val="lrTb"/>
            <w:noWrap w:val="false"/>
          </w:tcPr>
          <w:p>
            <w:r/>
            <w:r/>
          </w:p>
        </w:tc>
        <w:tc>
          <w:tcPr>
            <w:tcBorders>
              <w:right w:val="single" w:color="000000" w:sz="4" w:space="0"/>
            </w:tcBorders>
            <w:tcW w:w="3970" w:type="dxa"/>
            <w:vAlign w:val="top"/>
            <w:vMerge w:val="restart"/>
            <w:textDirection w:val="lrTb"/>
            <w:noWrap w:val="false"/>
          </w:tcPr>
          <w:p>
            <w:pPr>
              <w:pStyle w:val="1135"/>
              <w:jc w:val="left"/>
              <w:spacing w:before="40" w:after="40"/>
              <w:rPr>
                <w:bCs/>
                <w:color w:val="000000" w:themeColor="text1"/>
                <w:sz w:val="20"/>
                <w:szCs w:val="20"/>
              </w:rPr>
            </w:pPr>
            <w:r>
              <w:rPr>
                <w:bCs/>
                <w:color w:val="000000" w:themeColor="text1"/>
                <w:sz w:val="20"/>
                <w:szCs w:val="20"/>
              </w:rPr>
            </w:r>
            <w:r>
              <w:rPr>
                <w:bCs/>
                <w:color w:val="000000" w:themeColor="text1"/>
                <w:sz w:val="20"/>
                <w:szCs w:val="20"/>
              </w:rPr>
            </w:r>
            <w:r>
              <w:rPr>
                <w:bCs/>
                <w:color w:val="000000" w:themeColor="text1"/>
                <w:sz w:val="20"/>
                <w:szCs w:val="20"/>
              </w:rPr>
            </w:r>
          </w:p>
        </w:tc>
        <w:tc>
          <w:tcPr>
            <w:tcBorders>
              <w:left w:val="single" w:color="000000" w:sz="4" w:space="0"/>
              <w:right w:val="single" w:color="000000" w:sz="4" w:space="0"/>
            </w:tcBorders>
            <w:tcW w:w="1419" w:type="dxa"/>
            <w:vAlign w:val="top"/>
            <w:vMerge w:val="restart"/>
            <w:textDirection w:val="lrTb"/>
            <w:noWrap w:val="false"/>
          </w:tcPr>
          <w:p>
            <w:pPr>
              <w:pStyle w:val="1135"/>
              <w:ind w:left="-72" w:right="-101"/>
              <w:jc w:val="center"/>
              <w:spacing w:before="40" w:after="40"/>
              <w:rPr>
                <w:bCs/>
                <w:color w:val="ff0000" w:themeColor="text1"/>
                <w:sz w:val="20"/>
                <w:szCs w:val="20"/>
              </w:rPr>
            </w:pPr>
            <w:r>
              <w:rPr>
                <w:color w:val="000000" w:themeColor="text1"/>
                <w:sz w:val="20"/>
                <w:szCs w:val="20"/>
              </w:rPr>
              <w:t xml:space="preserve">Средневзвешенная стоимость</w:t>
            </w:r>
            <w:r>
              <w:rPr>
                <w:rStyle w:val="1180"/>
                <w:color w:val="000000" w:themeColor="text1"/>
                <w:sz w:val="20"/>
                <w:szCs w:val="20"/>
              </w:rPr>
              <w:footnoteReference w:id="7"/>
            </w:r>
            <w:r>
              <w:rPr>
                <w:color w:val="000000" w:themeColor="text1"/>
                <w:sz w:val="20"/>
                <w:szCs w:val="20"/>
              </w:rPr>
              <w:t xml:space="preserve"> ценных бумаг (млрд. руб.)</w:t>
            </w:r>
            <w:r>
              <w:rPr>
                <w:bCs/>
                <w:color w:val="ff0000" w:themeColor="text1"/>
                <w:sz w:val="20"/>
                <w:szCs w:val="20"/>
              </w:rPr>
            </w:r>
            <w:r>
              <w:rPr>
                <w:bCs/>
                <w:color w:val="ff0000" w:themeColor="text1"/>
                <w:sz w:val="20"/>
                <w:szCs w:val="20"/>
              </w:rPr>
            </w:r>
          </w:p>
        </w:tc>
        <w:tc>
          <w:tcPr>
            <w:tcBorders>
              <w:left w:val="single" w:color="000000" w:sz="4" w:space="0"/>
              <w:right w:val="single" w:color="000000" w:sz="4" w:space="0"/>
            </w:tcBorders>
            <w:tcW w:w="1417" w:type="dxa"/>
            <w:vAlign w:val="center"/>
            <w:vMerge w:val="restart"/>
            <w:textDirection w:val="lrTb"/>
            <w:noWrap w:val="false"/>
          </w:tcPr>
          <w:p>
            <w:pPr>
              <w:pStyle w:val="1135"/>
              <w:ind w:left="-72" w:right="-101"/>
              <w:jc w:val="center"/>
              <w:spacing w:before="40" w:after="40"/>
              <w:rPr>
                <w:bCs/>
                <w:color w:val="ff0000" w:themeColor="text1"/>
                <w:sz w:val="20"/>
                <w:szCs w:val="20"/>
              </w:rPr>
            </w:pPr>
            <w:r>
              <w:rPr>
                <w:bCs/>
                <w:color w:val="000000" w:themeColor="text1"/>
                <w:sz w:val="20"/>
                <w:szCs w:val="20"/>
              </w:rPr>
              <w:t xml:space="preserve">%</w:t>
            </w:r>
            <w:r>
              <w:rPr>
                <w:bCs/>
                <w:color w:val="ff0000" w:themeColor="text1"/>
                <w:sz w:val="20"/>
                <w:szCs w:val="20"/>
              </w:rPr>
            </w:r>
            <w:r>
              <w:rPr>
                <w:bCs/>
                <w:color w:val="ff0000" w:themeColor="text1"/>
                <w:sz w:val="20"/>
                <w:szCs w:val="20"/>
              </w:rPr>
            </w:r>
          </w:p>
          <w:p>
            <w:pPr>
              <w:pStyle w:val="1135"/>
              <w:ind w:left="-72" w:right="-101"/>
              <w:jc w:val="center"/>
              <w:spacing w:before="40" w:after="40"/>
              <w:rPr>
                <w:bCs/>
                <w:color w:val="ff0000" w:themeColor="text1"/>
                <w:sz w:val="20"/>
                <w:szCs w:val="20"/>
              </w:rPr>
            </w:pPr>
            <w:r>
              <w:rPr>
                <w:color w:val="000000" w:themeColor="text1"/>
                <w:sz w:val="20"/>
                <w:szCs w:val="20"/>
              </w:rPr>
              <w:t xml:space="preserve">годовых</w:t>
            </w:r>
            <w:r>
              <w:rPr>
                <w:bCs/>
                <w:color w:val="ff0000" w:themeColor="text1"/>
                <w:sz w:val="20"/>
                <w:szCs w:val="20"/>
              </w:rPr>
            </w:r>
            <w:r>
              <w:rPr>
                <w:bCs/>
                <w:color w:val="ff0000" w:themeColor="text1"/>
                <w:sz w:val="20"/>
                <w:szCs w:val="20"/>
              </w:rPr>
            </w:r>
          </w:p>
        </w:tc>
        <w:tc>
          <w:tcPr>
            <w:tcBorders>
              <w:left w:val="single" w:color="000000" w:sz="4" w:space="0"/>
            </w:tcBorders>
            <w:tcW w:w="2693" w:type="dxa"/>
            <w:vAlign w:val="top"/>
            <w:vMerge w:val="restart"/>
            <w:textDirection w:val="lrTb"/>
            <w:noWrap w:val="false"/>
          </w:tcPr>
          <w:p>
            <w:pPr>
              <w:pStyle w:val="1135"/>
              <w:jc w:val="both"/>
              <w:spacing w:before="40" w:after="40"/>
              <w:rPr>
                <w:bCs/>
                <w:color w:val="000000" w:themeColor="text1"/>
                <w:sz w:val="20"/>
                <w:szCs w:val="20"/>
              </w:rPr>
            </w:pPr>
            <w:r>
              <w:rPr>
                <w:bCs/>
                <w:color w:val="000000" w:themeColor="text1"/>
                <w:sz w:val="20"/>
                <w:szCs w:val="20"/>
              </w:rPr>
            </w:r>
            <w:r>
              <w:rPr>
                <w:bCs/>
                <w:color w:val="000000" w:themeColor="text1"/>
                <w:sz w:val="20"/>
                <w:szCs w:val="20"/>
              </w:rPr>
            </w:r>
            <w:r>
              <w:rPr>
                <w:bCs/>
                <w:color w:val="000000" w:themeColor="text1"/>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28"/>
        </w:trPr>
        <w:tc>
          <w:tcPr>
            <w:gridSpan w:val="2"/>
            <w:tcW w:w="849" w:type="dxa"/>
            <w:vAlign w:val="top"/>
            <w:vMerge w:val="restart"/>
            <w:textDirection w:val="lrTb"/>
            <w:noWrap w:val="false"/>
          </w:tcPr>
          <w:p>
            <w:pPr>
              <w:pStyle w:val="1135"/>
              <w:jc w:val="center"/>
              <w:spacing w:before="40" w:after="40"/>
              <w:rPr>
                <w:rFonts w:eastAsia="Arial Unicode MS"/>
                <w:bCs/>
                <w:sz w:val="20"/>
                <w:szCs w:val="20"/>
              </w:rPr>
            </w:pPr>
            <w:r>
              <w:rPr>
                <w:bCs/>
                <w:sz w:val="20"/>
                <w:szCs w:val="20"/>
              </w:rPr>
              <w:t xml:space="preserve">14.2.7.1.</w:t>
            </w:r>
            <w:r>
              <w:rPr>
                <w:rFonts w:eastAsia="Arial Unicode MS"/>
                <w:bCs/>
                <w:sz w:val="20"/>
                <w:szCs w:val="20"/>
              </w:rPr>
            </w:r>
            <w:r>
              <w:rPr>
                <w:rFonts w:eastAsia="Arial Unicode MS"/>
                <w:bCs/>
                <w:sz w:val="20"/>
                <w:szCs w:val="20"/>
              </w:rPr>
            </w:r>
          </w:p>
        </w:tc>
        <w:tc>
          <w:tcPr>
            <w:tcW w:w="3970" w:type="dxa"/>
            <w:vAlign w:val="top"/>
            <w:vMerge w:val="restart"/>
            <w:textDirection w:val="lrTb"/>
            <w:noWrap w:val="false"/>
          </w:tcPr>
          <w:p>
            <w:pPr>
              <w:pStyle w:val="1135"/>
              <w:jc w:val="both"/>
              <w:spacing w:before="40" w:after="40"/>
              <w:rPr>
                <w:rFonts w:eastAsia="Arial Unicode MS"/>
                <w:bCs/>
                <w:sz w:val="20"/>
                <w:szCs w:val="20"/>
              </w:rPr>
            </w:pPr>
            <w:r>
              <w:rPr>
                <w:bCs/>
                <w:sz w:val="20"/>
                <w:szCs w:val="20"/>
              </w:rPr>
              <w:t xml:space="preserve">Депозитарный учет облигаций, выпущенных на территории Российской Федерации</w:t>
            </w:r>
            <w:r>
              <w:rPr>
                <w:rFonts w:eastAsia="Arial Unicode MS"/>
                <w:bCs/>
                <w:sz w:val="20"/>
                <w:szCs w:val="20"/>
              </w:rPr>
            </w:r>
            <w:r>
              <w:rPr>
                <w:rFonts w:eastAsia="Arial Unicode MS"/>
                <w:bCs/>
                <w:sz w:val="20"/>
                <w:szCs w:val="20"/>
              </w:rPr>
            </w:r>
          </w:p>
        </w:tc>
        <w:tc>
          <w:tcPr>
            <w:tcW w:w="1419" w:type="dxa"/>
            <w:vAlign w:val="top"/>
            <w:textDirection w:val="lrTb"/>
            <w:noWrap w:val="false"/>
          </w:tcPr>
          <w:p>
            <w:pPr>
              <w:pStyle w:val="1135"/>
              <w:ind w:left="-2" w:right="-18"/>
              <w:jc w:val="center"/>
              <w:spacing w:before="40" w:after="40"/>
              <w:tabs>
                <w:tab w:val="left" w:pos="4464" w:leader="none"/>
                <w:tab w:val="left" w:pos="5760" w:leader="none"/>
              </w:tabs>
              <w:rPr>
                <w:sz w:val="20"/>
                <w:szCs w:val="20"/>
              </w:rPr>
            </w:pPr>
            <w:r>
              <w:rPr>
                <w:sz w:val="20"/>
                <w:szCs w:val="20"/>
              </w:rPr>
              <w:t xml:space="preserve">до 1</w:t>
            </w:r>
            <w:r>
              <w:rPr>
                <w:sz w:val="20"/>
                <w:szCs w:val="20"/>
              </w:rPr>
            </w:r>
            <w:r>
              <w:rPr>
                <w:sz w:val="20"/>
                <w:szCs w:val="20"/>
              </w:rPr>
            </w:r>
          </w:p>
        </w:tc>
        <w:tc>
          <w:tcPr>
            <w:tcW w:w="1417" w:type="dxa"/>
            <w:vAlign w:val="top"/>
            <w:textDirection w:val="lrTb"/>
            <w:noWrap w:val="false"/>
          </w:tcPr>
          <w:p>
            <w:pPr>
              <w:pStyle w:val="1135"/>
              <w:ind w:left="-2" w:right="-18"/>
              <w:jc w:val="center"/>
              <w:spacing w:before="40" w:after="40"/>
              <w:tabs>
                <w:tab w:val="left" w:pos="4464" w:leader="none"/>
                <w:tab w:val="left" w:pos="5760" w:leader="none"/>
              </w:tabs>
              <w:rPr>
                <w:sz w:val="20"/>
                <w:szCs w:val="20"/>
              </w:rPr>
            </w:pPr>
            <w:r>
              <w:rPr>
                <w:sz w:val="20"/>
                <w:szCs w:val="20"/>
              </w:rPr>
              <w:t xml:space="preserve">0,026% </w:t>
            </w:r>
            <w:r>
              <w:rPr>
                <w:bCs/>
                <w:iCs/>
                <w:sz w:val="20"/>
                <w:szCs w:val="20"/>
              </w:rPr>
              <w:t xml:space="preserve">минимум </w:t>
            </w:r>
            <w:r>
              <w:rPr>
                <w:bCs/>
                <w:iCs/>
                <w:sz w:val="20"/>
                <w:szCs w:val="20"/>
                <w:lang w:val="en-US"/>
              </w:rPr>
              <w:t xml:space="preserve">3</w:t>
            </w:r>
            <w:r>
              <w:rPr>
                <w:bCs/>
                <w:iCs/>
                <w:sz w:val="20"/>
                <w:szCs w:val="20"/>
              </w:rPr>
              <w:t xml:space="preserve">0 руб. в месяц</w:t>
            </w:r>
            <w:r>
              <w:rPr>
                <w:sz w:val="20"/>
                <w:szCs w:val="20"/>
              </w:rPr>
            </w:r>
            <w:r>
              <w:rPr>
                <w:sz w:val="20"/>
                <w:szCs w:val="20"/>
              </w:rPr>
            </w:r>
          </w:p>
        </w:tc>
        <w:tc>
          <w:tcPr>
            <w:tcW w:w="2693" w:type="dxa"/>
            <w:vAlign w:val="center"/>
            <w:vMerge w:val="restart"/>
            <w:textDirection w:val="lrTb"/>
            <w:noWrap w:val="false"/>
          </w:tcPr>
          <w:p>
            <w:pPr>
              <w:pStyle w:val="1135"/>
              <w:ind w:right="-17"/>
              <w:spacing w:before="40" w:after="40"/>
              <w:tabs>
                <w:tab w:val="left" w:pos="4464" w:leader="none"/>
                <w:tab w:val="left" w:pos="5760" w:leader="none"/>
              </w:tabs>
              <w:rPr>
                <w:sz w:val="20"/>
                <w:szCs w:val="20"/>
              </w:rPr>
            </w:pPr>
            <w:r>
              <w:rPr>
                <w:sz w:val="20"/>
                <w:szCs w:val="20"/>
              </w:rPr>
              <w:t xml:space="preserve">Рассчитывается ежеквартально от ежемесячной средневзвешенной стоимости ценных бумаг на счете депо. </w:t>
            </w:r>
            <w:r>
              <w:rPr>
                <w:sz w:val="20"/>
                <w:szCs w:val="20"/>
              </w:rPr>
            </w:r>
            <w:r>
              <w:rPr>
                <w:sz w:val="20"/>
                <w:szCs w:val="20"/>
              </w:rPr>
            </w:r>
          </w:p>
          <w:p>
            <w:pPr>
              <w:pStyle w:val="1135"/>
              <w:ind w:right="-17"/>
              <w:spacing w:before="40" w:after="40"/>
              <w:tabs>
                <w:tab w:val="left" w:pos="4464" w:leader="none"/>
                <w:tab w:val="left" w:pos="5760" w:leader="none"/>
              </w:tabs>
              <w:rPr>
                <w:sz w:val="20"/>
                <w:szCs w:val="20"/>
              </w:rPr>
            </w:pPr>
            <w:r>
              <w:rPr>
                <w:sz w:val="20"/>
                <w:szCs w:val="20"/>
              </w:rPr>
            </w:r>
            <w:r>
              <w:rPr>
                <w:sz w:val="20"/>
                <w:szCs w:val="20"/>
              </w:rPr>
            </w:r>
            <w:r>
              <w:rPr>
                <w:sz w:val="20"/>
                <w:szCs w:val="20"/>
              </w:rPr>
            </w:r>
          </w:p>
          <w:p>
            <w:pPr>
              <w:pStyle w:val="1135"/>
              <w:ind w:right="-17"/>
              <w:spacing w:before="40" w:after="40"/>
              <w:tabs>
                <w:tab w:val="left" w:pos="4464" w:leader="none"/>
                <w:tab w:val="left" w:pos="5760" w:leader="none"/>
              </w:tabs>
              <w:rPr>
                <w:sz w:val="20"/>
                <w:szCs w:val="20"/>
              </w:rPr>
            </w:pPr>
            <w:r>
              <w:rPr>
                <w:sz w:val="20"/>
                <w:szCs w:val="20"/>
              </w:rPr>
              <w:t xml:space="preserve">Ставка ежемесячного вознаграждения определяется на каждый календарный месяц расчетного периода исходя из средневзвешенной стоимости остатка ценных бумаг в соответствии с Тарифом. </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gridSpan w:val="2"/>
            <w:tcW w:w="849" w:type="dxa"/>
            <w:vAlign w:val="top"/>
            <w:vMerge w:val="continue"/>
            <w:textDirection w:val="lrTb"/>
            <w:noWrap w:val="false"/>
          </w:tcPr>
          <w:p>
            <w:pPr>
              <w:pStyle w:val="1135"/>
              <w:jc w:val="center"/>
              <w:spacing w:before="40" w:after="40"/>
              <w:rPr>
                <w:bCs/>
                <w:sz w:val="20"/>
                <w:szCs w:val="20"/>
              </w:rPr>
            </w:pPr>
            <w:r>
              <w:rPr>
                <w:bCs/>
                <w:sz w:val="20"/>
                <w:szCs w:val="20"/>
              </w:rPr>
            </w:r>
            <w:r>
              <w:rPr>
                <w:bCs/>
                <w:sz w:val="20"/>
                <w:szCs w:val="20"/>
              </w:rPr>
            </w:r>
            <w:r>
              <w:rPr>
                <w:bCs/>
                <w:sz w:val="20"/>
                <w:szCs w:val="20"/>
              </w:rPr>
            </w:r>
          </w:p>
        </w:tc>
        <w:tc>
          <w:tcPr>
            <w:tcW w:w="3970" w:type="dxa"/>
            <w:vAlign w:val="top"/>
            <w:vMerge w:val="continue"/>
            <w:textDirection w:val="lrTb"/>
            <w:noWrap w:val="false"/>
          </w:tcPr>
          <w:p>
            <w:pPr>
              <w:pStyle w:val="1135"/>
              <w:spacing w:before="40" w:after="40"/>
              <w:rPr>
                <w:bCs/>
                <w:sz w:val="20"/>
                <w:szCs w:val="20"/>
              </w:rPr>
            </w:pPr>
            <w:r>
              <w:rPr>
                <w:bCs/>
                <w:sz w:val="20"/>
                <w:szCs w:val="20"/>
              </w:rPr>
            </w:r>
            <w:r>
              <w:rPr>
                <w:bCs/>
                <w:sz w:val="20"/>
                <w:szCs w:val="20"/>
              </w:rPr>
            </w:r>
            <w:r>
              <w:rPr>
                <w:bCs/>
                <w:sz w:val="20"/>
                <w:szCs w:val="20"/>
              </w:rPr>
            </w:r>
          </w:p>
        </w:tc>
        <w:tc>
          <w:tcPr>
            <w:tcW w:w="1419" w:type="dxa"/>
            <w:vAlign w:val="top"/>
            <w:textDirection w:val="lrTb"/>
            <w:noWrap w:val="false"/>
          </w:tcPr>
          <w:p>
            <w:pPr>
              <w:pStyle w:val="1135"/>
              <w:ind w:left="-2" w:right="-18"/>
              <w:jc w:val="center"/>
              <w:spacing w:before="40" w:after="40"/>
              <w:tabs>
                <w:tab w:val="left" w:pos="4464" w:leader="none"/>
                <w:tab w:val="left" w:pos="5760" w:leader="none"/>
              </w:tabs>
              <w:rPr>
                <w:sz w:val="20"/>
                <w:szCs w:val="20"/>
              </w:rPr>
            </w:pPr>
            <w:r>
              <w:rPr>
                <w:sz w:val="20"/>
                <w:szCs w:val="20"/>
              </w:rPr>
              <w:t xml:space="preserve">от 1 до 5</w:t>
            </w:r>
            <w:r>
              <w:rPr>
                <w:sz w:val="20"/>
                <w:szCs w:val="20"/>
              </w:rPr>
            </w:r>
            <w:r>
              <w:rPr>
                <w:sz w:val="20"/>
                <w:szCs w:val="20"/>
              </w:rPr>
            </w:r>
          </w:p>
        </w:tc>
        <w:tc>
          <w:tcPr>
            <w:tcW w:w="1417" w:type="dxa"/>
            <w:vAlign w:val="top"/>
            <w:textDirection w:val="lrTb"/>
            <w:noWrap w:val="false"/>
          </w:tcPr>
          <w:p>
            <w:pPr>
              <w:pStyle w:val="1135"/>
              <w:ind w:left="-2" w:right="-18"/>
              <w:jc w:val="center"/>
              <w:spacing w:before="40" w:after="40"/>
              <w:tabs>
                <w:tab w:val="left" w:pos="4464" w:leader="none"/>
                <w:tab w:val="left" w:pos="5760" w:leader="none"/>
              </w:tabs>
              <w:rPr>
                <w:sz w:val="20"/>
                <w:szCs w:val="20"/>
                <w:lang w:val="en-US"/>
              </w:rPr>
            </w:pPr>
            <w:r>
              <w:rPr>
                <w:sz w:val="20"/>
                <w:szCs w:val="20"/>
              </w:rPr>
              <w:t xml:space="preserve">0,024 %</w:t>
            </w:r>
            <w:r>
              <w:rPr>
                <w:sz w:val="20"/>
                <w:szCs w:val="20"/>
                <w:lang w:val="en-US"/>
              </w:rPr>
            </w:r>
            <w:r>
              <w:rPr>
                <w:sz w:val="20"/>
                <w:szCs w:val="20"/>
                <w:lang w:val="en-US"/>
              </w:rPr>
            </w:r>
          </w:p>
        </w:tc>
        <w:tc>
          <w:tcPr>
            <w:tcW w:w="2693" w:type="dxa"/>
            <w:vAlign w:val="top"/>
            <w:vMerge w:val="continue"/>
            <w:textDirection w:val="lrTb"/>
            <w:noWrap w:val="false"/>
          </w:tcPr>
          <w:p>
            <w:pPr>
              <w:pStyle w:val="1135"/>
              <w:ind w:left="-2" w:right="-18"/>
              <w:spacing w:before="40" w:after="40"/>
              <w:tabs>
                <w:tab w:val="left" w:pos="4464" w:leader="none"/>
                <w:tab w:val="left" w:pos="5760"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gridSpan w:val="2"/>
            <w:tcW w:w="849" w:type="dxa"/>
            <w:vAlign w:val="top"/>
            <w:vMerge w:val="continue"/>
            <w:textDirection w:val="lrTb"/>
            <w:noWrap w:val="false"/>
          </w:tcPr>
          <w:p>
            <w:pPr>
              <w:pStyle w:val="1135"/>
              <w:jc w:val="center"/>
              <w:spacing w:before="40" w:after="40"/>
              <w:rPr>
                <w:bCs/>
                <w:sz w:val="20"/>
                <w:szCs w:val="20"/>
              </w:rPr>
            </w:pPr>
            <w:r>
              <w:rPr>
                <w:bCs/>
                <w:sz w:val="20"/>
                <w:szCs w:val="20"/>
              </w:rPr>
            </w:r>
            <w:r>
              <w:rPr>
                <w:bCs/>
                <w:sz w:val="20"/>
                <w:szCs w:val="20"/>
              </w:rPr>
            </w:r>
            <w:r>
              <w:rPr>
                <w:bCs/>
                <w:sz w:val="20"/>
                <w:szCs w:val="20"/>
              </w:rPr>
            </w:r>
          </w:p>
        </w:tc>
        <w:tc>
          <w:tcPr>
            <w:tcW w:w="3970" w:type="dxa"/>
            <w:vAlign w:val="top"/>
            <w:vMerge w:val="continue"/>
            <w:textDirection w:val="lrTb"/>
            <w:noWrap w:val="false"/>
          </w:tcPr>
          <w:p>
            <w:pPr>
              <w:pStyle w:val="1135"/>
              <w:spacing w:before="40" w:after="40"/>
              <w:rPr>
                <w:bCs/>
                <w:sz w:val="20"/>
                <w:szCs w:val="20"/>
              </w:rPr>
            </w:pPr>
            <w:r>
              <w:rPr>
                <w:bCs/>
                <w:sz w:val="20"/>
                <w:szCs w:val="20"/>
              </w:rPr>
            </w:r>
            <w:r>
              <w:rPr>
                <w:bCs/>
                <w:sz w:val="20"/>
                <w:szCs w:val="20"/>
              </w:rPr>
            </w:r>
            <w:r>
              <w:rPr>
                <w:bCs/>
                <w:sz w:val="20"/>
                <w:szCs w:val="20"/>
              </w:rPr>
            </w:r>
          </w:p>
        </w:tc>
        <w:tc>
          <w:tcPr>
            <w:tcW w:w="1419" w:type="dxa"/>
            <w:vAlign w:val="top"/>
            <w:textDirection w:val="lrTb"/>
            <w:noWrap w:val="false"/>
          </w:tcPr>
          <w:p>
            <w:pPr>
              <w:pStyle w:val="1135"/>
              <w:ind w:left="-2" w:right="-18"/>
              <w:jc w:val="center"/>
              <w:spacing w:before="40" w:after="40"/>
              <w:tabs>
                <w:tab w:val="left" w:pos="4464" w:leader="none"/>
                <w:tab w:val="left" w:pos="5760" w:leader="none"/>
              </w:tabs>
              <w:rPr>
                <w:sz w:val="20"/>
                <w:szCs w:val="20"/>
              </w:rPr>
            </w:pPr>
            <w:r>
              <w:rPr>
                <w:sz w:val="20"/>
                <w:szCs w:val="20"/>
              </w:rPr>
              <w:t xml:space="preserve">от 5 до 10</w:t>
            </w:r>
            <w:r>
              <w:rPr>
                <w:sz w:val="20"/>
                <w:szCs w:val="20"/>
              </w:rPr>
            </w:r>
            <w:r>
              <w:rPr>
                <w:sz w:val="20"/>
                <w:szCs w:val="20"/>
              </w:rPr>
            </w:r>
          </w:p>
        </w:tc>
        <w:tc>
          <w:tcPr>
            <w:tcW w:w="1417" w:type="dxa"/>
            <w:vAlign w:val="top"/>
            <w:textDirection w:val="lrTb"/>
            <w:noWrap w:val="false"/>
          </w:tcPr>
          <w:p>
            <w:pPr>
              <w:pStyle w:val="1135"/>
              <w:ind w:left="-2" w:right="-18"/>
              <w:jc w:val="center"/>
              <w:spacing w:before="40" w:after="40"/>
              <w:tabs>
                <w:tab w:val="left" w:pos="4464" w:leader="none"/>
                <w:tab w:val="left" w:pos="5760" w:leader="none"/>
              </w:tabs>
              <w:rPr>
                <w:sz w:val="20"/>
                <w:szCs w:val="20"/>
                <w:lang w:val="en-US"/>
              </w:rPr>
            </w:pPr>
            <w:r>
              <w:rPr>
                <w:sz w:val="20"/>
                <w:szCs w:val="20"/>
              </w:rPr>
              <w:t xml:space="preserve">0,0197%</w:t>
            </w:r>
            <w:r>
              <w:rPr>
                <w:sz w:val="20"/>
                <w:szCs w:val="20"/>
                <w:lang w:val="en-US"/>
              </w:rPr>
            </w:r>
            <w:r>
              <w:rPr>
                <w:sz w:val="20"/>
                <w:szCs w:val="20"/>
                <w:lang w:val="en-US"/>
              </w:rPr>
            </w:r>
          </w:p>
        </w:tc>
        <w:tc>
          <w:tcPr>
            <w:tcW w:w="2693" w:type="dxa"/>
            <w:vAlign w:val="top"/>
            <w:vMerge w:val="continue"/>
            <w:textDirection w:val="lrTb"/>
            <w:noWrap w:val="false"/>
          </w:tcPr>
          <w:p>
            <w:pPr>
              <w:pStyle w:val="1135"/>
              <w:ind w:left="-2" w:right="-18"/>
              <w:spacing w:before="40" w:after="40"/>
              <w:tabs>
                <w:tab w:val="left" w:pos="4464" w:leader="none"/>
                <w:tab w:val="left" w:pos="5760"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gridSpan w:val="2"/>
            <w:tcW w:w="849" w:type="dxa"/>
            <w:vAlign w:val="top"/>
            <w:vMerge w:val="continue"/>
            <w:textDirection w:val="lrTb"/>
            <w:noWrap w:val="false"/>
          </w:tcPr>
          <w:p>
            <w:pPr>
              <w:pStyle w:val="1135"/>
              <w:jc w:val="center"/>
              <w:spacing w:before="40" w:after="40"/>
              <w:rPr>
                <w:bCs/>
                <w:sz w:val="20"/>
                <w:szCs w:val="20"/>
              </w:rPr>
            </w:pPr>
            <w:r>
              <w:rPr>
                <w:bCs/>
                <w:sz w:val="20"/>
                <w:szCs w:val="20"/>
              </w:rPr>
            </w:r>
            <w:r>
              <w:rPr>
                <w:bCs/>
                <w:sz w:val="20"/>
                <w:szCs w:val="20"/>
              </w:rPr>
            </w:r>
            <w:r>
              <w:rPr>
                <w:bCs/>
                <w:sz w:val="20"/>
                <w:szCs w:val="20"/>
              </w:rPr>
            </w:r>
          </w:p>
        </w:tc>
        <w:tc>
          <w:tcPr>
            <w:tcW w:w="3970" w:type="dxa"/>
            <w:vAlign w:val="top"/>
            <w:vMerge w:val="continue"/>
            <w:textDirection w:val="lrTb"/>
            <w:noWrap w:val="false"/>
          </w:tcPr>
          <w:p>
            <w:pPr>
              <w:pStyle w:val="1135"/>
              <w:spacing w:before="40" w:after="40"/>
              <w:rPr>
                <w:bCs/>
                <w:sz w:val="20"/>
                <w:szCs w:val="20"/>
              </w:rPr>
            </w:pPr>
            <w:r>
              <w:rPr>
                <w:bCs/>
                <w:sz w:val="20"/>
                <w:szCs w:val="20"/>
              </w:rPr>
            </w:r>
            <w:r>
              <w:rPr>
                <w:bCs/>
                <w:sz w:val="20"/>
                <w:szCs w:val="20"/>
              </w:rPr>
            </w:r>
            <w:r>
              <w:rPr>
                <w:bCs/>
                <w:sz w:val="20"/>
                <w:szCs w:val="20"/>
              </w:rPr>
            </w:r>
          </w:p>
        </w:tc>
        <w:tc>
          <w:tcPr>
            <w:tcW w:w="1419" w:type="dxa"/>
            <w:vAlign w:val="top"/>
            <w:textDirection w:val="lrTb"/>
            <w:noWrap w:val="false"/>
          </w:tcPr>
          <w:p>
            <w:pPr>
              <w:pStyle w:val="1135"/>
              <w:ind w:left="-2" w:right="-18"/>
              <w:jc w:val="center"/>
              <w:spacing w:before="40" w:after="40"/>
              <w:tabs>
                <w:tab w:val="left" w:pos="4464" w:leader="none"/>
                <w:tab w:val="left" w:pos="5760" w:leader="none"/>
              </w:tabs>
              <w:rPr>
                <w:sz w:val="20"/>
                <w:szCs w:val="20"/>
              </w:rPr>
            </w:pPr>
            <w:r>
              <w:rPr>
                <w:sz w:val="20"/>
                <w:szCs w:val="20"/>
              </w:rPr>
              <w:t xml:space="preserve">от 10 до 20</w:t>
            </w:r>
            <w:r>
              <w:rPr>
                <w:sz w:val="20"/>
                <w:szCs w:val="20"/>
              </w:rPr>
            </w:r>
            <w:r>
              <w:rPr>
                <w:sz w:val="20"/>
                <w:szCs w:val="20"/>
              </w:rPr>
            </w:r>
          </w:p>
        </w:tc>
        <w:tc>
          <w:tcPr>
            <w:tcW w:w="1417" w:type="dxa"/>
            <w:vAlign w:val="top"/>
            <w:textDirection w:val="lrTb"/>
            <w:noWrap w:val="false"/>
          </w:tcPr>
          <w:p>
            <w:pPr>
              <w:pStyle w:val="1135"/>
              <w:ind w:left="-2" w:right="-18"/>
              <w:jc w:val="center"/>
              <w:spacing w:before="40" w:after="40"/>
              <w:tabs>
                <w:tab w:val="left" w:pos="4464" w:leader="none"/>
                <w:tab w:val="left" w:pos="5760" w:leader="none"/>
              </w:tabs>
              <w:rPr>
                <w:sz w:val="20"/>
                <w:szCs w:val="20"/>
                <w:lang w:val="en-US"/>
              </w:rPr>
            </w:pPr>
            <w:r>
              <w:rPr>
                <w:sz w:val="20"/>
                <w:szCs w:val="20"/>
              </w:rPr>
              <w:t xml:space="preserve">0,0192%</w:t>
            </w:r>
            <w:r>
              <w:rPr>
                <w:sz w:val="20"/>
                <w:szCs w:val="20"/>
                <w:lang w:val="en-US"/>
              </w:rPr>
            </w:r>
            <w:r>
              <w:rPr>
                <w:sz w:val="20"/>
                <w:szCs w:val="20"/>
                <w:lang w:val="en-US"/>
              </w:rPr>
            </w:r>
          </w:p>
        </w:tc>
        <w:tc>
          <w:tcPr>
            <w:tcW w:w="2693" w:type="dxa"/>
            <w:vAlign w:val="top"/>
            <w:vMerge w:val="continue"/>
            <w:textDirection w:val="lrTb"/>
            <w:noWrap w:val="false"/>
          </w:tcPr>
          <w:p>
            <w:pPr>
              <w:pStyle w:val="1135"/>
              <w:ind w:left="-2" w:right="-18"/>
              <w:spacing w:before="40" w:after="40"/>
              <w:tabs>
                <w:tab w:val="left" w:pos="4464" w:leader="none"/>
                <w:tab w:val="left" w:pos="5760"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gridSpan w:val="2"/>
            <w:tcW w:w="849" w:type="dxa"/>
            <w:vAlign w:val="top"/>
            <w:vMerge w:val="continue"/>
            <w:textDirection w:val="lrTb"/>
            <w:noWrap w:val="false"/>
          </w:tcPr>
          <w:p>
            <w:pPr>
              <w:pStyle w:val="1135"/>
              <w:jc w:val="center"/>
              <w:spacing w:before="40" w:after="40"/>
              <w:rPr>
                <w:bCs/>
                <w:sz w:val="20"/>
                <w:szCs w:val="20"/>
              </w:rPr>
            </w:pPr>
            <w:r>
              <w:rPr>
                <w:bCs/>
                <w:sz w:val="20"/>
                <w:szCs w:val="20"/>
              </w:rPr>
            </w:r>
            <w:r>
              <w:rPr>
                <w:bCs/>
                <w:sz w:val="20"/>
                <w:szCs w:val="20"/>
              </w:rPr>
            </w:r>
            <w:r>
              <w:rPr>
                <w:bCs/>
                <w:sz w:val="20"/>
                <w:szCs w:val="20"/>
              </w:rPr>
            </w:r>
          </w:p>
        </w:tc>
        <w:tc>
          <w:tcPr>
            <w:tcW w:w="3970" w:type="dxa"/>
            <w:vAlign w:val="top"/>
            <w:vMerge w:val="continue"/>
            <w:textDirection w:val="lrTb"/>
            <w:noWrap w:val="false"/>
          </w:tcPr>
          <w:p>
            <w:pPr>
              <w:pStyle w:val="1135"/>
              <w:spacing w:before="40" w:after="40"/>
              <w:rPr>
                <w:bCs/>
                <w:sz w:val="20"/>
                <w:szCs w:val="20"/>
              </w:rPr>
            </w:pPr>
            <w:r>
              <w:rPr>
                <w:bCs/>
                <w:sz w:val="20"/>
                <w:szCs w:val="20"/>
              </w:rPr>
            </w:r>
            <w:r>
              <w:rPr>
                <w:bCs/>
                <w:sz w:val="20"/>
                <w:szCs w:val="20"/>
              </w:rPr>
            </w:r>
            <w:r>
              <w:rPr>
                <w:bCs/>
                <w:sz w:val="20"/>
                <w:szCs w:val="20"/>
              </w:rPr>
            </w:r>
          </w:p>
        </w:tc>
        <w:tc>
          <w:tcPr>
            <w:tcW w:w="1419" w:type="dxa"/>
            <w:vAlign w:val="top"/>
            <w:textDirection w:val="lrTb"/>
            <w:noWrap w:val="false"/>
          </w:tcPr>
          <w:p>
            <w:pPr>
              <w:pStyle w:val="1135"/>
              <w:ind w:left="-2" w:right="-18"/>
              <w:jc w:val="center"/>
              <w:spacing w:before="40" w:after="40"/>
              <w:tabs>
                <w:tab w:val="left" w:pos="4464" w:leader="none"/>
                <w:tab w:val="left" w:pos="5760" w:leader="none"/>
              </w:tabs>
              <w:rPr>
                <w:sz w:val="20"/>
                <w:szCs w:val="20"/>
              </w:rPr>
            </w:pPr>
            <w:r>
              <w:rPr>
                <w:sz w:val="20"/>
                <w:szCs w:val="20"/>
              </w:rPr>
              <w:t xml:space="preserve">от </w:t>
            </w:r>
            <w:r>
              <w:rPr>
                <w:sz w:val="20"/>
                <w:szCs w:val="20"/>
                <w:lang w:val="en-US"/>
              </w:rPr>
              <w:t xml:space="preserve">20</w:t>
            </w:r>
            <w:r>
              <w:rPr>
                <w:sz w:val="20"/>
                <w:szCs w:val="20"/>
              </w:rPr>
              <w:t xml:space="preserve"> до </w:t>
            </w:r>
            <w:r>
              <w:rPr>
                <w:sz w:val="20"/>
                <w:szCs w:val="20"/>
                <w:lang w:val="en-US"/>
              </w:rPr>
              <w:t xml:space="preserve">50</w:t>
            </w:r>
            <w:r>
              <w:rPr>
                <w:sz w:val="20"/>
                <w:szCs w:val="20"/>
              </w:rPr>
            </w:r>
            <w:r>
              <w:rPr>
                <w:sz w:val="20"/>
                <w:szCs w:val="20"/>
              </w:rPr>
            </w:r>
          </w:p>
        </w:tc>
        <w:tc>
          <w:tcPr>
            <w:tcW w:w="1417" w:type="dxa"/>
            <w:vAlign w:val="top"/>
            <w:textDirection w:val="lrTb"/>
            <w:noWrap w:val="false"/>
          </w:tcPr>
          <w:p>
            <w:pPr>
              <w:pStyle w:val="1135"/>
              <w:ind w:left="-2" w:right="-18"/>
              <w:jc w:val="center"/>
              <w:spacing w:before="40" w:after="40"/>
              <w:tabs>
                <w:tab w:val="left" w:pos="4464" w:leader="none"/>
                <w:tab w:val="left" w:pos="5760" w:leader="none"/>
              </w:tabs>
              <w:rPr>
                <w:sz w:val="20"/>
                <w:szCs w:val="20"/>
              </w:rPr>
            </w:pPr>
            <w:r>
              <w:rPr>
                <w:sz w:val="20"/>
                <w:szCs w:val="20"/>
              </w:rPr>
              <w:t xml:space="preserve">0,01</w:t>
            </w:r>
            <w:r>
              <w:rPr>
                <w:sz w:val="20"/>
                <w:szCs w:val="20"/>
                <w:lang w:val="en-US"/>
              </w:rPr>
              <w:t xml:space="preserve">72</w:t>
            </w:r>
            <w:r>
              <w:rPr>
                <w:sz w:val="20"/>
                <w:szCs w:val="20"/>
              </w:rPr>
              <w:t xml:space="preserve">%</w:t>
            </w:r>
            <w:r>
              <w:rPr>
                <w:sz w:val="20"/>
                <w:szCs w:val="20"/>
              </w:rPr>
            </w:r>
            <w:r>
              <w:rPr>
                <w:sz w:val="20"/>
                <w:szCs w:val="20"/>
              </w:rPr>
            </w:r>
          </w:p>
        </w:tc>
        <w:tc>
          <w:tcPr>
            <w:tcW w:w="2693" w:type="dxa"/>
            <w:vAlign w:val="top"/>
            <w:vMerge w:val="continue"/>
            <w:textDirection w:val="lrTb"/>
            <w:noWrap w:val="false"/>
          </w:tcPr>
          <w:p>
            <w:pPr>
              <w:pStyle w:val="1135"/>
              <w:ind w:left="-2" w:right="-18"/>
              <w:spacing w:before="40" w:after="40"/>
              <w:tabs>
                <w:tab w:val="left" w:pos="4464" w:leader="none"/>
                <w:tab w:val="left" w:pos="5760"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gridSpan w:val="2"/>
            <w:tcW w:w="849" w:type="dxa"/>
            <w:vAlign w:val="top"/>
            <w:vMerge w:val="continue"/>
            <w:textDirection w:val="lrTb"/>
            <w:noWrap w:val="false"/>
          </w:tcPr>
          <w:p>
            <w:pPr>
              <w:pStyle w:val="1135"/>
              <w:jc w:val="center"/>
              <w:spacing w:before="40" w:after="40"/>
              <w:rPr>
                <w:bCs/>
                <w:sz w:val="20"/>
                <w:szCs w:val="20"/>
              </w:rPr>
            </w:pPr>
            <w:r>
              <w:rPr>
                <w:bCs/>
                <w:sz w:val="20"/>
                <w:szCs w:val="20"/>
              </w:rPr>
            </w:r>
            <w:r>
              <w:rPr>
                <w:bCs/>
                <w:sz w:val="20"/>
                <w:szCs w:val="20"/>
              </w:rPr>
            </w:r>
            <w:r>
              <w:rPr>
                <w:bCs/>
                <w:sz w:val="20"/>
                <w:szCs w:val="20"/>
              </w:rPr>
            </w:r>
          </w:p>
        </w:tc>
        <w:tc>
          <w:tcPr>
            <w:tcW w:w="3970" w:type="dxa"/>
            <w:vAlign w:val="top"/>
            <w:vMerge w:val="continue"/>
            <w:textDirection w:val="lrTb"/>
            <w:noWrap w:val="false"/>
          </w:tcPr>
          <w:p>
            <w:pPr>
              <w:pStyle w:val="1135"/>
              <w:spacing w:before="40" w:after="40"/>
              <w:rPr>
                <w:bCs/>
                <w:sz w:val="20"/>
                <w:szCs w:val="20"/>
              </w:rPr>
            </w:pPr>
            <w:r>
              <w:rPr>
                <w:bCs/>
                <w:sz w:val="20"/>
                <w:szCs w:val="20"/>
              </w:rPr>
            </w:r>
            <w:r>
              <w:rPr>
                <w:bCs/>
                <w:sz w:val="20"/>
                <w:szCs w:val="20"/>
              </w:rPr>
            </w:r>
            <w:r>
              <w:rPr>
                <w:bCs/>
                <w:sz w:val="20"/>
                <w:szCs w:val="20"/>
              </w:rPr>
            </w:r>
          </w:p>
        </w:tc>
        <w:tc>
          <w:tcPr>
            <w:tcW w:w="1419" w:type="dxa"/>
            <w:vAlign w:val="top"/>
            <w:textDirection w:val="lrTb"/>
            <w:noWrap w:val="false"/>
          </w:tcPr>
          <w:p>
            <w:pPr>
              <w:pStyle w:val="1135"/>
              <w:ind w:left="-2" w:right="-18"/>
              <w:jc w:val="center"/>
              <w:spacing w:before="40" w:after="40"/>
              <w:tabs>
                <w:tab w:val="left" w:pos="4464" w:leader="none"/>
                <w:tab w:val="left" w:pos="5760" w:leader="none"/>
              </w:tabs>
              <w:rPr>
                <w:sz w:val="20"/>
                <w:szCs w:val="20"/>
              </w:rPr>
            </w:pPr>
            <w:r>
              <w:rPr>
                <w:sz w:val="20"/>
                <w:szCs w:val="20"/>
              </w:rPr>
              <w:t xml:space="preserve">свыше 50</w:t>
            </w:r>
            <w:r>
              <w:rPr>
                <w:sz w:val="20"/>
                <w:szCs w:val="20"/>
              </w:rPr>
            </w:r>
            <w:r>
              <w:rPr>
                <w:sz w:val="20"/>
                <w:szCs w:val="20"/>
              </w:rPr>
            </w:r>
          </w:p>
        </w:tc>
        <w:tc>
          <w:tcPr>
            <w:tcW w:w="1417" w:type="dxa"/>
            <w:vAlign w:val="top"/>
            <w:textDirection w:val="lrTb"/>
            <w:noWrap w:val="false"/>
          </w:tcPr>
          <w:p>
            <w:pPr>
              <w:pStyle w:val="1135"/>
              <w:ind w:left="-2" w:right="-18"/>
              <w:jc w:val="center"/>
              <w:spacing w:before="40" w:after="40"/>
              <w:tabs>
                <w:tab w:val="left" w:pos="4464" w:leader="none"/>
                <w:tab w:val="left" w:pos="5760" w:leader="none"/>
              </w:tabs>
              <w:rPr>
                <w:sz w:val="20"/>
                <w:szCs w:val="20"/>
                <w:lang w:val="en-US"/>
              </w:rPr>
            </w:pPr>
            <w:r>
              <w:rPr>
                <w:sz w:val="20"/>
                <w:szCs w:val="20"/>
              </w:rPr>
              <w:t xml:space="preserve">0,016%</w:t>
            </w:r>
            <w:r>
              <w:rPr>
                <w:sz w:val="20"/>
                <w:szCs w:val="20"/>
                <w:lang w:val="en-US"/>
              </w:rPr>
            </w:r>
            <w:r>
              <w:rPr>
                <w:sz w:val="20"/>
                <w:szCs w:val="20"/>
                <w:lang w:val="en-US"/>
              </w:rPr>
            </w:r>
          </w:p>
        </w:tc>
        <w:tc>
          <w:tcPr>
            <w:tcW w:w="2693" w:type="dxa"/>
            <w:vAlign w:val="top"/>
            <w:vMerge w:val="continue"/>
            <w:textDirection w:val="lrTb"/>
            <w:noWrap w:val="false"/>
          </w:tcPr>
          <w:p>
            <w:pPr>
              <w:pStyle w:val="1135"/>
              <w:ind w:left="-2" w:right="-18"/>
              <w:spacing w:before="40" w:after="40"/>
              <w:tabs>
                <w:tab w:val="left" w:pos="4464" w:leader="none"/>
                <w:tab w:val="left" w:pos="5760"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0"/>
        </w:trPr>
        <w:tc>
          <w:tcPr>
            <w:gridSpan w:val="2"/>
            <w:tcW w:w="849" w:type="dxa"/>
            <w:vAlign w:val="top"/>
            <w:vMerge w:val="restart"/>
            <w:textDirection w:val="lrTb"/>
            <w:noWrap w:val="false"/>
          </w:tcPr>
          <w:p>
            <w:pPr>
              <w:pStyle w:val="1135"/>
              <w:jc w:val="center"/>
              <w:spacing w:before="40" w:after="40"/>
              <w:rPr>
                <w:bCs/>
                <w:sz w:val="20"/>
                <w:szCs w:val="20"/>
              </w:rPr>
            </w:pPr>
            <w:r>
              <w:rPr>
                <w:bCs/>
                <w:sz w:val="20"/>
                <w:szCs w:val="20"/>
              </w:rPr>
              <w:t xml:space="preserve">14.2.7.2.</w:t>
            </w:r>
            <w:r>
              <w:rPr>
                <w:bCs/>
                <w:sz w:val="20"/>
                <w:szCs w:val="20"/>
              </w:rPr>
            </w:r>
            <w:r>
              <w:rPr>
                <w:bCs/>
                <w:sz w:val="20"/>
                <w:szCs w:val="20"/>
              </w:rPr>
            </w:r>
          </w:p>
        </w:tc>
        <w:tc>
          <w:tcPr>
            <w:tcW w:w="3970" w:type="dxa"/>
            <w:vAlign w:val="top"/>
            <w:vMerge w:val="restart"/>
            <w:textDirection w:val="lrTb"/>
            <w:noWrap w:val="false"/>
          </w:tcPr>
          <w:p>
            <w:pPr>
              <w:pStyle w:val="1135"/>
              <w:jc w:val="both"/>
              <w:spacing w:before="40" w:after="40"/>
              <w:rPr>
                <w:bCs/>
                <w:sz w:val="20"/>
                <w:szCs w:val="20"/>
              </w:rPr>
            </w:pPr>
            <w:r>
              <w:rPr>
                <w:bCs/>
                <w:sz w:val="20"/>
                <w:szCs w:val="20"/>
              </w:rPr>
              <w:t xml:space="preserve">Депозитарный учет акций и российских депозитарных расписок, выпущенных на территории Российской Федерации</w:t>
            </w:r>
            <w:r>
              <w:rPr>
                <w:bCs/>
                <w:sz w:val="20"/>
                <w:szCs w:val="20"/>
              </w:rPr>
            </w:r>
            <w:r>
              <w:rPr>
                <w:bCs/>
                <w:sz w:val="20"/>
                <w:szCs w:val="20"/>
              </w:rPr>
            </w:r>
          </w:p>
        </w:tc>
        <w:tc>
          <w:tcPr>
            <w:tcW w:w="1419" w:type="dxa"/>
            <w:vAlign w:val="top"/>
            <w:textDirection w:val="lrTb"/>
            <w:noWrap w:val="false"/>
          </w:tcPr>
          <w:p>
            <w:pPr>
              <w:pStyle w:val="1135"/>
              <w:jc w:val="center"/>
              <w:spacing w:before="40" w:after="40"/>
              <w:rPr>
                <w:sz w:val="20"/>
                <w:szCs w:val="20"/>
              </w:rPr>
            </w:pPr>
            <w:r>
              <w:rPr>
                <w:sz w:val="20"/>
                <w:szCs w:val="20"/>
              </w:rPr>
              <w:t xml:space="preserve">до 0,5</w:t>
            </w:r>
            <w:r>
              <w:rPr>
                <w:sz w:val="20"/>
                <w:szCs w:val="20"/>
              </w:rPr>
            </w:r>
            <w:r>
              <w:rPr>
                <w:sz w:val="20"/>
                <w:szCs w:val="20"/>
              </w:rPr>
            </w:r>
          </w:p>
        </w:tc>
        <w:tc>
          <w:tcPr>
            <w:tcW w:w="1417" w:type="dxa"/>
            <w:vAlign w:val="top"/>
            <w:textDirection w:val="lrTb"/>
            <w:noWrap w:val="false"/>
          </w:tcPr>
          <w:p>
            <w:pPr>
              <w:pStyle w:val="1135"/>
              <w:jc w:val="center"/>
              <w:spacing w:before="40" w:after="40"/>
              <w:rPr>
                <w:sz w:val="20"/>
                <w:szCs w:val="20"/>
              </w:rPr>
            </w:pPr>
            <w:r>
              <w:rPr>
                <w:sz w:val="20"/>
                <w:szCs w:val="20"/>
              </w:rPr>
              <w:t xml:space="preserve">0,019% </w:t>
            </w:r>
            <w:r>
              <w:rPr>
                <w:bCs/>
                <w:iCs/>
                <w:sz w:val="20"/>
                <w:szCs w:val="20"/>
              </w:rPr>
              <w:t xml:space="preserve">минимум </w:t>
            </w:r>
            <w:r>
              <w:rPr>
                <w:bCs/>
                <w:iCs/>
                <w:sz w:val="20"/>
                <w:szCs w:val="20"/>
                <w:lang w:val="en-US"/>
              </w:rPr>
              <w:t xml:space="preserve">3</w:t>
            </w:r>
            <w:r>
              <w:rPr>
                <w:bCs/>
                <w:iCs/>
                <w:sz w:val="20"/>
                <w:szCs w:val="20"/>
              </w:rPr>
              <w:t xml:space="preserve">0 руб. в месяц</w:t>
            </w:r>
            <w:r>
              <w:rPr>
                <w:sz w:val="20"/>
                <w:szCs w:val="20"/>
              </w:rPr>
            </w:r>
            <w:r>
              <w:rPr>
                <w:sz w:val="20"/>
                <w:szCs w:val="20"/>
              </w:rPr>
            </w:r>
          </w:p>
        </w:tc>
        <w:tc>
          <w:tcPr>
            <w:tcW w:w="2693" w:type="dxa"/>
            <w:vAlign w:val="top"/>
            <w:vMerge w:val="continue"/>
            <w:textDirection w:val="lrTb"/>
            <w:noWrap w:val="false"/>
          </w:tcPr>
          <w:p>
            <w:pPr>
              <w:pStyle w:val="1135"/>
              <w:ind w:left="-2" w:right="-18"/>
              <w:spacing w:before="40" w:after="40"/>
              <w:tabs>
                <w:tab w:val="left" w:pos="4464" w:leader="none"/>
                <w:tab w:val="left" w:pos="5760"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gridSpan w:val="2"/>
            <w:tcW w:w="849" w:type="dxa"/>
            <w:vAlign w:val="top"/>
            <w:vMerge w:val="continue"/>
            <w:textDirection w:val="lrTb"/>
            <w:noWrap w:val="false"/>
          </w:tcPr>
          <w:p>
            <w:pPr>
              <w:pStyle w:val="1135"/>
              <w:jc w:val="center"/>
              <w:spacing w:before="40" w:after="40"/>
              <w:rPr>
                <w:bCs/>
                <w:sz w:val="20"/>
                <w:szCs w:val="20"/>
              </w:rPr>
            </w:pPr>
            <w:r>
              <w:rPr>
                <w:bCs/>
                <w:sz w:val="20"/>
                <w:szCs w:val="20"/>
              </w:rPr>
            </w:r>
            <w:r>
              <w:rPr>
                <w:bCs/>
                <w:sz w:val="20"/>
                <w:szCs w:val="20"/>
              </w:rPr>
            </w:r>
            <w:r>
              <w:rPr>
                <w:bCs/>
                <w:sz w:val="20"/>
                <w:szCs w:val="20"/>
              </w:rPr>
            </w:r>
          </w:p>
        </w:tc>
        <w:tc>
          <w:tcPr>
            <w:tcW w:w="3970" w:type="dxa"/>
            <w:vAlign w:val="top"/>
            <w:vMerge w:val="continue"/>
            <w:textDirection w:val="lrTb"/>
            <w:noWrap w:val="false"/>
          </w:tcPr>
          <w:p>
            <w:pPr>
              <w:pStyle w:val="1135"/>
              <w:jc w:val="both"/>
              <w:spacing w:before="40" w:after="40"/>
              <w:rPr>
                <w:bCs/>
                <w:sz w:val="20"/>
                <w:szCs w:val="20"/>
              </w:rPr>
            </w:pPr>
            <w:r>
              <w:rPr>
                <w:bCs/>
                <w:sz w:val="20"/>
                <w:szCs w:val="20"/>
              </w:rPr>
            </w:r>
            <w:r>
              <w:rPr>
                <w:bCs/>
                <w:sz w:val="20"/>
                <w:szCs w:val="20"/>
              </w:rPr>
            </w:r>
            <w:r>
              <w:rPr>
                <w:bCs/>
                <w:sz w:val="20"/>
                <w:szCs w:val="20"/>
              </w:rPr>
            </w:r>
          </w:p>
        </w:tc>
        <w:tc>
          <w:tcPr>
            <w:tcW w:w="1419" w:type="dxa"/>
            <w:vAlign w:val="top"/>
            <w:textDirection w:val="lrTb"/>
            <w:noWrap w:val="false"/>
          </w:tcPr>
          <w:p>
            <w:pPr>
              <w:pStyle w:val="1135"/>
              <w:jc w:val="center"/>
              <w:spacing w:before="40" w:after="40"/>
              <w:rPr>
                <w:sz w:val="20"/>
                <w:szCs w:val="20"/>
              </w:rPr>
            </w:pPr>
            <w:r>
              <w:rPr>
                <w:sz w:val="20"/>
                <w:szCs w:val="20"/>
              </w:rPr>
              <w:t xml:space="preserve">от 0,5 до 1</w:t>
            </w:r>
            <w:r>
              <w:rPr>
                <w:sz w:val="20"/>
                <w:szCs w:val="20"/>
              </w:rPr>
            </w:r>
            <w:r>
              <w:rPr>
                <w:sz w:val="20"/>
                <w:szCs w:val="20"/>
              </w:rPr>
            </w:r>
          </w:p>
        </w:tc>
        <w:tc>
          <w:tcPr>
            <w:tcW w:w="1417" w:type="dxa"/>
            <w:vAlign w:val="top"/>
            <w:textDirection w:val="lrTb"/>
            <w:noWrap w:val="false"/>
          </w:tcPr>
          <w:p>
            <w:pPr>
              <w:pStyle w:val="1135"/>
              <w:jc w:val="center"/>
              <w:spacing w:before="40" w:after="40"/>
              <w:rPr>
                <w:sz w:val="20"/>
                <w:szCs w:val="20"/>
                <w:lang w:val="en-US"/>
              </w:rPr>
            </w:pPr>
            <w:r>
              <w:rPr>
                <w:sz w:val="20"/>
                <w:szCs w:val="20"/>
              </w:rPr>
              <w:t xml:space="preserve">0,014%</w:t>
            </w:r>
            <w:r>
              <w:rPr>
                <w:sz w:val="20"/>
                <w:szCs w:val="20"/>
                <w:lang w:val="en-US"/>
              </w:rPr>
            </w:r>
            <w:r>
              <w:rPr>
                <w:sz w:val="20"/>
                <w:szCs w:val="20"/>
                <w:lang w:val="en-US"/>
              </w:rPr>
            </w:r>
          </w:p>
        </w:tc>
        <w:tc>
          <w:tcPr>
            <w:tcW w:w="2693" w:type="dxa"/>
            <w:vAlign w:val="top"/>
            <w:vMerge w:val="continue"/>
            <w:textDirection w:val="lrTb"/>
            <w:noWrap w:val="false"/>
          </w:tcPr>
          <w:p>
            <w:pPr>
              <w:pStyle w:val="1135"/>
              <w:ind w:left="-2" w:right="-18"/>
              <w:spacing w:before="40" w:after="40"/>
              <w:tabs>
                <w:tab w:val="left" w:pos="4464" w:leader="none"/>
                <w:tab w:val="left" w:pos="5760"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gridSpan w:val="2"/>
            <w:tcW w:w="849" w:type="dxa"/>
            <w:vAlign w:val="top"/>
            <w:vMerge w:val="continue"/>
            <w:textDirection w:val="lrTb"/>
            <w:noWrap w:val="false"/>
          </w:tcPr>
          <w:p>
            <w:pPr>
              <w:pStyle w:val="1135"/>
              <w:jc w:val="center"/>
              <w:spacing w:before="40" w:after="40"/>
              <w:rPr>
                <w:bCs/>
                <w:sz w:val="20"/>
                <w:szCs w:val="20"/>
              </w:rPr>
            </w:pPr>
            <w:r>
              <w:rPr>
                <w:bCs/>
                <w:sz w:val="20"/>
                <w:szCs w:val="20"/>
              </w:rPr>
            </w:r>
            <w:r>
              <w:rPr>
                <w:bCs/>
                <w:sz w:val="20"/>
                <w:szCs w:val="20"/>
              </w:rPr>
            </w:r>
            <w:r>
              <w:rPr>
                <w:bCs/>
                <w:sz w:val="20"/>
                <w:szCs w:val="20"/>
              </w:rPr>
            </w:r>
          </w:p>
        </w:tc>
        <w:tc>
          <w:tcPr>
            <w:tcW w:w="3970" w:type="dxa"/>
            <w:vAlign w:val="top"/>
            <w:vMerge w:val="continue"/>
            <w:textDirection w:val="lrTb"/>
            <w:noWrap w:val="false"/>
          </w:tcPr>
          <w:p>
            <w:pPr>
              <w:pStyle w:val="1135"/>
              <w:jc w:val="both"/>
              <w:spacing w:before="40" w:after="40"/>
              <w:rPr>
                <w:bCs/>
                <w:sz w:val="20"/>
                <w:szCs w:val="20"/>
              </w:rPr>
            </w:pPr>
            <w:r>
              <w:rPr>
                <w:bCs/>
                <w:sz w:val="20"/>
                <w:szCs w:val="20"/>
              </w:rPr>
            </w:r>
            <w:r>
              <w:rPr>
                <w:bCs/>
                <w:sz w:val="20"/>
                <w:szCs w:val="20"/>
              </w:rPr>
            </w:r>
            <w:r>
              <w:rPr>
                <w:bCs/>
                <w:sz w:val="20"/>
                <w:szCs w:val="20"/>
              </w:rPr>
            </w:r>
          </w:p>
        </w:tc>
        <w:tc>
          <w:tcPr>
            <w:tcW w:w="1419" w:type="dxa"/>
            <w:vAlign w:val="top"/>
            <w:textDirection w:val="lrTb"/>
            <w:noWrap w:val="false"/>
          </w:tcPr>
          <w:p>
            <w:pPr>
              <w:pStyle w:val="1135"/>
              <w:jc w:val="center"/>
              <w:spacing w:before="40" w:after="40"/>
              <w:rPr>
                <w:sz w:val="20"/>
                <w:szCs w:val="20"/>
              </w:rPr>
            </w:pPr>
            <w:r>
              <w:rPr>
                <w:sz w:val="20"/>
                <w:szCs w:val="20"/>
              </w:rPr>
              <w:t xml:space="preserve">от 1 до 5</w:t>
            </w:r>
            <w:r>
              <w:rPr>
                <w:sz w:val="20"/>
                <w:szCs w:val="20"/>
              </w:rPr>
            </w:r>
            <w:r>
              <w:rPr>
                <w:sz w:val="20"/>
                <w:szCs w:val="20"/>
              </w:rPr>
            </w:r>
          </w:p>
        </w:tc>
        <w:tc>
          <w:tcPr>
            <w:tcW w:w="1417" w:type="dxa"/>
            <w:vAlign w:val="top"/>
            <w:textDirection w:val="lrTb"/>
            <w:noWrap w:val="false"/>
          </w:tcPr>
          <w:p>
            <w:pPr>
              <w:pStyle w:val="1135"/>
              <w:jc w:val="center"/>
              <w:spacing w:before="40" w:after="40"/>
              <w:rPr>
                <w:sz w:val="20"/>
                <w:szCs w:val="20"/>
                <w:lang w:val="en-US"/>
              </w:rPr>
            </w:pPr>
            <w:r>
              <w:rPr>
                <w:sz w:val="20"/>
                <w:szCs w:val="20"/>
              </w:rPr>
              <w:t xml:space="preserve">0,013%</w:t>
            </w:r>
            <w:r>
              <w:rPr>
                <w:sz w:val="20"/>
                <w:szCs w:val="20"/>
                <w:lang w:val="en-US"/>
              </w:rPr>
            </w:r>
            <w:r>
              <w:rPr>
                <w:sz w:val="20"/>
                <w:szCs w:val="20"/>
                <w:lang w:val="en-US"/>
              </w:rPr>
            </w:r>
          </w:p>
        </w:tc>
        <w:tc>
          <w:tcPr>
            <w:tcW w:w="2693" w:type="dxa"/>
            <w:vAlign w:val="top"/>
            <w:vMerge w:val="continue"/>
            <w:textDirection w:val="lrTb"/>
            <w:noWrap w:val="false"/>
          </w:tcPr>
          <w:p>
            <w:pPr>
              <w:pStyle w:val="1135"/>
              <w:ind w:left="-2" w:right="-18"/>
              <w:spacing w:before="40" w:after="40"/>
              <w:tabs>
                <w:tab w:val="left" w:pos="4464" w:leader="none"/>
                <w:tab w:val="left" w:pos="5760"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0"/>
        </w:trPr>
        <w:tc>
          <w:tcPr>
            <w:gridSpan w:val="2"/>
            <w:tcW w:w="849" w:type="dxa"/>
            <w:vAlign w:val="top"/>
            <w:vMerge w:val="continue"/>
            <w:textDirection w:val="lrTb"/>
            <w:noWrap w:val="false"/>
          </w:tcPr>
          <w:p>
            <w:pPr>
              <w:pStyle w:val="1135"/>
              <w:jc w:val="center"/>
              <w:spacing w:before="40" w:after="40"/>
              <w:rPr>
                <w:bCs/>
                <w:sz w:val="20"/>
                <w:szCs w:val="20"/>
              </w:rPr>
            </w:pPr>
            <w:r>
              <w:rPr>
                <w:bCs/>
                <w:sz w:val="20"/>
                <w:szCs w:val="20"/>
              </w:rPr>
            </w:r>
            <w:r>
              <w:rPr>
                <w:bCs/>
                <w:sz w:val="20"/>
                <w:szCs w:val="20"/>
              </w:rPr>
            </w:r>
            <w:r>
              <w:rPr>
                <w:bCs/>
                <w:sz w:val="20"/>
                <w:szCs w:val="20"/>
              </w:rPr>
            </w:r>
          </w:p>
        </w:tc>
        <w:tc>
          <w:tcPr>
            <w:tcW w:w="3970" w:type="dxa"/>
            <w:vAlign w:val="top"/>
            <w:vMerge w:val="continue"/>
            <w:textDirection w:val="lrTb"/>
            <w:noWrap w:val="false"/>
          </w:tcPr>
          <w:p>
            <w:pPr>
              <w:pStyle w:val="1135"/>
              <w:jc w:val="both"/>
              <w:spacing w:before="40" w:after="40"/>
              <w:rPr>
                <w:bCs/>
                <w:sz w:val="20"/>
                <w:szCs w:val="20"/>
              </w:rPr>
            </w:pPr>
            <w:r>
              <w:rPr>
                <w:bCs/>
                <w:sz w:val="20"/>
                <w:szCs w:val="20"/>
              </w:rPr>
            </w:r>
            <w:r>
              <w:rPr>
                <w:bCs/>
                <w:sz w:val="20"/>
                <w:szCs w:val="20"/>
              </w:rPr>
            </w:r>
            <w:r>
              <w:rPr>
                <w:bCs/>
                <w:sz w:val="20"/>
                <w:szCs w:val="20"/>
              </w:rPr>
            </w:r>
          </w:p>
        </w:tc>
        <w:tc>
          <w:tcPr>
            <w:tcW w:w="1419" w:type="dxa"/>
            <w:vAlign w:val="top"/>
            <w:textDirection w:val="lrTb"/>
            <w:noWrap w:val="false"/>
          </w:tcPr>
          <w:p>
            <w:pPr>
              <w:pStyle w:val="1135"/>
              <w:jc w:val="center"/>
              <w:spacing w:before="40" w:after="40"/>
              <w:rPr>
                <w:sz w:val="20"/>
                <w:szCs w:val="20"/>
              </w:rPr>
            </w:pPr>
            <w:r>
              <w:rPr>
                <w:sz w:val="20"/>
                <w:szCs w:val="20"/>
              </w:rPr>
              <w:t xml:space="preserve">свыше 5</w:t>
            </w:r>
            <w:r>
              <w:rPr>
                <w:sz w:val="20"/>
                <w:szCs w:val="20"/>
              </w:rPr>
            </w:r>
            <w:r>
              <w:rPr>
                <w:sz w:val="20"/>
                <w:szCs w:val="20"/>
              </w:rPr>
            </w:r>
          </w:p>
        </w:tc>
        <w:tc>
          <w:tcPr>
            <w:tcW w:w="1417" w:type="dxa"/>
            <w:vAlign w:val="top"/>
            <w:textDirection w:val="lrTb"/>
            <w:noWrap w:val="false"/>
          </w:tcPr>
          <w:p>
            <w:pPr>
              <w:pStyle w:val="1135"/>
              <w:jc w:val="center"/>
              <w:spacing w:before="40" w:after="40"/>
              <w:rPr>
                <w:sz w:val="20"/>
                <w:szCs w:val="20"/>
                <w:lang w:val="en-US"/>
              </w:rPr>
            </w:pPr>
            <w:r>
              <w:rPr>
                <w:sz w:val="20"/>
                <w:szCs w:val="20"/>
              </w:rPr>
              <w:t xml:space="preserve">0,01%</w:t>
            </w:r>
            <w:r>
              <w:rPr>
                <w:sz w:val="20"/>
                <w:szCs w:val="20"/>
                <w:lang w:val="en-US"/>
              </w:rPr>
            </w:r>
            <w:r>
              <w:rPr>
                <w:sz w:val="20"/>
                <w:szCs w:val="20"/>
                <w:lang w:val="en-US"/>
              </w:rPr>
            </w:r>
          </w:p>
        </w:tc>
        <w:tc>
          <w:tcPr>
            <w:tcW w:w="2693" w:type="dxa"/>
            <w:vAlign w:val="top"/>
            <w:vMerge w:val="continue"/>
            <w:textDirection w:val="lrTb"/>
            <w:noWrap w:val="false"/>
          </w:tcPr>
          <w:p>
            <w:pPr>
              <w:pStyle w:val="1135"/>
              <w:ind w:left="-2" w:right="-18"/>
              <w:spacing w:before="40" w:after="40"/>
              <w:tabs>
                <w:tab w:val="left" w:pos="4464" w:leader="none"/>
                <w:tab w:val="left" w:pos="5760"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70"/>
        </w:trPr>
        <w:tc>
          <w:tcPr>
            <w:gridSpan w:val="2"/>
            <w:tcW w:w="849" w:type="dxa"/>
            <w:vAlign w:val="top"/>
            <w:textDirection w:val="lrTb"/>
            <w:noWrap w:val="false"/>
          </w:tcPr>
          <w:p>
            <w:pPr>
              <w:pStyle w:val="1135"/>
              <w:jc w:val="center"/>
              <w:spacing w:before="40" w:after="40"/>
              <w:rPr>
                <w:bCs/>
                <w:sz w:val="20"/>
                <w:szCs w:val="20"/>
                <w:lang w:val="en-US"/>
              </w:rPr>
            </w:pPr>
            <w:r>
              <w:rPr>
                <w:bCs/>
                <w:sz w:val="20"/>
                <w:szCs w:val="20"/>
              </w:rPr>
              <w:t xml:space="preserve">14.2.7.3</w:t>
            </w:r>
            <w:r>
              <w:rPr>
                <w:bCs/>
                <w:sz w:val="20"/>
                <w:szCs w:val="20"/>
                <w:lang w:val="en-US"/>
              </w:rPr>
            </w:r>
            <w:r>
              <w:rPr>
                <w:bCs/>
                <w:sz w:val="20"/>
                <w:szCs w:val="20"/>
                <w:lang w:val="en-US"/>
              </w:rPr>
            </w:r>
          </w:p>
        </w:tc>
        <w:tc>
          <w:tcPr>
            <w:tcW w:w="3970" w:type="dxa"/>
            <w:vAlign w:val="top"/>
            <w:textDirection w:val="lrTb"/>
            <w:noWrap w:val="false"/>
          </w:tcPr>
          <w:p>
            <w:pPr>
              <w:pStyle w:val="1135"/>
              <w:jc w:val="both"/>
              <w:spacing w:before="40" w:after="40"/>
              <w:rPr>
                <w:bCs/>
                <w:sz w:val="20"/>
                <w:szCs w:val="20"/>
              </w:rPr>
            </w:pPr>
            <w:r>
              <w:rPr>
                <w:bCs/>
                <w:sz w:val="20"/>
                <w:szCs w:val="20"/>
              </w:rPr>
              <w:t xml:space="preserve">Депозитарный учет и/или хранение иностранных финансовых инструментов, выпущенных вне территории Российской Федерации</w:t>
            </w:r>
            <w:r>
              <w:rPr>
                <w:bCs/>
                <w:sz w:val="20"/>
                <w:szCs w:val="20"/>
              </w:rPr>
              <w:t xml:space="preserve">, </w:t>
            </w:r>
            <w:r>
              <w:rPr>
                <w:bCs/>
                <w:sz w:val="20"/>
                <w:szCs w:val="20"/>
              </w:rPr>
              <w:t xml:space="preserve">за исключением </w:t>
            </w:r>
            <w:r>
              <w:rPr>
                <w:bCs/>
                <w:sz w:val="20"/>
                <w:szCs w:val="20"/>
              </w:rPr>
              <w:t xml:space="preserve">паев</w:t>
            </w:r>
            <w:r>
              <w:rPr>
                <w:bCs/>
                <w:sz w:val="20"/>
                <w:szCs w:val="20"/>
              </w:rPr>
              <w:t xml:space="preserve"> инвестиционных фондов</w:t>
            </w:r>
            <w:r>
              <w:rPr>
                <w:bCs/>
                <w:sz w:val="20"/>
                <w:szCs w:val="20"/>
              </w:rPr>
            </w:r>
            <w:r>
              <w:rPr>
                <w:bCs/>
                <w:sz w:val="20"/>
                <w:szCs w:val="20"/>
              </w:rPr>
            </w:r>
          </w:p>
        </w:tc>
        <w:tc>
          <w:tcPr>
            <w:gridSpan w:val="2"/>
            <w:tcW w:w="2836" w:type="dxa"/>
            <w:vAlign w:val="center"/>
            <w:textDirection w:val="lrTb"/>
            <w:noWrap w:val="false"/>
          </w:tcPr>
          <w:p>
            <w:pPr>
              <w:pStyle w:val="1135"/>
              <w:jc w:val="center"/>
              <w:spacing w:before="40" w:after="40"/>
              <w:rPr>
                <w:bCs/>
                <w:iCs/>
                <w:sz w:val="20"/>
                <w:szCs w:val="20"/>
              </w:rPr>
            </w:pPr>
            <w:r>
              <w:rPr>
                <w:sz w:val="20"/>
                <w:szCs w:val="20"/>
              </w:rPr>
              <w:t xml:space="preserve">0,035% годовых </w:t>
            </w:r>
            <w:r>
              <w:rPr>
                <w:bCs/>
                <w:iCs/>
                <w:sz w:val="20"/>
                <w:szCs w:val="20"/>
              </w:rPr>
              <w:t xml:space="preserve">минимум 30 руб. в месяц</w:t>
            </w:r>
            <w:r>
              <w:rPr>
                <w:bCs/>
                <w:iCs/>
                <w:sz w:val="20"/>
                <w:szCs w:val="20"/>
              </w:rPr>
            </w:r>
            <w:r>
              <w:rPr>
                <w:bCs/>
                <w:iCs/>
                <w:sz w:val="20"/>
                <w:szCs w:val="20"/>
              </w:rPr>
            </w:r>
          </w:p>
          <w:p>
            <w:pPr>
              <w:pStyle w:val="1135"/>
              <w:jc w:val="center"/>
              <w:spacing w:before="40" w:after="40"/>
              <w:rPr>
                <w:bCs/>
                <w:iCs/>
                <w:sz w:val="20"/>
                <w:szCs w:val="20"/>
              </w:rPr>
            </w:pPr>
            <w:r>
              <w:rPr>
                <w:bCs/>
                <w:iCs/>
                <w:sz w:val="20"/>
                <w:szCs w:val="20"/>
              </w:rPr>
            </w:r>
            <w:r>
              <w:rPr>
                <w:bCs/>
                <w:iCs/>
                <w:sz w:val="20"/>
                <w:szCs w:val="20"/>
              </w:rPr>
            </w:r>
            <w:r>
              <w:rPr>
                <w:bCs/>
                <w:iCs/>
                <w:sz w:val="20"/>
                <w:szCs w:val="20"/>
              </w:rPr>
            </w:r>
          </w:p>
          <w:p>
            <w:pPr>
              <w:pStyle w:val="1135"/>
              <w:jc w:val="center"/>
              <w:spacing w:before="40" w:after="40"/>
              <w:rPr>
                <w:bCs/>
                <w:iCs/>
                <w:sz w:val="20"/>
                <w:szCs w:val="20"/>
              </w:rPr>
            </w:pPr>
            <w:r>
              <w:rPr>
                <w:bCs/>
                <w:iCs/>
                <w:sz w:val="20"/>
                <w:szCs w:val="20"/>
              </w:rPr>
            </w:r>
            <w:r>
              <w:rPr>
                <w:bCs/>
                <w:iCs/>
                <w:sz w:val="20"/>
                <w:szCs w:val="20"/>
              </w:rPr>
            </w:r>
            <w:r>
              <w:rPr>
                <w:bCs/>
                <w:iCs/>
                <w:sz w:val="20"/>
                <w:szCs w:val="20"/>
              </w:rPr>
            </w:r>
          </w:p>
          <w:p>
            <w:pPr>
              <w:pStyle w:val="1135"/>
              <w:jc w:val="center"/>
              <w:spacing w:before="40" w:after="40"/>
              <w:rPr>
                <w:bCs/>
                <w:iCs/>
                <w:sz w:val="20"/>
                <w:szCs w:val="20"/>
              </w:rPr>
            </w:pPr>
            <w:r>
              <w:rPr>
                <w:bCs/>
                <w:iCs/>
                <w:sz w:val="20"/>
                <w:szCs w:val="20"/>
              </w:rPr>
            </w:r>
            <w:r>
              <w:rPr>
                <w:bCs/>
                <w:iCs/>
                <w:sz w:val="20"/>
                <w:szCs w:val="20"/>
              </w:rPr>
            </w:r>
            <w:r>
              <w:rPr>
                <w:bCs/>
                <w:iCs/>
                <w:sz w:val="20"/>
                <w:szCs w:val="20"/>
              </w:rPr>
            </w:r>
          </w:p>
          <w:p>
            <w:pPr>
              <w:pStyle w:val="1135"/>
              <w:jc w:val="center"/>
              <w:spacing w:before="40" w:after="40"/>
              <w:rPr>
                <w:bCs/>
                <w:iCs/>
                <w:sz w:val="20"/>
                <w:szCs w:val="20"/>
              </w:rPr>
            </w:pPr>
            <w:r>
              <w:rPr>
                <w:bCs/>
                <w:iCs/>
                <w:sz w:val="20"/>
                <w:szCs w:val="20"/>
              </w:rPr>
            </w:r>
            <w:r>
              <w:rPr>
                <w:bCs/>
                <w:iCs/>
                <w:sz w:val="20"/>
                <w:szCs w:val="20"/>
              </w:rPr>
            </w:r>
            <w:r>
              <w:rPr>
                <w:bCs/>
                <w:iCs/>
                <w:sz w:val="20"/>
                <w:szCs w:val="20"/>
              </w:rPr>
            </w:r>
          </w:p>
          <w:p>
            <w:pPr>
              <w:pStyle w:val="1135"/>
              <w:jc w:val="center"/>
              <w:spacing w:before="40" w:after="40"/>
              <w:rPr>
                <w:bCs/>
                <w:iCs/>
                <w:sz w:val="20"/>
                <w:szCs w:val="20"/>
              </w:rPr>
            </w:pPr>
            <w:r>
              <w:rPr>
                <w:bCs/>
                <w:iCs/>
                <w:sz w:val="20"/>
                <w:szCs w:val="20"/>
              </w:rPr>
            </w:r>
            <w:r>
              <w:rPr>
                <w:bCs/>
                <w:iCs/>
                <w:sz w:val="20"/>
                <w:szCs w:val="20"/>
              </w:rPr>
            </w:r>
            <w:r>
              <w:rPr>
                <w:bCs/>
                <w:iCs/>
                <w:sz w:val="20"/>
                <w:szCs w:val="20"/>
              </w:rPr>
            </w:r>
          </w:p>
          <w:p>
            <w:pPr>
              <w:pStyle w:val="1135"/>
              <w:jc w:val="center"/>
              <w:spacing w:before="40" w:after="40"/>
              <w:rPr>
                <w:sz w:val="20"/>
                <w:szCs w:val="20"/>
              </w:rPr>
            </w:pPr>
            <w:r>
              <w:rPr>
                <w:sz w:val="20"/>
                <w:szCs w:val="20"/>
              </w:rPr>
            </w:r>
            <w:r>
              <w:rPr>
                <w:sz w:val="20"/>
                <w:szCs w:val="20"/>
              </w:rPr>
            </w:r>
            <w:r>
              <w:rPr>
                <w:sz w:val="20"/>
                <w:szCs w:val="20"/>
              </w:rPr>
            </w:r>
          </w:p>
        </w:tc>
        <w:tc>
          <w:tcPr>
            <w:tcW w:w="2693" w:type="dxa"/>
            <w:vAlign w:val="top"/>
            <w:textDirection w:val="lrTb"/>
            <w:noWrap w:val="false"/>
          </w:tcPr>
          <w:p>
            <w:pPr>
              <w:pStyle w:val="1135"/>
              <w:ind w:left="-2" w:right="-18"/>
              <w:spacing w:before="40" w:after="40"/>
              <w:tabs>
                <w:tab w:val="left" w:pos="4464" w:leader="none"/>
                <w:tab w:val="left" w:pos="5760" w:leader="none"/>
              </w:tabs>
              <w:rPr>
                <w:sz w:val="20"/>
                <w:szCs w:val="20"/>
              </w:rPr>
            </w:pPr>
            <w:r>
              <w:rPr>
                <w:sz w:val="20"/>
                <w:szCs w:val="20"/>
              </w:rPr>
              <w:t xml:space="preserve">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95"/>
        </w:trPr>
        <w:tc>
          <w:tcPr>
            <w:gridSpan w:val="2"/>
            <w:tcW w:w="849" w:type="dxa"/>
            <w:vAlign w:val="top"/>
            <w:textDirection w:val="lrTb"/>
            <w:noWrap w:val="false"/>
          </w:tcPr>
          <w:p>
            <w:pPr>
              <w:pStyle w:val="1135"/>
              <w:jc w:val="center"/>
              <w:spacing w:before="40" w:after="40"/>
              <w:rPr>
                <w:bCs/>
                <w:sz w:val="20"/>
                <w:szCs w:val="20"/>
              </w:rPr>
            </w:pPr>
            <w:r>
              <w:rPr>
                <w:bCs/>
                <w:sz w:val="20"/>
                <w:szCs w:val="20"/>
              </w:rPr>
              <w:t xml:space="preserve">14.2.7.4.</w:t>
            </w:r>
            <w:r>
              <w:rPr>
                <w:bCs/>
                <w:sz w:val="20"/>
                <w:szCs w:val="20"/>
              </w:rPr>
            </w:r>
            <w:r>
              <w:rPr>
                <w:bCs/>
                <w:sz w:val="20"/>
                <w:szCs w:val="20"/>
              </w:rPr>
            </w:r>
          </w:p>
        </w:tc>
        <w:tc>
          <w:tcPr>
            <w:tcW w:w="3970" w:type="dxa"/>
            <w:vAlign w:val="top"/>
            <w:textDirection w:val="lrTb"/>
            <w:noWrap w:val="false"/>
          </w:tcPr>
          <w:p>
            <w:pPr>
              <w:pStyle w:val="1135"/>
              <w:jc w:val="both"/>
              <w:spacing w:before="40" w:after="40"/>
              <w:rPr>
                <w:bCs/>
                <w:sz w:val="20"/>
                <w:szCs w:val="20"/>
              </w:rPr>
            </w:pPr>
            <w:r>
              <w:rPr>
                <w:bCs/>
                <w:sz w:val="20"/>
                <w:szCs w:val="20"/>
              </w:rPr>
              <w:t xml:space="preserve">Депозитарный учет прав на инвестиционные паи паевых инвестиционных фондов выпущенных вне территории Российской Федерации</w:t>
            </w:r>
            <w:r>
              <w:rPr>
                <w:bCs/>
                <w:sz w:val="20"/>
                <w:szCs w:val="20"/>
              </w:rPr>
            </w:r>
            <w:r>
              <w:rPr>
                <w:bCs/>
                <w:sz w:val="20"/>
                <w:szCs w:val="20"/>
              </w:rPr>
            </w:r>
          </w:p>
        </w:tc>
        <w:tc>
          <w:tcPr>
            <w:gridSpan w:val="2"/>
            <w:tcW w:w="2836" w:type="dxa"/>
            <w:vAlign w:val="center"/>
            <w:textDirection w:val="lrTb"/>
            <w:noWrap w:val="false"/>
          </w:tcPr>
          <w:p>
            <w:pPr>
              <w:pStyle w:val="1135"/>
              <w:jc w:val="center"/>
              <w:spacing w:before="40" w:after="40"/>
              <w:rPr>
                <w:sz w:val="20"/>
                <w:szCs w:val="20"/>
              </w:rPr>
            </w:pPr>
            <w:r>
              <w:rPr>
                <w:sz w:val="20"/>
                <w:szCs w:val="20"/>
              </w:rPr>
              <w:t xml:space="preserve">10</w:t>
            </w:r>
            <w:r>
              <w:rPr>
                <w:sz w:val="20"/>
                <w:szCs w:val="20"/>
              </w:rPr>
              <w:t xml:space="preserve">0 руб</w:t>
            </w:r>
            <w:r>
              <w:rPr>
                <w:sz w:val="20"/>
                <w:szCs w:val="20"/>
              </w:rPr>
              <w:t xml:space="preserve">.</w:t>
            </w:r>
            <w:r>
              <w:rPr>
                <w:sz w:val="20"/>
                <w:szCs w:val="20"/>
              </w:rPr>
              <w:t xml:space="preserve"> в месяц</w:t>
            </w:r>
            <w:r>
              <w:rPr>
                <w:sz w:val="20"/>
                <w:szCs w:val="20"/>
              </w:rPr>
            </w:r>
            <w:r>
              <w:rPr>
                <w:sz w:val="20"/>
                <w:szCs w:val="20"/>
              </w:rPr>
            </w:r>
          </w:p>
          <w:p>
            <w:pPr>
              <w:pStyle w:val="1135"/>
              <w:jc w:val="center"/>
              <w:spacing w:before="40" w:after="40"/>
              <w:rPr>
                <w:sz w:val="20"/>
                <w:szCs w:val="20"/>
              </w:rPr>
            </w:pPr>
            <w:r>
              <w:rPr>
                <w:sz w:val="20"/>
                <w:szCs w:val="20"/>
              </w:rPr>
            </w:r>
            <w:r>
              <w:rPr>
                <w:sz w:val="20"/>
                <w:szCs w:val="20"/>
              </w:rPr>
            </w:r>
            <w:r>
              <w:rPr>
                <w:sz w:val="20"/>
                <w:szCs w:val="20"/>
              </w:rPr>
            </w:r>
          </w:p>
          <w:p>
            <w:pPr>
              <w:pStyle w:val="1135"/>
              <w:jc w:val="center"/>
              <w:spacing w:before="40" w:after="40"/>
              <w:rPr>
                <w:sz w:val="20"/>
                <w:szCs w:val="20"/>
              </w:rPr>
            </w:pPr>
            <w:r>
              <w:rPr>
                <w:sz w:val="20"/>
                <w:szCs w:val="20"/>
              </w:rPr>
            </w:r>
            <w:r>
              <w:rPr>
                <w:sz w:val="20"/>
                <w:szCs w:val="20"/>
              </w:rPr>
            </w:r>
            <w:r>
              <w:rPr>
                <w:sz w:val="20"/>
                <w:szCs w:val="20"/>
              </w:rPr>
            </w:r>
          </w:p>
        </w:tc>
        <w:tc>
          <w:tcPr>
            <w:tcW w:w="2693" w:type="dxa"/>
            <w:vAlign w:val="top"/>
            <w:textDirection w:val="lrTb"/>
            <w:noWrap w:val="false"/>
          </w:tcPr>
          <w:p>
            <w:pPr>
              <w:pStyle w:val="1135"/>
              <w:ind w:left="-2" w:right="-18"/>
              <w:spacing w:before="40" w:after="40"/>
              <w:tabs>
                <w:tab w:val="left" w:pos="4464" w:leader="none"/>
                <w:tab w:val="left" w:pos="5760" w:leader="none"/>
              </w:tabs>
              <w:rPr>
                <w:sz w:val="20"/>
                <w:szCs w:val="20"/>
              </w:rPr>
            </w:pPr>
            <w:r>
              <w:rPr>
                <w:sz w:val="20"/>
                <w:szCs w:val="20"/>
              </w:rPr>
              <w:t xml:space="preserve">В месяц за инвестиционные паи каждого инвестиционного фонда (вне зависимости от количества паев)</w:t>
            </w:r>
            <w:r>
              <w:rPr>
                <w:sz w:val="20"/>
                <w:szCs w:val="20"/>
              </w:rPr>
              <w:t xml:space="preserve">.</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200"/>
        </w:trPr>
        <w:tc>
          <w:tcPr>
            <w:gridSpan w:val="2"/>
            <w:tcW w:w="849" w:type="dxa"/>
            <w:vAlign w:val="top"/>
            <w:textDirection w:val="lrTb"/>
            <w:noWrap w:val="false"/>
          </w:tcPr>
          <w:p>
            <w:pPr>
              <w:pStyle w:val="1135"/>
              <w:jc w:val="center"/>
              <w:spacing w:before="40" w:after="40"/>
              <w:rPr>
                <w:bCs/>
                <w:sz w:val="20"/>
                <w:szCs w:val="20"/>
              </w:rPr>
            </w:pPr>
            <w:r>
              <w:rPr>
                <w:bCs/>
                <w:sz w:val="20"/>
                <w:szCs w:val="20"/>
              </w:rPr>
              <w:t xml:space="preserve">14.2.7.5.</w:t>
            </w:r>
            <w:r>
              <w:rPr>
                <w:bCs/>
                <w:sz w:val="20"/>
                <w:szCs w:val="20"/>
              </w:rPr>
            </w:r>
            <w:r>
              <w:rPr>
                <w:bCs/>
                <w:sz w:val="20"/>
                <w:szCs w:val="20"/>
              </w:rPr>
            </w:r>
          </w:p>
        </w:tc>
        <w:tc>
          <w:tcPr>
            <w:tcW w:w="3970" w:type="dxa"/>
            <w:vAlign w:val="top"/>
            <w:textDirection w:val="lrTb"/>
            <w:noWrap w:val="false"/>
          </w:tcPr>
          <w:p>
            <w:pPr>
              <w:pStyle w:val="1135"/>
              <w:jc w:val="both"/>
              <w:spacing w:before="40" w:after="40"/>
              <w:rPr>
                <w:bCs/>
                <w:sz w:val="20"/>
                <w:szCs w:val="20"/>
              </w:rPr>
            </w:pPr>
            <w:r>
              <w:rPr>
                <w:bCs/>
                <w:sz w:val="20"/>
                <w:szCs w:val="20"/>
              </w:rPr>
              <w:t xml:space="preserve">Депозитарный учет прав на инвестиционные паи паевых инвестиционных фондов выпущенных на территории Российской Федерации</w:t>
            </w:r>
            <w:r>
              <w:rPr>
                <w:bCs/>
                <w:sz w:val="20"/>
                <w:szCs w:val="20"/>
              </w:rPr>
            </w:r>
            <w:r>
              <w:rPr>
                <w:bCs/>
                <w:sz w:val="20"/>
                <w:szCs w:val="20"/>
              </w:rPr>
            </w:r>
          </w:p>
        </w:tc>
        <w:tc>
          <w:tcPr>
            <w:gridSpan w:val="2"/>
            <w:tcW w:w="2836" w:type="dxa"/>
            <w:vAlign w:val="center"/>
            <w:textDirection w:val="lrTb"/>
            <w:noWrap w:val="false"/>
          </w:tcPr>
          <w:p>
            <w:pPr>
              <w:pStyle w:val="1135"/>
              <w:spacing w:before="40" w:after="40"/>
              <w:rPr>
                <w:sz w:val="20"/>
                <w:szCs w:val="20"/>
              </w:rPr>
            </w:pPr>
            <w:r>
              <w:rPr>
                <w:sz w:val="20"/>
                <w:szCs w:val="20"/>
              </w:rPr>
            </w:r>
            <w:r>
              <w:rPr>
                <w:sz w:val="20"/>
                <w:szCs w:val="20"/>
              </w:rPr>
            </w:r>
            <w:r>
              <w:rPr>
                <w:sz w:val="20"/>
                <w:szCs w:val="20"/>
              </w:rPr>
            </w:r>
          </w:p>
          <w:p>
            <w:pPr>
              <w:pStyle w:val="1135"/>
              <w:jc w:val="center"/>
              <w:spacing w:before="40" w:after="40"/>
              <w:rPr>
                <w:sz w:val="20"/>
                <w:szCs w:val="20"/>
              </w:rPr>
            </w:pPr>
            <w:r>
              <w:rPr>
                <w:sz w:val="20"/>
                <w:szCs w:val="20"/>
              </w:rPr>
              <w:t xml:space="preserve">30 руб</w:t>
            </w:r>
            <w:r>
              <w:rPr>
                <w:sz w:val="20"/>
                <w:szCs w:val="20"/>
              </w:rPr>
              <w:t xml:space="preserve">.</w:t>
            </w:r>
            <w:r>
              <w:rPr>
                <w:sz w:val="20"/>
                <w:szCs w:val="20"/>
              </w:rPr>
              <w:t xml:space="preserve"> в месяц</w:t>
            </w:r>
            <w:r>
              <w:rPr>
                <w:sz w:val="20"/>
                <w:szCs w:val="20"/>
              </w:rPr>
            </w:r>
            <w:r>
              <w:rPr>
                <w:sz w:val="20"/>
                <w:szCs w:val="20"/>
              </w:rPr>
            </w:r>
          </w:p>
          <w:p>
            <w:pPr>
              <w:pStyle w:val="1135"/>
              <w:spacing w:before="40" w:after="40"/>
              <w:rPr>
                <w:sz w:val="20"/>
                <w:szCs w:val="20"/>
              </w:rPr>
            </w:pPr>
            <w:r>
              <w:rPr>
                <w:sz w:val="20"/>
                <w:szCs w:val="20"/>
              </w:rPr>
            </w:r>
            <w:r>
              <w:rPr>
                <w:sz w:val="20"/>
                <w:szCs w:val="20"/>
              </w:rPr>
            </w:r>
            <w:r>
              <w:rPr>
                <w:sz w:val="20"/>
                <w:szCs w:val="20"/>
              </w:rPr>
            </w:r>
          </w:p>
          <w:p>
            <w:pPr>
              <w:pStyle w:val="1135"/>
              <w:spacing w:before="40" w:after="40"/>
              <w:rPr>
                <w:sz w:val="20"/>
                <w:szCs w:val="20"/>
              </w:rPr>
            </w:pPr>
            <w:r>
              <w:rPr>
                <w:sz w:val="20"/>
                <w:szCs w:val="20"/>
              </w:rPr>
            </w:r>
            <w:r>
              <w:rPr>
                <w:sz w:val="20"/>
                <w:szCs w:val="20"/>
              </w:rPr>
            </w:r>
            <w:r>
              <w:rPr>
                <w:sz w:val="20"/>
                <w:szCs w:val="20"/>
              </w:rPr>
            </w:r>
          </w:p>
          <w:p>
            <w:pPr>
              <w:pStyle w:val="1135"/>
              <w:spacing w:before="40" w:after="40"/>
              <w:rPr>
                <w:sz w:val="20"/>
                <w:szCs w:val="20"/>
              </w:rPr>
            </w:pPr>
            <w:r>
              <w:rPr>
                <w:sz w:val="20"/>
                <w:szCs w:val="20"/>
              </w:rPr>
            </w:r>
            <w:r>
              <w:rPr>
                <w:sz w:val="20"/>
                <w:szCs w:val="20"/>
              </w:rPr>
            </w:r>
            <w:r>
              <w:rPr>
                <w:sz w:val="20"/>
                <w:szCs w:val="20"/>
              </w:rPr>
            </w:r>
          </w:p>
          <w:p>
            <w:pPr>
              <w:pStyle w:val="1135"/>
              <w:spacing w:before="40" w:after="40"/>
              <w:rPr>
                <w:sz w:val="20"/>
                <w:szCs w:val="20"/>
              </w:rPr>
            </w:pPr>
            <w:r>
              <w:rPr>
                <w:sz w:val="20"/>
                <w:szCs w:val="20"/>
              </w:rPr>
            </w:r>
            <w:r>
              <w:rPr>
                <w:sz w:val="20"/>
                <w:szCs w:val="20"/>
              </w:rPr>
            </w:r>
            <w:r>
              <w:rPr>
                <w:sz w:val="20"/>
                <w:szCs w:val="20"/>
              </w:rPr>
            </w:r>
          </w:p>
        </w:tc>
        <w:tc>
          <w:tcPr>
            <w:tcW w:w="2693" w:type="dxa"/>
            <w:vAlign w:val="top"/>
            <w:textDirection w:val="lrTb"/>
            <w:noWrap w:val="false"/>
          </w:tcPr>
          <w:p>
            <w:pPr>
              <w:pStyle w:val="1135"/>
              <w:ind w:left="-2" w:right="-18"/>
              <w:spacing w:before="40" w:after="40"/>
              <w:tabs>
                <w:tab w:val="left" w:pos="4464" w:leader="none"/>
                <w:tab w:val="left" w:pos="5760" w:leader="none"/>
              </w:tabs>
              <w:rPr>
                <w:sz w:val="20"/>
                <w:szCs w:val="20"/>
              </w:rPr>
            </w:pPr>
            <w:r>
              <w:rPr>
                <w:sz w:val="20"/>
                <w:szCs w:val="20"/>
              </w:rPr>
              <w:t xml:space="preserve">В месяц за инвестиционные паи каждого инвестиционного фонда (вне зависимости </w:t>
            </w:r>
            <w:r>
              <w:rPr>
                <w:sz w:val="20"/>
                <w:szCs w:val="20"/>
              </w:rPr>
              <w:br w:type="textWrapping" w:clear="all"/>
            </w:r>
            <w:r>
              <w:rPr>
                <w:sz w:val="20"/>
                <w:szCs w:val="20"/>
              </w:rPr>
              <w:t xml:space="preserve">от количества паев)</w:t>
            </w:r>
            <w:r>
              <w:rPr>
                <w:sz w:val="20"/>
                <w:szCs w:val="20"/>
              </w:rPr>
            </w:r>
            <w:r>
              <w:rPr>
                <w:sz w:val="20"/>
                <w:szCs w:val="20"/>
              </w:rPr>
            </w:r>
          </w:p>
          <w:p>
            <w:pPr>
              <w:pStyle w:val="1135"/>
              <w:ind w:left="-2" w:right="-18"/>
              <w:spacing w:before="40" w:after="40"/>
              <w:tabs>
                <w:tab w:val="left" w:pos="4464" w:leader="none"/>
                <w:tab w:val="left" w:pos="5760"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2"/>
            <w:tcBorders>
              <w:top w:val="single" w:color="000000" w:sz="4" w:space="0"/>
              <w:left w:val="single" w:color="000000" w:sz="4" w:space="0"/>
              <w:bottom w:val="single" w:color="000000" w:sz="4" w:space="0"/>
              <w:right w:val="single" w:color="000000" w:sz="4" w:space="0"/>
            </w:tcBorders>
            <w:tcW w:w="849" w:type="dxa"/>
            <w:vAlign w:val="top"/>
            <w:textDirection w:val="lrTb"/>
            <w:noWrap w:val="false"/>
          </w:tcPr>
          <w:p>
            <w:pPr>
              <w:pStyle w:val="1135"/>
              <w:jc w:val="center"/>
              <w:rPr>
                <w:sz w:val="20"/>
                <w:szCs w:val="20"/>
              </w:rPr>
            </w:pPr>
            <w:r>
              <w:rPr>
                <w:sz w:val="20"/>
                <w:szCs w:val="20"/>
              </w:rPr>
              <w:t xml:space="preserve">14.3.</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70" w:type="dxa"/>
            <w:vAlign w:val="top"/>
            <w:textDirection w:val="lrTb"/>
            <w:noWrap w:val="false"/>
          </w:tcPr>
          <w:p>
            <w:pPr>
              <w:pStyle w:val="1135"/>
              <w:rPr>
                <w:sz w:val="20"/>
                <w:szCs w:val="20"/>
              </w:rPr>
            </w:pPr>
            <w:r>
              <w:rPr>
                <w:sz w:val="20"/>
                <w:szCs w:val="20"/>
              </w:rPr>
              <w:t xml:space="preserve">Прием/выдача сертификатов ценных бумаг на/с хранение(я)</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836" w:type="dxa"/>
            <w:vAlign w:val="top"/>
            <w:textDirection w:val="lrTb"/>
            <w:noWrap w:val="false"/>
          </w:tcPr>
          <w:p>
            <w:pPr>
              <w:pStyle w:val="1135"/>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113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2"/>
            <w:tcBorders>
              <w:top w:val="single" w:color="000000" w:sz="4" w:space="0"/>
              <w:left w:val="single" w:color="000000" w:sz="4" w:space="0"/>
              <w:bottom w:val="single" w:color="000000" w:sz="4" w:space="0"/>
              <w:right w:val="single" w:color="000000" w:sz="4" w:space="0"/>
            </w:tcBorders>
            <w:tcW w:w="849" w:type="dxa"/>
            <w:vAlign w:val="top"/>
            <w:textDirection w:val="lrTb"/>
            <w:noWrap w:val="false"/>
          </w:tcPr>
          <w:p>
            <w:pPr>
              <w:pStyle w:val="1135"/>
              <w:jc w:val="center"/>
              <w:rPr>
                <w:rFonts w:eastAsia="Arial Unicode MS"/>
                <w:sz w:val="20"/>
                <w:szCs w:val="20"/>
              </w:rPr>
            </w:pPr>
            <w:r>
              <w:rPr>
                <w:sz w:val="20"/>
                <w:szCs w:val="20"/>
              </w:rPr>
              <w:t xml:space="preserve">14.3.1.</w:t>
            </w:r>
            <w:r>
              <w:rPr>
                <w:rFonts w:eastAsia="Arial Unicode MS"/>
                <w:sz w:val="20"/>
                <w:szCs w:val="20"/>
              </w:rPr>
            </w:r>
            <w:r>
              <w:rPr>
                <w:rFonts w:eastAsia="Arial Unicode MS"/>
                <w:sz w:val="20"/>
                <w:szCs w:val="20"/>
              </w:rPr>
            </w:r>
          </w:p>
        </w:tc>
        <w:tc>
          <w:tcPr>
            <w:tcBorders>
              <w:top w:val="single" w:color="000000" w:sz="4" w:space="0"/>
              <w:left w:val="single" w:color="000000" w:sz="4" w:space="0"/>
              <w:bottom w:val="single" w:color="000000" w:sz="4" w:space="0"/>
              <w:right w:val="single" w:color="000000" w:sz="4" w:space="0"/>
            </w:tcBorders>
            <w:tcW w:w="3970" w:type="dxa"/>
            <w:vAlign w:val="top"/>
            <w:textDirection w:val="lrTb"/>
            <w:noWrap w:val="false"/>
          </w:tcPr>
          <w:p>
            <w:pPr>
              <w:pStyle w:val="1135"/>
              <w:rPr>
                <w:sz w:val="20"/>
                <w:szCs w:val="20"/>
              </w:rPr>
            </w:pPr>
            <w:r>
              <w:rPr>
                <w:sz w:val="20"/>
                <w:szCs w:val="20"/>
              </w:rPr>
              <w:t xml:space="preserve">Прием сертификатов эмисcионных ценных бумаг</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836" w:type="dxa"/>
            <w:vAlign w:val="top"/>
            <w:textDirection w:val="lrTb"/>
            <w:noWrap w:val="false"/>
          </w:tcPr>
          <w:p>
            <w:pPr>
              <w:pStyle w:val="1135"/>
              <w:jc w:val="center"/>
              <w:rPr>
                <w:sz w:val="20"/>
                <w:szCs w:val="20"/>
              </w:rPr>
            </w:pPr>
            <w:r>
              <w:rPr>
                <w:sz w:val="20"/>
                <w:szCs w:val="20"/>
              </w:rPr>
              <w:t xml:space="preserve">30 руб.</w:t>
            </w:r>
            <w:r>
              <w:rPr>
                <w:sz w:val="20"/>
                <w:szCs w:val="20"/>
              </w:rPr>
            </w:r>
            <w:r>
              <w:rPr>
                <w:sz w:val="20"/>
                <w:szCs w:val="20"/>
              </w:rPr>
            </w:r>
          </w:p>
          <w:p>
            <w:pPr>
              <w:pStyle w:val="1135"/>
              <w:jc w:val="center"/>
              <w:rPr>
                <w:sz w:val="20"/>
                <w:szCs w:val="20"/>
              </w:rPr>
            </w:pPr>
            <w:r>
              <w:rPr>
                <w:sz w:val="20"/>
                <w:szCs w:val="20"/>
              </w:rPr>
              <w:t xml:space="preserve">за каждый лист</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113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2"/>
            <w:tcBorders>
              <w:top w:val="single" w:color="000000" w:sz="4" w:space="0"/>
              <w:left w:val="single" w:color="000000" w:sz="4" w:space="0"/>
              <w:bottom w:val="single" w:color="000000" w:sz="4" w:space="0"/>
              <w:right w:val="single" w:color="000000" w:sz="4" w:space="0"/>
            </w:tcBorders>
            <w:tcW w:w="849" w:type="dxa"/>
            <w:vAlign w:val="top"/>
            <w:textDirection w:val="lrTb"/>
            <w:noWrap w:val="false"/>
          </w:tcPr>
          <w:p>
            <w:pPr>
              <w:pStyle w:val="1135"/>
              <w:jc w:val="center"/>
              <w:rPr>
                <w:rFonts w:eastAsia="Arial Unicode MS"/>
                <w:sz w:val="20"/>
                <w:szCs w:val="20"/>
              </w:rPr>
            </w:pPr>
            <w:r>
              <w:rPr>
                <w:sz w:val="20"/>
                <w:szCs w:val="20"/>
              </w:rPr>
              <w:t xml:space="preserve">14.3.2.</w:t>
            </w:r>
            <w:r>
              <w:rPr>
                <w:rFonts w:eastAsia="Arial Unicode MS"/>
                <w:sz w:val="20"/>
                <w:szCs w:val="20"/>
              </w:rPr>
            </w:r>
            <w:r>
              <w:rPr>
                <w:rFonts w:eastAsia="Arial Unicode MS"/>
                <w:sz w:val="20"/>
                <w:szCs w:val="20"/>
              </w:rPr>
            </w:r>
          </w:p>
        </w:tc>
        <w:tc>
          <w:tcPr>
            <w:tcBorders>
              <w:top w:val="single" w:color="000000" w:sz="4" w:space="0"/>
              <w:left w:val="single" w:color="000000" w:sz="4" w:space="0"/>
              <w:bottom w:val="single" w:color="000000" w:sz="4" w:space="0"/>
              <w:right w:val="single" w:color="000000" w:sz="4" w:space="0"/>
            </w:tcBorders>
            <w:tcW w:w="3970" w:type="dxa"/>
            <w:vAlign w:val="top"/>
            <w:textDirection w:val="lrTb"/>
            <w:noWrap w:val="false"/>
          </w:tcPr>
          <w:p>
            <w:pPr>
              <w:pStyle w:val="1135"/>
              <w:rPr>
                <w:sz w:val="20"/>
                <w:szCs w:val="20"/>
              </w:rPr>
            </w:pPr>
            <w:r>
              <w:rPr>
                <w:sz w:val="20"/>
                <w:szCs w:val="20"/>
              </w:rPr>
              <w:t xml:space="preserve">Выдача сертификатов эмиссионных ценных бумаг</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836" w:type="dxa"/>
            <w:vAlign w:val="top"/>
            <w:textDirection w:val="lrTb"/>
            <w:noWrap w:val="false"/>
          </w:tcPr>
          <w:p>
            <w:pPr>
              <w:pStyle w:val="1135"/>
              <w:jc w:val="center"/>
              <w:rPr>
                <w:sz w:val="20"/>
                <w:szCs w:val="20"/>
              </w:rPr>
            </w:pPr>
            <w:r>
              <w:rPr>
                <w:sz w:val="20"/>
                <w:szCs w:val="20"/>
              </w:rPr>
              <w:t xml:space="preserve">10 руб.</w:t>
            </w:r>
            <w:r>
              <w:rPr>
                <w:sz w:val="20"/>
                <w:szCs w:val="20"/>
              </w:rPr>
            </w:r>
            <w:r>
              <w:rPr>
                <w:sz w:val="20"/>
                <w:szCs w:val="20"/>
              </w:rPr>
            </w:r>
          </w:p>
          <w:p>
            <w:pPr>
              <w:pStyle w:val="1135"/>
              <w:jc w:val="center"/>
              <w:rPr>
                <w:sz w:val="20"/>
                <w:szCs w:val="20"/>
              </w:rPr>
            </w:pPr>
            <w:r>
              <w:rPr>
                <w:sz w:val="20"/>
                <w:szCs w:val="20"/>
              </w:rPr>
              <w:t xml:space="preserve">за каждый лист, минимум 300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113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2"/>
            <w:tcBorders>
              <w:top w:val="single" w:color="000000" w:sz="4" w:space="0"/>
              <w:left w:val="single" w:color="000000" w:sz="4" w:space="0"/>
              <w:bottom w:val="single" w:color="000000" w:sz="4" w:space="0"/>
              <w:right w:val="single" w:color="000000" w:sz="4" w:space="0"/>
            </w:tcBorders>
            <w:tcW w:w="849" w:type="dxa"/>
            <w:vAlign w:val="top"/>
            <w:textDirection w:val="lrTb"/>
            <w:noWrap w:val="false"/>
          </w:tcPr>
          <w:p>
            <w:pPr>
              <w:pStyle w:val="1135"/>
              <w:jc w:val="center"/>
              <w:rPr>
                <w:rFonts w:eastAsia="Arial Unicode MS"/>
                <w:sz w:val="20"/>
                <w:szCs w:val="20"/>
              </w:rPr>
            </w:pPr>
            <w:r>
              <w:rPr>
                <w:sz w:val="20"/>
                <w:szCs w:val="20"/>
              </w:rPr>
              <w:t xml:space="preserve">14.3.3.</w:t>
            </w:r>
            <w:r>
              <w:rPr>
                <w:rFonts w:eastAsia="Arial Unicode MS"/>
                <w:sz w:val="20"/>
                <w:szCs w:val="20"/>
              </w:rPr>
            </w:r>
            <w:r>
              <w:rPr>
                <w:rFonts w:eastAsia="Arial Unicode MS"/>
                <w:sz w:val="20"/>
                <w:szCs w:val="20"/>
              </w:rPr>
            </w:r>
          </w:p>
        </w:tc>
        <w:tc>
          <w:tcPr>
            <w:tcBorders>
              <w:top w:val="single" w:color="000000" w:sz="4" w:space="0"/>
              <w:left w:val="single" w:color="000000" w:sz="4" w:space="0"/>
              <w:bottom w:val="single" w:color="000000" w:sz="4" w:space="0"/>
              <w:right w:val="single" w:color="000000" w:sz="4" w:space="0"/>
            </w:tcBorders>
            <w:tcW w:w="3970" w:type="dxa"/>
            <w:vAlign w:val="top"/>
            <w:textDirection w:val="lrTb"/>
            <w:noWrap w:val="false"/>
          </w:tcPr>
          <w:p>
            <w:pPr>
              <w:pStyle w:val="1135"/>
              <w:rPr>
                <w:sz w:val="20"/>
                <w:szCs w:val="20"/>
              </w:rPr>
            </w:pPr>
            <w:r>
              <w:rPr>
                <w:sz w:val="20"/>
                <w:szCs w:val="20"/>
              </w:rPr>
              <w:t xml:space="preserve">Прием неэмиссионных ценных бумаг с обязательной проверкой у эмитента</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836" w:type="dxa"/>
            <w:vAlign w:val="top"/>
            <w:textDirection w:val="lrTb"/>
            <w:noWrap w:val="false"/>
          </w:tcPr>
          <w:p>
            <w:pPr>
              <w:pStyle w:val="1135"/>
              <w:jc w:val="center"/>
              <w:rPr>
                <w:sz w:val="20"/>
                <w:szCs w:val="20"/>
              </w:rPr>
            </w:pPr>
            <w:r>
              <w:rPr>
                <w:sz w:val="20"/>
                <w:szCs w:val="20"/>
              </w:rPr>
              <w:t xml:space="preserve">30 руб.</w:t>
            </w:r>
            <w:r>
              <w:rPr>
                <w:sz w:val="20"/>
                <w:szCs w:val="20"/>
              </w:rPr>
            </w:r>
            <w:r>
              <w:rPr>
                <w:sz w:val="20"/>
                <w:szCs w:val="20"/>
              </w:rPr>
            </w:r>
          </w:p>
          <w:p>
            <w:pPr>
              <w:pStyle w:val="1135"/>
              <w:jc w:val="center"/>
              <w:rPr>
                <w:sz w:val="20"/>
                <w:szCs w:val="20"/>
              </w:rPr>
            </w:pPr>
            <w:r>
              <w:rPr>
                <w:sz w:val="20"/>
                <w:szCs w:val="20"/>
              </w:rPr>
              <w:t xml:space="preserve">за каждый лист</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113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2"/>
            <w:tcBorders>
              <w:top w:val="single" w:color="000000" w:sz="4" w:space="0"/>
              <w:left w:val="single" w:color="000000" w:sz="4" w:space="0"/>
              <w:bottom w:val="single" w:color="000000" w:sz="4" w:space="0"/>
              <w:right w:val="single" w:color="000000" w:sz="4" w:space="0"/>
            </w:tcBorders>
            <w:tcW w:w="849" w:type="dxa"/>
            <w:vAlign w:val="top"/>
            <w:textDirection w:val="lrTb"/>
            <w:noWrap w:val="false"/>
          </w:tcPr>
          <w:p>
            <w:pPr>
              <w:pStyle w:val="1135"/>
              <w:jc w:val="center"/>
              <w:rPr>
                <w:rFonts w:eastAsia="Arial Unicode MS"/>
                <w:sz w:val="20"/>
                <w:szCs w:val="20"/>
              </w:rPr>
            </w:pPr>
            <w:r>
              <w:rPr>
                <w:sz w:val="20"/>
                <w:szCs w:val="20"/>
              </w:rPr>
              <w:t xml:space="preserve">14.3.4.</w:t>
            </w:r>
            <w:r>
              <w:rPr>
                <w:rFonts w:eastAsia="Arial Unicode MS"/>
                <w:sz w:val="20"/>
                <w:szCs w:val="20"/>
              </w:rPr>
            </w:r>
            <w:r>
              <w:rPr>
                <w:rFonts w:eastAsia="Arial Unicode MS"/>
                <w:sz w:val="20"/>
                <w:szCs w:val="20"/>
              </w:rPr>
            </w:r>
          </w:p>
        </w:tc>
        <w:tc>
          <w:tcPr>
            <w:tcBorders>
              <w:top w:val="single" w:color="000000" w:sz="4" w:space="0"/>
              <w:left w:val="single" w:color="000000" w:sz="4" w:space="0"/>
              <w:bottom w:val="single" w:color="000000" w:sz="4" w:space="0"/>
              <w:right w:val="single" w:color="000000" w:sz="4" w:space="0"/>
            </w:tcBorders>
            <w:tcW w:w="3970" w:type="dxa"/>
            <w:vAlign w:val="top"/>
            <w:textDirection w:val="lrTb"/>
            <w:noWrap w:val="false"/>
          </w:tcPr>
          <w:p>
            <w:pPr>
              <w:pStyle w:val="1135"/>
              <w:rPr>
                <w:sz w:val="20"/>
                <w:szCs w:val="20"/>
              </w:rPr>
            </w:pPr>
            <w:r>
              <w:rPr>
                <w:sz w:val="20"/>
                <w:szCs w:val="20"/>
              </w:rPr>
              <w:t xml:space="preserve">Выдача неэмиссионных ценных бумаг</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836" w:type="dxa"/>
            <w:vAlign w:val="top"/>
            <w:textDirection w:val="lrTb"/>
            <w:noWrap w:val="false"/>
          </w:tcPr>
          <w:p>
            <w:pPr>
              <w:pStyle w:val="1135"/>
              <w:jc w:val="center"/>
              <w:rPr>
                <w:sz w:val="20"/>
                <w:szCs w:val="20"/>
              </w:rPr>
            </w:pPr>
            <w:r>
              <w:rPr>
                <w:sz w:val="20"/>
                <w:szCs w:val="20"/>
              </w:rPr>
              <w:t xml:space="preserve">10 руб.</w:t>
            </w:r>
            <w:r>
              <w:rPr>
                <w:sz w:val="20"/>
                <w:szCs w:val="20"/>
              </w:rPr>
            </w:r>
            <w:r>
              <w:rPr>
                <w:sz w:val="20"/>
                <w:szCs w:val="20"/>
              </w:rPr>
            </w:r>
          </w:p>
          <w:p>
            <w:pPr>
              <w:pStyle w:val="1135"/>
              <w:jc w:val="center"/>
              <w:rPr>
                <w:sz w:val="20"/>
                <w:szCs w:val="20"/>
              </w:rPr>
            </w:pPr>
            <w:r>
              <w:rPr>
                <w:sz w:val="20"/>
                <w:szCs w:val="20"/>
              </w:rPr>
              <w:t xml:space="preserve">за каждый лист, минимум 300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113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2"/>
            <w:tcBorders>
              <w:top w:val="single" w:color="000000" w:sz="4" w:space="0"/>
              <w:left w:val="single" w:color="000000" w:sz="4" w:space="0"/>
              <w:bottom w:val="single" w:color="000000" w:sz="4" w:space="0"/>
              <w:right w:val="single" w:color="000000" w:sz="4" w:space="0"/>
            </w:tcBorders>
            <w:tcW w:w="849" w:type="dxa"/>
            <w:vAlign w:val="top"/>
            <w:textDirection w:val="lrTb"/>
            <w:noWrap w:val="false"/>
          </w:tcPr>
          <w:p>
            <w:pPr>
              <w:pStyle w:val="1135"/>
              <w:jc w:val="center"/>
              <w:rPr>
                <w:sz w:val="20"/>
                <w:szCs w:val="20"/>
              </w:rPr>
            </w:pPr>
            <w:r>
              <w:rPr>
                <w:sz w:val="20"/>
                <w:szCs w:val="20"/>
              </w:rPr>
              <w:t xml:space="preserve">14.4.</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70" w:type="dxa"/>
            <w:vAlign w:val="top"/>
            <w:textDirection w:val="lrTb"/>
            <w:noWrap w:val="false"/>
          </w:tcPr>
          <w:p>
            <w:pPr>
              <w:pStyle w:val="1135"/>
              <w:rPr>
                <w:sz w:val="20"/>
                <w:szCs w:val="20"/>
              </w:rPr>
            </w:pPr>
            <w:r>
              <w:rPr>
                <w:sz w:val="20"/>
                <w:szCs w:val="20"/>
              </w:rPr>
              <w:t xml:space="preserve">Переводы ценных бумаг и иностранных финансовых инструментов по счетам депо</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836" w:type="dxa"/>
            <w:vAlign w:val="top"/>
            <w:textDirection w:val="lrTb"/>
            <w:noWrap w:val="false"/>
          </w:tcPr>
          <w:p>
            <w:pPr>
              <w:pStyle w:val="1135"/>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113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2"/>
            <w:tcBorders>
              <w:top w:val="single" w:color="000000" w:sz="4" w:space="0"/>
              <w:left w:val="single" w:color="000000" w:sz="4" w:space="0"/>
              <w:bottom w:val="single" w:color="000000" w:sz="4" w:space="0"/>
              <w:right w:val="single" w:color="000000" w:sz="4" w:space="0"/>
            </w:tcBorders>
            <w:tcW w:w="849" w:type="dxa"/>
            <w:vAlign w:val="top"/>
            <w:textDirection w:val="lrTb"/>
            <w:noWrap w:val="false"/>
          </w:tcPr>
          <w:p>
            <w:pPr>
              <w:pStyle w:val="1135"/>
              <w:jc w:val="center"/>
              <w:rPr>
                <w:rFonts w:eastAsia="Arial Unicode MS"/>
                <w:sz w:val="20"/>
                <w:szCs w:val="20"/>
              </w:rPr>
            </w:pPr>
            <w:r>
              <w:rPr>
                <w:sz w:val="20"/>
                <w:szCs w:val="20"/>
              </w:rPr>
              <w:t xml:space="preserve">14.4.1.</w:t>
            </w:r>
            <w:r>
              <w:rPr>
                <w:rFonts w:eastAsia="Arial Unicode MS"/>
                <w:sz w:val="20"/>
                <w:szCs w:val="20"/>
              </w:rPr>
            </w:r>
            <w:r>
              <w:rPr>
                <w:rFonts w:eastAsia="Arial Unicode MS"/>
                <w:sz w:val="20"/>
                <w:szCs w:val="20"/>
              </w:rPr>
            </w:r>
          </w:p>
        </w:tc>
        <w:tc>
          <w:tcPr>
            <w:tcBorders>
              <w:top w:val="single" w:color="000000" w:sz="4" w:space="0"/>
              <w:left w:val="single" w:color="000000" w:sz="4" w:space="0"/>
              <w:bottom w:val="single" w:color="000000" w:sz="4" w:space="0"/>
              <w:right w:val="single" w:color="000000" w:sz="4" w:space="0"/>
            </w:tcBorders>
            <w:tcW w:w="3970" w:type="dxa"/>
            <w:vAlign w:val="top"/>
            <w:textDirection w:val="lrTb"/>
            <w:noWrap w:val="false"/>
          </w:tcPr>
          <w:p>
            <w:pPr>
              <w:pStyle w:val="1135"/>
              <w:rPr>
                <w:sz w:val="20"/>
                <w:szCs w:val="20"/>
              </w:rPr>
            </w:pPr>
            <w:r>
              <w:rPr>
                <w:sz w:val="20"/>
                <w:szCs w:val="20"/>
              </w:rPr>
              <w:t xml:space="preserve">Перевод «поставка/получение, свободная от платежа»</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836" w:type="dxa"/>
            <w:vAlign w:val="top"/>
            <w:textDirection w:val="lrTb"/>
            <w:noWrap w:val="false"/>
          </w:tcPr>
          <w:p>
            <w:pPr>
              <w:pStyle w:val="1135"/>
              <w:jc w:val="center"/>
              <w:rPr>
                <w:sz w:val="20"/>
                <w:szCs w:val="20"/>
              </w:rPr>
            </w:pPr>
            <w:r>
              <w:rPr>
                <w:sz w:val="20"/>
                <w:szCs w:val="20"/>
              </w:rPr>
              <w:t xml:space="preserve">6</w:t>
            </w:r>
            <w:r>
              <w:rPr>
                <w:sz w:val="20"/>
                <w:szCs w:val="20"/>
              </w:rPr>
              <w:t xml:space="preserve">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113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2"/>
            <w:tcBorders>
              <w:top w:val="single" w:color="000000" w:sz="4" w:space="0"/>
              <w:left w:val="single" w:color="000000" w:sz="4" w:space="0"/>
              <w:bottom w:val="single" w:color="000000" w:sz="4" w:space="0"/>
              <w:right w:val="single" w:color="000000" w:sz="4" w:space="0"/>
            </w:tcBorders>
            <w:tcW w:w="849" w:type="dxa"/>
            <w:vAlign w:val="top"/>
            <w:textDirection w:val="lrTb"/>
            <w:noWrap w:val="false"/>
          </w:tcPr>
          <w:p>
            <w:pPr>
              <w:pStyle w:val="1135"/>
              <w:jc w:val="center"/>
              <w:rPr>
                <w:rFonts w:eastAsia="Arial Unicode MS"/>
                <w:sz w:val="20"/>
                <w:szCs w:val="20"/>
              </w:rPr>
            </w:pPr>
            <w:r>
              <w:rPr>
                <w:sz w:val="20"/>
                <w:szCs w:val="20"/>
              </w:rPr>
              <w:t xml:space="preserve">14.4.2.</w:t>
            </w:r>
            <w:r>
              <w:rPr>
                <w:rFonts w:eastAsia="Arial Unicode MS"/>
                <w:sz w:val="20"/>
                <w:szCs w:val="20"/>
              </w:rPr>
            </w:r>
            <w:r>
              <w:rPr>
                <w:rFonts w:eastAsia="Arial Unicode MS"/>
                <w:sz w:val="20"/>
                <w:szCs w:val="20"/>
              </w:rPr>
            </w:r>
          </w:p>
        </w:tc>
        <w:tc>
          <w:tcPr>
            <w:tcBorders>
              <w:top w:val="single" w:color="000000" w:sz="4" w:space="0"/>
              <w:left w:val="single" w:color="000000" w:sz="4" w:space="0"/>
              <w:bottom w:val="single" w:color="000000" w:sz="4" w:space="0"/>
              <w:right w:val="single" w:color="000000" w:sz="4" w:space="0"/>
            </w:tcBorders>
            <w:tcW w:w="3970" w:type="dxa"/>
            <w:vAlign w:val="top"/>
            <w:textDirection w:val="lrTb"/>
            <w:noWrap w:val="false"/>
          </w:tcPr>
          <w:p>
            <w:pPr>
              <w:pStyle w:val="1135"/>
              <w:rPr>
                <w:sz w:val="20"/>
                <w:szCs w:val="20"/>
              </w:rPr>
            </w:pPr>
            <w:r>
              <w:rPr>
                <w:sz w:val="20"/>
                <w:szCs w:val="20"/>
              </w:rPr>
              <w:t xml:space="preserve">Перевод «поставка/получение против платежа»</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836" w:type="dxa"/>
            <w:vAlign w:val="top"/>
            <w:textDirection w:val="lrTb"/>
            <w:noWrap w:val="false"/>
          </w:tcPr>
          <w:p>
            <w:pPr>
              <w:pStyle w:val="1135"/>
              <w:jc w:val="center"/>
              <w:rPr>
                <w:sz w:val="20"/>
                <w:szCs w:val="20"/>
              </w:rPr>
            </w:pPr>
            <w:r>
              <w:rPr>
                <w:sz w:val="20"/>
                <w:szCs w:val="20"/>
              </w:rPr>
              <w:t xml:space="preserve">7</w:t>
            </w:r>
            <w:r>
              <w:rPr>
                <w:sz w:val="20"/>
                <w:szCs w:val="20"/>
              </w:rPr>
              <w:t xml:space="preserve">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113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2"/>
            <w:tcBorders>
              <w:top w:val="single" w:color="000000" w:sz="4" w:space="0"/>
              <w:left w:val="single" w:color="000000" w:sz="4" w:space="0"/>
              <w:bottom w:val="single" w:color="000000" w:sz="4" w:space="0"/>
              <w:right w:val="single" w:color="000000" w:sz="4" w:space="0"/>
            </w:tcBorders>
            <w:tcW w:w="849" w:type="dxa"/>
            <w:vAlign w:val="top"/>
            <w:textDirection w:val="lrTb"/>
            <w:noWrap w:val="false"/>
          </w:tcPr>
          <w:p>
            <w:pPr>
              <w:pStyle w:val="1135"/>
              <w:jc w:val="center"/>
              <w:rPr>
                <w:rFonts w:eastAsia="Arial Unicode MS"/>
                <w:sz w:val="20"/>
                <w:szCs w:val="20"/>
              </w:rPr>
            </w:pPr>
            <w:r>
              <w:rPr>
                <w:sz w:val="20"/>
                <w:szCs w:val="20"/>
              </w:rPr>
              <w:t xml:space="preserve">14.4.3.</w:t>
            </w:r>
            <w:r>
              <w:rPr>
                <w:rFonts w:eastAsia="Arial Unicode MS"/>
                <w:sz w:val="20"/>
                <w:szCs w:val="20"/>
              </w:rPr>
            </w:r>
            <w:r>
              <w:rPr>
                <w:rFonts w:eastAsia="Arial Unicode MS"/>
                <w:sz w:val="20"/>
                <w:szCs w:val="20"/>
              </w:rPr>
            </w:r>
          </w:p>
        </w:tc>
        <w:tc>
          <w:tcPr>
            <w:tcBorders>
              <w:top w:val="single" w:color="000000" w:sz="4" w:space="0"/>
              <w:left w:val="single" w:color="000000" w:sz="4" w:space="0"/>
              <w:bottom w:val="single" w:color="000000" w:sz="4" w:space="0"/>
              <w:right w:val="single" w:color="000000" w:sz="4" w:space="0"/>
            </w:tcBorders>
            <w:tcW w:w="3970" w:type="dxa"/>
            <w:vAlign w:val="top"/>
            <w:textDirection w:val="lrTb"/>
            <w:noWrap w:val="false"/>
          </w:tcPr>
          <w:p>
            <w:pPr>
              <w:pStyle w:val="1135"/>
              <w:rPr>
                <w:sz w:val="20"/>
                <w:szCs w:val="20"/>
              </w:rPr>
            </w:pPr>
            <w:r>
              <w:rPr>
                <w:bCs/>
                <w:sz w:val="20"/>
                <w:szCs w:val="20"/>
              </w:rPr>
              <w:t xml:space="preserve">Зачисление ценных бумаг на счета АО «Россельхозбанк» в реестрах/на междепозитарные счета АО «Россельхозбанк» в других депозитариях</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836" w:type="dxa"/>
            <w:vAlign w:val="top"/>
            <w:textDirection w:val="lrTb"/>
            <w:noWrap w:val="false"/>
          </w:tcPr>
          <w:p>
            <w:pPr>
              <w:pStyle w:val="1135"/>
              <w:jc w:val="center"/>
              <w:rPr>
                <w:rFonts w:eastAsia="Arial Unicode MS"/>
                <w:sz w:val="20"/>
                <w:szCs w:val="20"/>
              </w:rPr>
            </w:pPr>
            <w:r>
              <w:rPr>
                <w:sz w:val="20"/>
                <w:szCs w:val="20"/>
              </w:rPr>
              <w:t xml:space="preserve">Не взимается </w:t>
            </w:r>
            <w:r>
              <w:rPr>
                <w:rFonts w:eastAsia="Arial Unicode MS"/>
                <w:sz w:val="20"/>
                <w:szCs w:val="20"/>
              </w:rPr>
            </w:r>
            <w:r>
              <w:rPr>
                <w:rFonts w:eastAsia="Arial Unicode MS"/>
                <w:sz w:val="20"/>
                <w:szCs w:val="20"/>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113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2"/>
            <w:tcBorders>
              <w:top w:val="single" w:color="000000" w:sz="4" w:space="0"/>
              <w:left w:val="single" w:color="000000" w:sz="4" w:space="0"/>
              <w:bottom w:val="single" w:color="000000" w:sz="4" w:space="0"/>
              <w:right w:val="single" w:color="000000" w:sz="4" w:space="0"/>
            </w:tcBorders>
            <w:tcW w:w="849" w:type="dxa"/>
            <w:vAlign w:val="top"/>
            <w:textDirection w:val="lrTb"/>
            <w:noWrap w:val="false"/>
          </w:tcPr>
          <w:p>
            <w:pPr>
              <w:pStyle w:val="1135"/>
              <w:jc w:val="center"/>
              <w:rPr>
                <w:rFonts w:eastAsia="Arial Unicode MS"/>
                <w:sz w:val="20"/>
                <w:szCs w:val="20"/>
              </w:rPr>
            </w:pPr>
            <w:r>
              <w:rPr>
                <w:sz w:val="20"/>
                <w:szCs w:val="20"/>
              </w:rPr>
              <w:t xml:space="preserve">14.4.4.</w:t>
            </w:r>
            <w:r>
              <w:rPr>
                <w:rFonts w:eastAsia="Arial Unicode MS"/>
                <w:sz w:val="20"/>
                <w:szCs w:val="20"/>
              </w:rPr>
            </w:r>
            <w:r>
              <w:rPr>
                <w:rFonts w:eastAsia="Arial Unicode MS"/>
                <w:sz w:val="20"/>
                <w:szCs w:val="20"/>
              </w:rPr>
            </w:r>
          </w:p>
        </w:tc>
        <w:tc>
          <w:tcPr>
            <w:tcBorders>
              <w:top w:val="single" w:color="000000" w:sz="4" w:space="0"/>
              <w:left w:val="single" w:color="000000" w:sz="4" w:space="0"/>
              <w:bottom w:val="single" w:color="000000" w:sz="4" w:space="0"/>
              <w:right w:val="single" w:color="000000" w:sz="4" w:space="0"/>
            </w:tcBorders>
            <w:tcW w:w="3970" w:type="dxa"/>
            <w:vAlign w:val="top"/>
            <w:textDirection w:val="lrTb"/>
            <w:noWrap w:val="false"/>
          </w:tcPr>
          <w:p>
            <w:pPr>
              <w:pStyle w:val="1135"/>
              <w:rPr>
                <w:sz w:val="20"/>
                <w:szCs w:val="20"/>
              </w:rPr>
            </w:pPr>
            <w:r>
              <w:rPr>
                <w:sz w:val="20"/>
                <w:szCs w:val="20"/>
              </w:rPr>
              <w:t xml:space="preserve">Списание ценных бумаг со счетов АО «Россельхозбанк» в реестрах/междепозитарных счетов АО «Россельхозбанк» в других депозитариях</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836" w:type="dxa"/>
            <w:vAlign w:val="top"/>
            <w:textDirection w:val="lrTb"/>
            <w:noWrap w:val="false"/>
          </w:tcPr>
          <w:p>
            <w:pPr>
              <w:pStyle w:val="1135"/>
              <w:jc w:val="center"/>
              <w:rPr>
                <w:sz w:val="20"/>
                <w:szCs w:val="20"/>
              </w:rPr>
            </w:pPr>
            <w:r>
              <w:rPr>
                <w:sz w:val="20"/>
                <w:szCs w:val="20"/>
              </w:rPr>
              <w:t xml:space="preserve">600 руб.</w:t>
            </w:r>
            <w:r>
              <w:rPr>
                <w:sz w:val="20"/>
                <w:szCs w:val="20"/>
              </w:rPr>
            </w:r>
            <w:r>
              <w:rPr>
                <w:sz w:val="20"/>
                <w:szCs w:val="20"/>
              </w:rPr>
            </w:r>
          </w:p>
          <w:p>
            <w:pPr>
              <w:pStyle w:val="1135"/>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1135"/>
              <w:rPr>
                <w:sz w:val="20"/>
                <w:szCs w:val="20"/>
              </w:rPr>
            </w:pPr>
            <w:r>
              <w:rPr>
                <w:sz w:val="20"/>
                <w:szCs w:val="20"/>
              </w:rPr>
              <w:t xml:space="preserve">Дополнительно взимается в качестве возмещения сумма расходов сторонних организаций</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2"/>
            <w:tcBorders>
              <w:top w:val="single" w:color="000000" w:sz="4" w:space="0"/>
              <w:left w:val="single" w:color="000000" w:sz="4" w:space="0"/>
              <w:bottom w:val="single" w:color="000000" w:sz="4" w:space="0"/>
              <w:right w:val="single" w:color="000000" w:sz="4" w:space="0"/>
            </w:tcBorders>
            <w:tcW w:w="849" w:type="dxa"/>
            <w:vAlign w:val="top"/>
            <w:textDirection w:val="lrTb"/>
            <w:noWrap w:val="false"/>
          </w:tcPr>
          <w:p>
            <w:pPr>
              <w:pStyle w:val="1135"/>
              <w:jc w:val="center"/>
              <w:rPr>
                <w:rFonts w:eastAsia="Arial Unicode MS"/>
                <w:sz w:val="20"/>
                <w:szCs w:val="20"/>
              </w:rPr>
            </w:pPr>
            <w:r>
              <w:rPr>
                <w:sz w:val="20"/>
                <w:szCs w:val="20"/>
              </w:rPr>
              <w:t xml:space="preserve">14.4.5.</w:t>
            </w:r>
            <w:r>
              <w:rPr>
                <w:rFonts w:eastAsia="Arial Unicode MS"/>
                <w:sz w:val="20"/>
                <w:szCs w:val="20"/>
              </w:rPr>
            </w:r>
            <w:r>
              <w:rPr>
                <w:rFonts w:eastAsia="Arial Unicode MS"/>
                <w:sz w:val="20"/>
                <w:szCs w:val="20"/>
              </w:rPr>
            </w:r>
          </w:p>
        </w:tc>
        <w:tc>
          <w:tcPr>
            <w:tcBorders>
              <w:top w:val="single" w:color="000000" w:sz="4" w:space="0"/>
              <w:left w:val="single" w:color="000000" w:sz="4" w:space="0"/>
              <w:bottom w:val="single" w:color="000000" w:sz="4" w:space="0"/>
              <w:right w:val="single" w:color="000000" w:sz="4" w:space="0"/>
            </w:tcBorders>
            <w:tcW w:w="3970" w:type="dxa"/>
            <w:vAlign w:val="top"/>
            <w:textDirection w:val="lrTb"/>
            <w:noWrap w:val="false"/>
          </w:tcPr>
          <w:p>
            <w:pPr>
              <w:pStyle w:val="1135"/>
              <w:rPr>
                <w:sz w:val="20"/>
                <w:szCs w:val="20"/>
              </w:rPr>
            </w:pPr>
            <w:r>
              <w:rPr>
                <w:sz w:val="20"/>
                <w:szCs w:val="20"/>
              </w:rPr>
              <w:t xml:space="preserve">Перевод ценных бумаг по разделам счета депо</w:t>
            </w:r>
            <w:r>
              <w:rPr>
                <w:sz w:val="20"/>
                <w:szCs w:val="20"/>
              </w:rPr>
            </w:r>
            <w:r>
              <w:rPr>
                <w:sz w:val="20"/>
                <w:szCs w:val="20"/>
              </w:rPr>
            </w:r>
          </w:p>
          <w:p>
            <w:pPr>
              <w:pStyle w:val="1135"/>
              <w:rPr>
                <w:sz w:val="20"/>
                <w:szCs w:val="20"/>
              </w:rPr>
            </w:pPr>
            <w:r>
              <w:rPr>
                <w:sz w:val="20"/>
                <w:szCs w:val="20"/>
              </w:rPr>
              <w:t xml:space="preserve">(по счетам </w:t>
            </w:r>
            <w:r>
              <w:rPr>
                <w:sz w:val="20"/>
                <w:szCs w:val="20"/>
              </w:rPr>
              <w:t xml:space="preserve">АО «Россельхозбанк»</w:t>
            </w:r>
            <w:r>
              <w:rPr>
                <w:sz w:val="20"/>
                <w:szCs w:val="20"/>
              </w:rPr>
              <w:t xml:space="preserve">, открытым в других депозитариях)</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836" w:type="dxa"/>
            <w:vAlign w:val="top"/>
            <w:textDirection w:val="lrTb"/>
            <w:noWrap w:val="false"/>
          </w:tcPr>
          <w:p>
            <w:pPr>
              <w:pStyle w:val="1135"/>
              <w:jc w:val="center"/>
              <w:rPr>
                <w:sz w:val="20"/>
                <w:szCs w:val="20"/>
              </w:rPr>
            </w:pPr>
            <w:r>
              <w:rPr>
                <w:sz w:val="20"/>
                <w:szCs w:val="20"/>
              </w:rPr>
              <w:t xml:space="preserve">100 руб.</w:t>
            </w:r>
            <w:r>
              <w:rPr>
                <w:sz w:val="20"/>
                <w:szCs w:val="20"/>
              </w:rPr>
            </w:r>
            <w:r>
              <w:rPr>
                <w:sz w:val="20"/>
                <w:szCs w:val="20"/>
              </w:rPr>
            </w:r>
          </w:p>
          <w:p>
            <w:pPr>
              <w:pStyle w:val="1135"/>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113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2"/>
            <w:tcBorders>
              <w:top w:val="single" w:color="000000" w:sz="4" w:space="0"/>
              <w:left w:val="single" w:color="000000" w:sz="4" w:space="0"/>
              <w:bottom w:val="single" w:color="000000" w:sz="4" w:space="0"/>
              <w:right w:val="single" w:color="000000" w:sz="4" w:space="0"/>
            </w:tcBorders>
            <w:tcW w:w="849" w:type="dxa"/>
            <w:vAlign w:val="top"/>
            <w:textDirection w:val="lrTb"/>
            <w:noWrap w:val="false"/>
          </w:tcPr>
          <w:p>
            <w:pPr>
              <w:pStyle w:val="1135"/>
              <w:jc w:val="center"/>
              <w:rPr>
                <w:rFonts w:eastAsia="Arial Unicode MS"/>
                <w:sz w:val="20"/>
                <w:szCs w:val="20"/>
              </w:rPr>
            </w:pPr>
            <w:r>
              <w:rPr>
                <w:sz w:val="20"/>
                <w:szCs w:val="20"/>
              </w:rPr>
              <w:t xml:space="preserve">14.4.6.</w:t>
            </w:r>
            <w:r>
              <w:rPr>
                <w:rFonts w:eastAsia="Arial Unicode MS"/>
                <w:sz w:val="20"/>
                <w:szCs w:val="20"/>
              </w:rPr>
            </w:r>
            <w:r>
              <w:rPr>
                <w:rFonts w:eastAsia="Arial Unicode MS"/>
                <w:sz w:val="20"/>
                <w:szCs w:val="20"/>
              </w:rPr>
            </w:r>
          </w:p>
        </w:tc>
        <w:tc>
          <w:tcPr>
            <w:tcBorders>
              <w:top w:val="single" w:color="000000" w:sz="4" w:space="0"/>
              <w:left w:val="single" w:color="000000" w:sz="4" w:space="0"/>
              <w:bottom w:val="single" w:color="000000" w:sz="4" w:space="0"/>
              <w:right w:val="single" w:color="000000" w:sz="4" w:space="0"/>
            </w:tcBorders>
            <w:tcW w:w="3970" w:type="dxa"/>
            <w:vAlign w:val="top"/>
            <w:textDirection w:val="lrTb"/>
            <w:noWrap w:val="false"/>
          </w:tcPr>
          <w:p>
            <w:pPr>
              <w:pStyle w:val="1135"/>
              <w:rPr>
                <w:sz w:val="20"/>
                <w:szCs w:val="20"/>
              </w:rPr>
            </w:pPr>
            <w:r>
              <w:rPr>
                <w:sz w:val="20"/>
                <w:szCs w:val="20"/>
              </w:rPr>
              <w:t xml:space="preserve">Переводы ценных бумаг по операциям купли-продажи ценных бумаг, совершенным через брокера </w:t>
            </w:r>
            <w:r>
              <w:rPr>
                <w:sz w:val="20"/>
                <w:szCs w:val="20"/>
              </w:rPr>
              <w:t xml:space="preserve">АО «Россельхозбанк»</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836" w:type="dxa"/>
            <w:vAlign w:val="top"/>
            <w:textDirection w:val="lrTb"/>
            <w:noWrap w:val="false"/>
          </w:tcPr>
          <w:p>
            <w:pPr>
              <w:pStyle w:val="1135"/>
              <w:jc w:val="center"/>
              <w:rPr>
                <w:rFonts w:eastAsia="Arial Unicode MS"/>
                <w:sz w:val="20"/>
                <w:szCs w:val="20"/>
              </w:rPr>
            </w:pPr>
            <w:r>
              <w:rPr>
                <w:sz w:val="20"/>
                <w:szCs w:val="20"/>
              </w:rPr>
              <w:t xml:space="preserve">Не взимается</w:t>
            </w:r>
            <w:r>
              <w:rPr>
                <w:rFonts w:eastAsia="Arial Unicode MS"/>
                <w:sz w:val="20"/>
                <w:szCs w:val="20"/>
              </w:rPr>
            </w:r>
            <w:r>
              <w:rPr>
                <w:rFonts w:eastAsia="Arial Unicode MS"/>
                <w:sz w:val="20"/>
                <w:szCs w:val="20"/>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113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2"/>
            <w:tcBorders>
              <w:top w:val="single" w:color="000000" w:sz="4" w:space="0"/>
              <w:left w:val="single" w:color="000000" w:sz="4" w:space="0"/>
              <w:bottom w:val="single" w:color="000000" w:sz="4" w:space="0"/>
              <w:right w:val="single" w:color="000000" w:sz="4" w:space="0"/>
            </w:tcBorders>
            <w:tcW w:w="849" w:type="dxa"/>
            <w:vAlign w:val="top"/>
            <w:textDirection w:val="lrTb"/>
            <w:noWrap w:val="false"/>
          </w:tcPr>
          <w:p>
            <w:pPr>
              <w:pStyle w:val="1135"/>
              <w:jc w:val="center"/>
              <w:rPr>
                <w:rFonts w:eastAsia="Arial Unicode MS"/>
                <w:sz w:val="20"/>
                <w:szCs w:val="20"/>
              </w:rPr>
            </w:pPr>
            <w:r>
              <w:rPr>
                <w:sz w:val="20"/>
                <w:szCs w:val="20"/>
              </w:rPr>
              <w:t xml:space="preserve">14.4.7.</w:t>
            </w:r>
            <w:r>
              <w:rPr>
                <w:rFonts w:eastAsia="Arial Unicode MS"/>
                <w:sz w:val="20"/>
                <w:szCs w:val="20"/>
              </w:rPr>
            </w:r>
            <w:r>
              <w:rPr>
                <w:rFonts w:eastAsia="Arial Unicode MS"/>
                <w:sz w:val="20"/>
                <w:szCs w:val="20"/>
              </w:rPr>
            </w:r>
          </w:p>
        </w:tc>
        <w:tc>
          <w:tcPr>
            <w:tcBorders>
              <w:top w:val="single" w:color="000000" w:sz="4" w:space="0"/>
              <w:left w:val="single" w:color="000000" w:sz="4" w:space="0"/>
              <w:bottom w:val="single" w:color="000000" w:sz="4" w:space="0"/>
              <w:right w:val="single" w:color="000000" w:sz="4" w:space="0"/>
            </w:tcBorders>
            <w:tcW w:w="3970" w:type="dxa"/>
            <w:vAlign w:val="top"/>
            <w:textDirection w:val="lrTb"/>
            <w:noWrap w:val="false"/>
          </w:tcPr>
          <w:p>
            <w:pPr>
              <w:pStyle w:val="1135"/>
              <w:rPr>
                <w:sz w:val="20"/>
                <w:szCs w:val="20"/>
              </w:rPr>
            </w:pPr>
            <w:r>
              <w:rPr>
                <w:sz w:val="20"/>
                <w:szCs w:val="20"/>
              </w:rPr>
              <w:t xml:space="preserve">Изменение места хранения ценных бумаг</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836" w:type="dxa"/>
            <w:vAlign w:val="top"/>
            <w:textDirection w:val="lrTb"/>
            <w:noWrap w:val="false"/>
          </w:tcPr>
          <w:p>
            <w:pPr>
              <w:pStyle w:val="1135"/>
              <w:jc w:val="center"/>
              <w:rPr>
                <w:sz w:val="20"/>
                <w:szCs w:val="20"/>
              </w:rPr>
            </w:pPr>
            <w:r>
              <w:rPr>
                <w:sz w:val="20"/>
                <w:szCs w:val="20"/>
              </w:rPr>
              <w:t xml:space="preserve">300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113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2"/>
            <w:tcBorders>
              <w:top w:val="single" w:color="000000" w:sz="4" w:space="0"/>
              <w:left w:val="single" w:color="000000" w:sz="4" w:space="0"/>
              <w:bottom w:val="single" w:color="000000" w:sz="4" w:space="0"/>
              <w:right w:val="single" w:color="000000" w:sz="4" w:space="0"/>
            </w:tcBorders>
            <w:tcW w:w="849" w:type="dxa"/>
            <w:vAlign w:val="top"/>
            <w:textDirection w:val="lrTb"/>
            <w:noWrap w:val="false"/>
          </w:tcPr>
          <w:p>
            <w:pPr>
              <w:pStyle w:val="1135"/>
              <w:jc w:val="center"/>
              <w:rPr>
                <w:rFonts w:eastAsia="Arial Unicode MS"/>
                <w:sz w:val="20"/>
                <w:szCs w:val="20"/>
              </w:rPr>
            </w:pPr>
            <w:r>
              <w:rPr>
                <w:sz w:val="20"/>
                <w:szCs w:val="20"/>
              </w:rPr>
              <w:t xml:space="preserve">14.4.8.</w:t>
            </w:r>
            <w:r>
              <w:rPr>
                <w:rFonts w:eastAsia="Arial Unicode MS"/>
                <w:sz w:val="20"/>
                <w:szCs w:val="20"/>
              </w:rPr>
            </w:r>
            <w:r>
              <w:rPr>
                <w:rFonts w:eastAsia="Arial Unicode MS"/>
                <w:sz w:val="20"/>
                <w:szCs w:val="20"/>
              </w:rPr>
            </w:r>
          </w:p>
        </w:tc>
        <w:tc>
          <w:tcPr>
            <w:tcBorders>
              <w:top w:val="single" w:color="000000" w:sz="4" w:space="0"/>
              <w:left w:val="single" w:color="000000" w:sz="4" w:space="0"/>
              <w:bottom w:val="single" w:color="000000" w:sz="4" w:space="0"/>
              <w:right w:val="single" w:color="000000" w:sz="4" w:space="0"/>
            </w:tcBorders>
            <w:tcW w:w="3970" w:type="dxa"/>
            <w:vAlign w:val="top"/>
            <w:textDirection w:val="lrTb"/>
            <w:noWrap w:val="false"/>
          </w:tcPr>
          <w:p>
            <w:pPr>
              <w:pStyle w:val="1135"/>
              <w:rPr>
                <w:sz w:val="20"/>
                <w:szCs w:val="20"/>
              </w:rPr>
            </w:pPr>
            <w:r>
              <w:rPr>
                <w:sz w:val="20"/>
                <w:szCs w:val="20"/>
              </w:rPr>
              <w:t xml:space="preserve">Гарантированная поставка ценных бумаг без платежа с контролем поступления денежных средств на счет Депонента-поставщика</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836" w:type="dxa"/>
            <w:vAlign w:val="top"/>
            <w:textDirection w:val="lrTb"/>
            <w:noWrap w:val="false"/>
          </w:tcPr>
          <w:p>
            <w:pPr>
              <w:pStyle w:val="1135"/>
              <w:jc w:val="center"/>
              <w:rPr>
                <w:sz w:val="20"/>
                <w:szCs w:val="20"/>
              </w:rPr>
            </w:pPr>
            <w:r>
              <w:rPr>
                <w:sz w:val="20"/>
                <w:szCs w:val="20"/>
              </w:rPr>
              <w:t xml:space="preserve">0,1% от суммы сделки,</w:t>
            </w:r>
            <w:r>
              <w:rPr>
                <w:sz w:val="20"/>
                <w:szCs w:val="20"/>
              </w:rPr>
            </w:r>
            <w:r>
              <w:rPr>
                <w:sz w:val="20"/>
                <w:szCs w:val="20"/>
              </w:rPr>
            </w:r>
          </w:p>
          <w:p>
            <w:pPr>
              <w:pStyle w:val="1135"/>
              <w:jc w:val="center"/>
              <w:rPr>
                <w:sz w:val="20"/>
                <w:szCs w:val="20"/>
              </w:rPr>
            </w:pPr>
            <w:r>
              <w:rPr>
                <w:sz w:val="20"/>
                <w:szCs w:val="20"/>
              </w:rPr>
              <w:t xml:space="preserve">максимум 5000руб.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113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6"/>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1135"/>
              <w:jc w:val="center"/>
              <w:rPr>
                <w:sz w:val="20"/>
                <w:szCs w:val="20"/>
              </w:rPr>
            </w:pPr>
            <w:r>
              <w:rPr>
                <w:sz w:val="20"/>
                <w:szCs w:val="20"/>
              </w:rPr>
              <w:t xml:space="preserve">14.5. Операции по блокировке</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2"/>
            <w:tcBorders>
              <w:top w:val="none" w:color="000000" w:sz="4" w:space="0"/>
              <w:left w:val="single" w:color="000000" w:sz="4" w:space="0"/>
              <w:bottom w:val="single" w:color="000000" w:sz="4" w:space="0"/>
              <w:right w:val="single" w:color="000000" w:sz="4" w:space="0"/>
            </w:tcBorders>
            <w:tcW w:w="849" w:type="dxa"/>
            <w:vAlign w:val="top"/>
            <w:textDirection w:val="lrTb"/>
            <w:noWrap w:val="false"/>
          </w:tcPr>
          <w:p>
            <w:pPr>
              <w:pStyle w:val="1135"/>
              <w:jc w:val="center"/>
              <w:rPr>
                <w:rFonts w:eastAsia="Arial Unicode MS"/>
                <w:sz w:val="20"/>
                <w:szCs w:val="20"/>
              </w:rPr>
            </w:pPr>
            <w:r>
              <w:rPr>
                <w:rFonts w:eastAsia="Arial Unicode MS"/>
                <w:sz w:val="20"/>
                <w:szCs w:val="20"/>
              </w:rPr>
            </w:r>
            <w:r>
              <w:rPr>
                <w:rFonts w:eastAsia="Arial Unicode MS"/>
                <w:sz w:val="20"/>
                <w:szCs w:val="20"/>
              </w:rPr>
            </w:r>
            <w:r>
              <w:rPr>
                <w:rFonts w:eastAsia="Arial Unicode MS"/>
                <w:sz w:val="20"/>
                <w:szCs w:val="20"/>
              </w:rPr>
            </w:r>
          </w:p>
        </w:tc>
        <w:tc>
          <w:tcPr>
            <w:tcBorders>
              <w:top w:val="none" w:color="000000" w:sz="4" w:space="0"/>
              <w:left w:val="single" w:color="000000" w:sz="4" w:space="0"/>
              <w:bottom w:val="single" w:color="000000" w:sz="4" w:space="0"/>
              <w:right w:val="single" w:color="000000" w:sz="4" w:space="0"/>
            </w:tcBorders>
            <w:tcW w:w="3970" w:type="dxa"/>
            <w:vAlign w:val="top"/>
            <w:textDirection w:val="lrTb"/>
            <w:noWrap w:val="false"/>
          </w:tcPr>
          <w:p>
            <w:pPr>
              <w:pStyle w:val="1135"/>
              <w:rPr>
                <w:sz w:val="20"/>
                <w:szCs w:val="20"/>
              </w:rPr>
            </w:pPr>
            <w:r>
              <w:rPr>
                <w:sz w:val="20"/>
                <w:szCs w:val="20"/>
              </w:rPr>
            </w:r>
            <w:r>
              <w:rPr>
                <w:sz w:val="20"/>
                <w:szCs w:val="20"/>
              </w:rPr>
            </w:r>
            <w:r>
              <w:rPr>
                <w:sz w:val="20"/>
                <w:szCs w:val="20"/>
              </w:rPr>
            </w:r>
          </w:p>
        </w:tc>
        <w:tc>
          <w:tcPr>
            <w:gridSpan w:val="2"/>
            <w:tcBorders>
              <w:top w:val="none" w:color="000000" w:sz="4" w:space="0"/>
              <w:left w:val="single" w:color="000000" w:sz="4" w:space="0"/>
              <w:bottom w:val="single" w:color="000000" w:sz="4" w:space="0"/>
              <w:right w:val="single" w:color="000000" w:sz="4" w:space="0"/>
            </w:tcBorders>
            <w:tcW w:w="2836" w:type="dxa"/>
            <w:vAlign w:val="top"/>
            <w:textDirection w:val="lrTb"/>
            <w:noWrap w:val="false"/>
          </w:tcPr>
          <w:p>
            <w:pPr>
              <w:pStyle w:val="1135"/>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2693" w:type="dxa"/>
            <w:vAlign w:val="top"/>
            <w:textDirection w:val="lrTb"/>
            <w:noWrap w:val="false"/>
          </w:tcPr>
          <w:p>
            <w:pPr>
              <w:pStyle w:val="113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849" w:type="dxa"/>
            <w:vAlign w:val="top"/>
            <w:vMerge w:val="restart"/>
            <w:textDirection w:val="lrTb"/>
            <w:noWrap w:val="false"/>
          </w:tcPr>
          <w:p>
            <w:pPr>
              <w:pStyle w:val="1135"/>
              <w:jc w:val="center"/>
              <w:spacing w:before="40" w:after="40"/>
              <w:rPr>
                <w:rFonts w:eastAsia="Arial Unicode MS"/>
                <w:bCs/>
                <w:sz w:val="20"/>
                <w:szCs w:val="20"/>
              </w:rPr>
            </w:pPr>
            <w:r>
              <w:rPr>
                <w:bCs/>
                <w:sz w:val="20"/>
                <w:szCs w:val="20"/>
                <w:lang w:val="en-US"/>
              </w:rPr>
              <w:t xml:space="preserve">14</w:t>
            </w:r>
            <w:r>
              <w:rPr>
                <w:bCs/>
                <w:sz w:val="20"/>
                <w:szCs w:val="20"/>
              </w:rPr>
              <w:t xml:space="preserve">.5.1.</w:t>
            </w:r>
            <w:r>
              <w:rPr>
                <w:rFonts w:eastAsia="Arial Unicode MS"/>
                <w:bCs/>
                <w:sz w:val="20"/>
                <w:szCs w:val="20"/>
              </w:rPr>
            </w:r>
            <w:r>
              <w:rPr>
                <w:rFonts w:eastAsia="Arial Unicode MS"/>
                <w:bCs/>
                <w:sz w:val="20"/>
                <w:szCs w:val="20"/>
              </w:rPr>
            </w:r>
          </w:p>
        </w:tc>
        <w:tc>
          <w:tcPr>
            <w:tcW w:w="3970" w:type="dxa"/>
            <w:vAlign w:val="top"/>
            <w:textDirection w:val="lrTb"/>
            <w:noWrap w:val="false"/>
          </w:tcPr>
          <w:p>
            <w:pPr>
              <w:pStyle w:val="1135"/>
              <w:jc w:val="both"/>
              <w:spacing w:before="40"/>
              <w:tabs>
                <w:tab w:val="left" w:pos="290" w:leader="none"/>
              </w:tabs>
              <w:rPr>
                <w:bCs/>
                <w:sz w:val="20"/>
                <w:szCs w:val="20"/>
              </w:rPr>
            </w:pPr>
            <w:r>
              <w:rPr>
                <w:bCs/>
                <w:sz w:val="20"/>
                <w:szCs w:val="20"/>
              </w:rPr>
              <w:t xml:space="preserve">-</w:t>
              <w:tab/>
              <w:t xml:space="preserve">блокирование, разблокирование ценных бумаг на счете депо по поручению клиента</w:t>
            </w:r>
            <w:r>
              <w:rPr>
                <w:bCs/>
                <w:sz w:val="20"/>
                <w:szCs w:val="20"/>
              </w:rPr>
            </w:r>
            <w:r>
              <w:rPr>
                <w:bCs/>
                <w:sz w:val="20"/>
                <w:szCs w:val="20"/>
              </w:rPr>
            </w:r>
          </w:p>
        </w:tc>
        <w:tc>
          <w:tcPr>
            <w:gridSpan w:val="2"/>
            <w:tcBorders>
              <w:top w:val="single" w:color="000000" w:sz="4" w:space="0"/>
            </w:tcBorders>
            <w:tcW w:w="2836" w:type="dxa"/>
            <w:vAlign w:val="center"/>
            <w:vMerge w:val="restart"/>
            <w:textDirection w:val="lrTb"/>
            <w:noWrap w:val="false"/>
          </w:tcPr>
          <w:p>
            <w:pPr>
              <w:pStyle w:val="1135"/>
              <w:jc w:val="center"/>
              <w:spacing w:before="40" w:after="40"/>
              <w:rPr>
                <w:sz w:val="20"/>
                <w:szCs w:val="20"/>
              </w:rPr>
            </w:pPr>
            <w:r>
              <w:rPr>
                <w:sz w:val="20"/>
                <w:szCs w:val="20"/>
              </w:rPr>
              <w:t xml:space="preserve">3 000 руб.</w:t>
            </w:r>
            <w:r>
              <w:rPr>
                <w:sz w:val="20"/>
                <w:szCs w:val="20"/>
              </w:rPr>
            </w:r>
            <w:r>
              <w:rPr>
                <w:sz w:val="20"/>
                <w:szCs w:val="20"/>
              </w:rPr>
            </w:r>
          </w:p>
        </w:tc>
        <w:tc>
          <w:tcPr>
            <w:tcW w:w="2693" w:type="dxa"/>
            <w:vAlign w:val="top"/>
            <w:textDirection w:val="lrTb"/>
            <w:noWrap w:val="false"/>
          </w:tcPr>
          <w:p>
            <w:pPr>
              <w:pStyle w:val="1135"/>
              <w:ind w:left="-2" w:right="-18"/>
              <w:jc w:val="both"/>
              <w:spacing w:before="40" w:after="40"/>
              <w:tabs>
                <w:tab w:val="left" w:pos="4464" w:leader="none"/>
                <w:tab w:val="left" w:pos="5760" w:leader="none"/>
              </w:tabs>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849" w:type="dxa"/>
            <w:vAlign w:val="top"/>
            <w:vMerge w:val="continue"/>
            <w:textDirection w:val="lrTb"/>
            <w:noWrap w:val="false"/>
          </w:tcPr>
          <w:p>
            <w:pPr>
              <w:pStyle w:val="1135"/>
              <w:jc w:val="center"/>
              <w:spacing w:before="40" w:after="40"/>
              <w:rPr>
                <w:rFonts w:eastAsia="Arial Unicode MS"/>
                <w:bCs/>
                <w:sz w:val="20"/>
                <w:szCs w:val="20"/>
              </w:rPr>
            </w:pPr>
            <w:r>
              <w:rPr>
                <w:rFonts w:eastAsia="Arial Unicode MS"/>
                <w:bCs/>
                <w:sz w:val="20"/>
                <w:szCs w:val="20"/>
              </w:rPr>
            </w:r>
            <w:r>
              <w:rPr>
                <w:rFonts w:eastAsia="Arial Unicode MS"/>
                <w:bCs/>
                <w:sz w:val="20"/>
                <w:szCs w:val="20"/>
              </w:rPr>
            </w:r>
            <w:r>
              <w:rPr>
                <w:rFonts w:eastAsia="Arial Unicode MS"/>
                <w:bCs/>
                <w:sz w:val="20"/>
                <w:szCs w:val="20"/>
              </w:rPr>
            </w:r>
          </w:p>
        </w:tc>
        <w:tc>
          <w:tcPr>
            <w:tcW w:w="3970" w:type="dxa"/>
            <w:vAlign w:val="top"/>
            <w:textDirection w:val="lrTb"/>
            <w:noWrap w:val="false"/>
          </w:tcPr>
          <w:p>
            <w:pPr>
              <w:pStyle w:val="1135"/>
              <w:jc w:val="both"/>
              <w:spacing w:before="40"/>
              <w:tabs>
                <w:tab w:val="left" w:pos="346" w:leader="none"/>
              </w:tabs>
              <w:rPr>
                <w:bCs/>
                <w:sz w:val="20"/>
                <w:szCs w:val="20"/>
              </w:rPr>
            </w:pPr>
            <w:r>
              <w:rPr>
                <w:bCs/>
                <w:sz w:val="20"/>
                <w:szCs w:val="20"/>
              </w:rPr>
              <w:t xml:space="preserve">-</w:t>
              <w:tab/>
              <w:t xml:space="preserve">регистрация обременения ценных бумаг залогом по поручению клиента, снятие обременения с ценных бумаг в залоге, оформление последующего залога ценных бумаг на счете депо</w:t>
            </w:r>
            <w:r>
              <w:rPr>
                <w:bCs/>
                <w:sz w:val="20"/>
                <w:szCs w:val="20"/>
              </w:rPr>
            </w:r>
            <w:r>
              <w:rPr>
                <w:bCs/>
                <w:sz w:val="20"/>
                <w:szCs w:val="20"/>
              </w:rPr>
            </w:r>
          </w:p>
        </w:tc>
        <w:tc>
          <w:tcPr>
            <w:gridSpan w:val="2"/>
            <w:tcBorders>
              <w:top w:val="none" w:color="000000" w:sz="4" w:space="0"/>
            </w:tcBorders>
            <w:tcW w:w="2836" w:type="dxa"/>
            <w:vAlign w:val="top"/>
            <w:vMerge w:val="continue"/>
            <w:textDirection w:val="lrTb"/>
            <w:noWrap w:val="false"/>
          </w:tcPr>
          <w:p>
            <w:pPr>
              <w:pStyle w:val="1135"/>
              <w:ind w:left="-2" w:right="-18"/>
              <w:jc w:val="center"/>
              <w:spacing w:before="40" w:after="40"/>
              <w:tabs>
                <w:tab w:val="left" w:pos="4464" w:leader="none"/>
                <w:tab w:val="left" w:pos="5760" w:leader="none"/>
              </w:tabs>
              <w:rPr>
                <w:sz w:val="20"/>
                <w:szCs w:val="20"/>
              </w:rPr>
            </w:pPr>
            <w:r>
              <w:rPr>
                <w:sz w:val="20"/>
                <w:szCs w:val="20"/>
              </w:rPr>
            </w:r>
            <w:r>
              <w:rPr>
                <w:sz w:val="20"/>
                <w:szCs w:val="20"/>
              </w:rPr>
            </w:r>
            <w:r>
              <w:rPr>
                <w:sz w:val="20"/>
                <w:szCs w:val="20"/>
              </w:rPr>
            </w:r>
          </w:p>
        </w:tc>
        <w:tc>
          <w:tcPr>
            <w:tcW w:w="2693" w:type="dxa"/>
            <w:vAlign w:val="top"/>
            <w:textDirection w:val="lrTb"/>
            <w:noWrap w:val="false"/>
          </w:tcPr>
          <w:p>
            <w:pPr>
              <w:pStyle w:val="1135"/>
              <w:ind w:left="-2" w:right="-18"/>
              <w:jc w:val="both"/>
              <w:spacing w:before="40" w:after="40"/>
              <w:tabs>
                <w:tab w:val="left" w:pos="4464" w:leader="none"/>
                <w:tab w:val="left" w:pos="5760" w:leader="none"/>
              </w:tabs>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849" w:type="dxa"/>
            <w:vAlign w:val="top"/>
            <w:vMerge w:val="continue"/>
            <w:textDirection w:val="lrTb"/>
            <w:noWrap w:val="false"/>
          </w:tcPr>
          <w:p>
            <w:pPr>
              <w:pStyle w:val="1135"/>
              <w:jc w:val="center"/>
              <w:spacing w:before="40" w:after="40"/>
              <w:rPr>
                <w:rFonts w:eastAsia="Arial Unicode MS"/>
                <w:bCs/>
                <w:sz w:val="20"/>
                <w:szCs w:val="20"/>
              </w:rPr>
            </w:pPr>
            <w:r>
              <w:rPr>
                <w:rFonts w:eastAsia="Arial Unicode MS"/>
                <w:bCs/>
                <w:sz w:val="20"/>
                <w:szCs w:val="20"/>
              </w:rPr>
            </w:r>
            <w:r>
              <w:rPr>
                <w:rFonts w:eastAsia="Arial Unicode MS"/>
                <w:bCs/>
                <w:sz w:val="20"/>
                <w:szCs w:val="20"/>
              </w:rPr>
            </w:r>
            <w:r>
              <w:rPr>
                <w:rFonts w:eastAsia="Arial Unicode MS"/>
                <w:bCs/>
                <w:sz w:val="20"/>
                <w:szCs w:val="20"/>
              </w:rPr>
            </w:r>
          </w:p>
        </w:tc>
        <w:tc>
          <w:tcPr>
            <w:tcW w:w="3970" w:type="dxa"/>
            <w:vAlign w:val="top"/>
            <w:textDirection w:val="lrTb"/>
            <w:noWrap w:val="false"/>
          </w:tcPr>
          <w:p>
            <w:pPr>
              <w:pStyle w:val="1135"/>
              <w:jc w:val="both"/>
              <w:spacing w:before="40" w:after="40"/>
              <w:tabs>
                <w:tab w:val="left" w:pos="298" w:leader="none"/>
              </w:tabs>
              <w:rPr>
                <w:bCs/>
                <w:sz w:val="20"/>
                <w:szCs w:val="20"/>
              </w:rPr>
            </w:pPr>
            <w:r>
              <w:rPr>
                <w:bCs/>
                <w:sz w:val="20"/>
                <w:szCs w:val="20"/>
              </w:rPr>
              <w:t xml:space="preserve">-</w:t>
              <w:tab/>
              <w:t xml:space="preserve">оформление последующего залога ценных бумаг на счете депо/снятие последующего залога ценных бумаг на счете депо</w:t>
            </w:r>
            <w:r>
              <w:rPr>
                <w:bCs/>
                <w:sz w:val="20"/>
                <w:szCs w:val="20"/>
              </w:rPr>
            </w:r>
            <w:r>
              <w:rPr>
                <w:bCs/>
                <w:sz w:val="20"/>
                <w:szCs w:val="20"/>
              </w:rPr>
            </w:r>
          </w:p>
        </w:tc>
        <w:tc>
          <w:tcPr>
            <w:gridSpan w:val="2"/>
            <w:tcBorders>
              <w:top w:val="none" w:color="000000" w:sz="4" w:space="0"/>
            </w:tcBorders>
            <w:tcW w:w="2836" w:type="dxa"/>
            <w:vAlign w:val="top"/>
            <w:vMerge w:val="continue"/>
            <w:textDirection w:val="lrTb"/>
            <w:noWrap w:val="false"/>
          </w:tcPr>
          <w:p>
            <w:pPr>
              <w:pStyle w:val="1135"/>
              <w:ind w:left="-2" w:right="-18"/>
              <w:jc w:val="center"/>
              <w:spacing w:before="40" w:after="40"/>
              <w:tabs>
                <w:tab w:val="left" w:pos="4464" w:leader="none"/>
                <w:tab w:val="left" w:pos="5760" w:leader="none"/>
              </w:tabs>
              <w:rPr>
                <w:sz w:val="20"/>
                <w:szCs w:val="20"/>
              </w:rPr>
            </w:pPr>
            <w:r>
              <w:rPr>
                <w:sz w:val="20"/>
                <w:szCs w:val="20"/>
              </w:rPr>
            </w:r>
            <w:r>
              <w:rPr>
                <w:sz w:val="20"/>
                <w:szCs w:val="20"/>
              </w:rPr>
            </w:r>
            <w:r>
              <w:rPr>
                <w:sz w:val="20"/>
                <w:szCs w:val="20"/>
              </w:rPr>
            </w:r>
          </w:p>
        </w:tc>
        <w:tc>
          <w:tcPr>
            <w:tcW w:w="2693" w:type="dxa"/>
            <w:vAlign w:val="top"/>
            <w:textDirection w:val="lrTb"/>
            <w:noWrap w:val="false"/>
          </w:tcPr>
          <w:p>
            <w:pPr>
              <w:pStyle w:val="1135"/>
              <w:ind w:left="-2" w:right="-18"/>
              <w:jc w:val="both"/>
              <w:spacing w:before="40" w:after="40"/>
              <w:tabs>
                <w:tab w:val="left" w:pos="4464" w:leader="none"/>
                <w:tab w:val="left" w:pos="5760" w:leader="none"/>
              </w:tabs>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849" w:type="dxa"/>
            <w:vAlign w:val="top"/>
            <w:vMerge w:val="continue"/>
            <w:textDirection w:val="lrTb"/>
            <w:noWrap w:val="false"/>
          </w:tcPr>
          <w:p>
            <w:pPr>
              <w:pStyle w:val="1135"/>
              <w:jc w:val="center"/>
              <w:spacing w:before="40" w:after="40"/>
              <w:rPr>
                <w:rFonts w:eastAsia="Arial Unicode MS"/>
                <w:bCs/>
                <w:sz w:val="20"/>
                <w:szCs w:val="20"/>
              </w:rPr>
            </w:pPr>
            <w:r>
              <w:rPr>
                <w:rFonts w:eastAsia="Arial Unicode MS"/>
                <w:bCs/>
                <w:sz w:val="20"/>
                <w:szCs w:val="20"/>
              </w:rPr>
            </w:r>
            <w:r>
              <w:rPr>
                <w:rFonts w:eastAsia="Arial Unicode MS"/>
                <w:bCs/>
                <w:sz w:val="20"/>
                <w:szCs w:val="20"/>
              </w:rPr>
            </w:r>
            <w:r>
              <w:rPr>
                <w:rFonts w:eastAsia="Arial Unicode MS"/>
                <w:bCs/>
                <w:sz w:val="20"/>
                <w:szCs w:val="20"/>
              </w:rPr>
            </w:r>
          </w:p>
        </w:tc>
        <w:tc>
          <w:tcPr>
            <w:tcW w:w="3970" w:type="dxa"/>
            <w:vAlign w:val="top"/>
            <w:textDirection w:val="lrTb"/>
            <w:noWrap w:val="false"/>
          </w:tcPr>
          <w:p>
            <w:pPr>
              <w:pStyle w:val="1135"/>
              <w:jc w:val="both"/>
              <w:spacing w:before="40" w:after="40"/>
              <w:tabs>
                <w:tab w:val="left" w:pos="262" w:leader="none"/>
              </w:tabs>
              <w:rPr>
                <w:bCs/>
                <w:sz w:val="20"/>
                <w:szCs w:val="20"/>
              </w:rPr>
            </w:pPr>
            <w:r>
              <w:rPr>
                <w:bCs/>
                <w:sz w:val="20"/>
                <w:szCs w:val="20"/>
              </w:rPr>
              <w:t xml:space="preserve">-</w:t>
              <w:tab/>
              <w:t xml:space="preserve">регистрация уступки прав по договору залога ценных бумаг</w:t>
            </w:r>
            <w:r>
              <w:rPr>
                <w:bCs/>
                <w:sz w:val="20"/>
                <w:szCs w:val="20"/>
              </w:rPr>
            </w:r>
            <w:r>
              <w:rPr>
                <w:bCs/>
                <w:sz w:val="20"/>
                <w:szCs w:val="20"/>
              </w:rPr>
            </w:r>
          </w:p>
        </w:tc>
        <w:tc>
          <w:tcPr>
            <w:gridSpan w:val="2"/>
            <w:tcBorders>
              <w:top w:val="none" w:color="000000" w:sz="4" w:space="0"/>
            </w:tcBorders>
            <w:tcW w:w="2836" w:type="dxa"/>
            <w:vAlign w:val="top"/>
            <w:vMerge w:val="continue"/>
            <w:textDirection w:val="lrTb"/>
            <w:noWrap w:val="false"/>
          </w:tcPr>
          <w:p>
            <w:pPr>
              <w:pStyle w:val="1135"/>
              <w:jc w:val="center"/>
              <w:spacing w:before="40" w:after="40"/>
              <w:rPr>
                <w:sz w:val="20"/>
                <w:szCs w:val="20"/>
              </w:rPr>
            </w:pPr>
            <w:r>
              <w:rPr>
                <w:sz w:val="20"/>
                <w:szCs w:val="20"/>
              </w:rPr>
            </w:r>
            <w:r>
              <w:rPr>
                <w:sz w:val="20"/>
                <w:szCs w:val="20"/>
              </w:rPr>
            </w:r>
            <w:r>
              <w:rPr>
                <w:sz w:val="20"/>
                <w:szCs w:val="20"/>
              </w:rPr>
            </w:r>
          </w:p>
        </w:tc>
        <w:tc>
          <w:tcPr>
            <w:tcW w:w="2693" w:type="dxa"/>
            <w:vAlign w:val="top"/>
            <w:textDirection w:val="lrTb"/>
            <w:noWrap w:val="false"/>
          </w:tcPr>
          <w:p>
            <w:pPr>
              <w:pStyle w:val="1135"/>
              <w:ind w:left="-2" w:right="-18"/>
              <w:jc w:val="both"/>
              <w:spacing w:before="40" w:after="40"/>
              <w:tabs>
                <w:tab w:val="left" w:pos="4464" w:leader="none"/>
                <w:tab w:val="left" w:pos="5760" w:leader="none"/>
              </w:tabs>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849" w:type="dxa"/>
            <w:vAlign w:val="top"/>
            <w:vMerge w:val="continue"/>
            <w:textDirection w:val="lrTb"/>
            <w:noWrap w:val="false"/>
          </w:tcPr>
          <w:p>
            <w:pPr>
              <w:pStyle w:val="1135"/>
              <w:jc w:val="center"/>
              <w:spacing w:before="40" w:after="40"/>
              <w:rPr>
                <w:rFonts w:eastAsia="Arial Unicode MS"/>
                <w:bCs/>
                <w:sz w:val="20"/>
                <w:szCs w:val="20"/>
              </w:rPr>
            </w:pPr>
            <w:r>
              <w:rPr>
                <w:rFonts w:eastAsia="Arial Unicode MS"/>
                <w:bCs/>
                <w:sz w:val="20"/>
                <w:szCs w:val="20"/>
              </w:rPr>
            </w:r>
            <w:r>
              <w:rPr>
                <w:rFonts w:eastAsia="Arial Unicode MS"/>
                <w:bCs/>
                <w:sz w:val="20"/>
                <w:szCs w:val="20"/>
              </w:rPr>
            </w:r>
            <w:r>
              <w:rPr>
                <w:rFonts w:eastAsia="Arial Unicode MS"/>
                <w:bCs/>
                <w:sz w:val="20"/>
                <w:szCs w:val="20"/>
              </w:rPr>
            </w:r>
          </w:p>
        </w:tc>
        <w:tc>
          <w:tcPr>
            <w:tcW w:w="3970" w:type="dxa"/>
            <w:vAlign w:val="top"/>
            <w:textDirection w:val="lrTb"/>
            <w:noWrap w:val="false"/>
          </w:tcPr>
          <w:p>
            <w:pPr>
              <w:pStyle w:val="1135"/>
              <w:jc w:val="both"/>
              <w:spacing w:before="40" w:after="40"/>
              <w:tabs>
                <w:tab w:val="left" w:pos="214" w:leader="none"/>
              </w:tabs>
              <w:rPr>
                <w:sz w:val="20"/>
                <w:szCs w:val="20"/>
              </w:rPr>
            </w:pPr>
            <w:r>
              <w:rPr>
                <w:bCs/>
                <w:sz w:val="20"/>
                <w:szCs w:val="20"/>
              </w:rPr>
              <w:t xml:space="preserve">-</w:t>
              <w:tab/>
              <w:t xml:space="preserve">регистрация перехода прав по договору залога ценных бумаг</w:t>
            </w:r>
            <w:r>
              <w:rPr>
                <w:sz w:val="20"/>
                <w:szCs w:val="20"/>
              </w:rPr>
            </w:r>
            <w:r>
              <w:rPr>
                <w:sz w:val="20"/>
                <w:szCs w:val="20"/>
              </w:rPr>
            </w:r>
          </w:p>
        </w:tc>
        <w:tc>
          <w:tcPr>
            <w:gridSpan w:val="2"/>
            <w:tcBorders>
              <w:top w:val="none" w:color="000000" w:sz="4" w:space="0"/>
            </w:tcBorders>
            <w:tcW w:w="2836" w:type="dxa"/>
            <w:vAlign w:val="top"/>
            <w:vMerge w:val="continue"/>
            <w:textDirection w:val="lrTb"/>
            <w:noWrap w:val="false"/>
          </w:tcPr>
          <w:p>
            <w:pPr>
              <w:pStyle w:val="1135"/>
              <w:jc w:val="center"/>
              <w:spacing w:before="40" w:after="40"/>
              <w:rPr>
                <w:sz w:val="20"/>
                <w:szCs w:val="20"/>
              </w:rPr>
            </w:pPr>
            <w:r>
              <w:rPr>
                <w:sz w:val="20"/>
                <w:szCs w:val="20"/>
              </w:rPr>
            </w:r>
            <w:r>
              <w:rPr>
                <w:sz w:val="20"/>
                <w:szCs w:val="20"/>
              </w:rPr>
            </w:r>
            <w:r>
              <w:rPr>
                <w:sz w:val="20"/>
                <w:szCs w:val="20"/>
              </w:rPr>
            </w:r>
          </w:p>
        </w:tc>
        <w:tc>
          <w:tcPr>
            <w:tcW w:w="2693" w:type="dxa"/>
            <w:vAlign w:val="top"/>
            <w:textDirection w:val="lrTb"/>
            <w:noWrap w:val="false"/>
          </w:tcPr>
          <w:p>
            <w:pPr>
              <w:pStyle w:val="1135"/>
              <w:ind w:left="-2" w:right="-18"/>
              <w:jc w:val="both"/>
              <w:spacing w:before="40" w:after="40"/>
              <w:tabs>
                <w:tab w:val="left" w:pos="4464" w:leader="none"/>
                <w:tab w:val="left" w:pos="5760" w:leader="none"/>
              </w:tabs>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849" w:type="dxa"/>
            <w:vAlign w:val="top"/>
            <w:vMerge w:val="continue"/>
            <w:textDirection w:val="lrTb"/>
            <w:noWrap w:val="false"/>
          </w:tcPr>
          <w:p>
            <w:pPr>
              <w:pStyle w:val="1135"/>
              <w:jc w:val="center"/>
              <w:spacing w:before="40" w:after="40"/>
              <w:rPr>
                <w:rFonts w:eastAsia="Arial Unicode MS"/>
                <w:bCs/>
                <w:sz w:val="20"/>
                <w:szCs w:val="20"/>
              </w:rPr>
            </w:pPr>
            <w:r>
              <w:rPr>
                <w:rFonts w:eastAsia="Arial Unicode MS"/>
                <w:bCs/>
                <w:sz w:val="20"/>
                <w:szCs w:val="20"/>
              </w:rPr>
            </w:r>
            <w:r>
              <w:rPr>
                <w:rFonts w:eastAsia="Arial Unicode MS"/>
                <w:bCs/>
                <w:sz w:val="20"/>
                <w:szCs w:val="20"/>
              </w:rPr>
            </w:r>
            <w:r>
              <w:rPr>
                <w:rFonts w:eastAsia="Arial Unicode MS"/>
                <w:bCs/>
                <w:sz w:val="20"/>
                <w:szCs w:val="20"/>
              </w:rPr>
            </w:r>
          </w:p>
        </w:tc>
        <w:tc>
          <w:tcPr>
            <w:tcW w:w="3970" w:type="dxa"/>
            <w:vAlign w:val="top"/>
            <w:textDirection w:val="lrTb"/>
            <w:noWrap w:val="false"/>
          </w:tcPr>
          <w:p>
            <w:pPr>
              <w:pStyle w:val="1135"/>
              <w:jc w:val="both"/>
              <w:spacing w:before="40" w:after="40"/>
              <w:tabs>
                <w:tab w:val="left" w:pos="290" w:leader="none"/>
              </w:tabs>
              <w:rPr>
                <w:sz w:val="20"/>
                <w:szCs w:val="20"/>
              </w:rPr>
            </w:pPr>
            <w:r>
              <w:rPr>
                <w:bCs/>
                <w:sz w:val="20"/>
                <w:szCs w:val="20"/>
              </w:rPr>
              <w:t xml:space="preserve">-</w:t>
              <w:tab/>
              <w:t xml:space="preserve">административное блокирование/разблокирование ценных бумаг на счете депо</w:t>
            </w:r>
            <w:r>
              <w:rPr>
                <w:sz w:val="20"/>
                <w:szCs w:val="20"/>
              </w:rPr>
            </w:r>
            <w:r>
              <w:rPr>
                <w:sz w:val="20"/>
                <w:szCs w:val="20"/>
              </w:rPr>
            </w:r>
          </w:p>
        </w:tc>
        <w:tc>
          <w:tcPr>
            <w:gridSpan w:val="2"/>
            <w:tcW w:w="2836" w:type="dxa"/>
            <w:vAlign w:val="top"/>
            <w:textDirection w:val="lrTb"/>
            <w:noWrap w:val="false"/>
          </w:tcPr>
          <w:p>
            <w:pPr>
              <w:pStyle w:val="1135"/>
              <w:jc w:val="center"/>
              <w:spacing w:before="40" w:after="40"/>
              <w:rPr>
                <w:rFonts w:eastAsia="Arial Unicode MS"/>
                <w:sz w:val="20"/>
                <w:szCs w:val="20"/>
              </w:rPr>
            </w:pPr>
            <w:r>
              <w:rPr>
                <w:sz w:val="20"/>
                <w:szCs w:val="20"/>
              </w:rPr>
              <w:t xml:space="preserve">Комиссия не взимается</w:t>
            </w:r>
            <w:r>
              <w:rPr>
                <w:rFonts w:eastAsia="Arial Unicode MS"/>
                <w:sz w:val="20"/>
                <w:szCs w:val="20"/>
              </w:rPr>
            </w:r>
            <w:r>
              <w:rPr>
                <w:rFonts w:eastAsia="Arial Unicode MS"/>
                <w:sz w:val="20"/>
                <w:szCs w:val="20"/>
              </w:rPr>
            </w:r>
          </w:p>
        </w:tc>
        <w:tc>
          <w:tcPr>
            <w:tcW w:w="2693" w:type="dxa"/>
            <w:vAlign w:val="top"/>
            <w:textDirection w:val="lrTb"/>
            <w:noWrap w:val="false"/>
          </w:tcPr>
          <w:p>
            <w:pPr>
              <w:pStyle w:val="1135"/>
              <w:ind w:left="-2" w:right="-18"/>
              <w:jc w:val="both"/>
              <w:spacing w:before="40" w:after="40"/>
              <w:tabs>
                <w:tab w:val="left" w:pos="4464" w:leader="none"/>
                <w:tab w:val="left" w:pos="5760" w:leader="none"/>
              </w:tabs>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6"/>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1135"/>
              <w:jc w:val="center"/>
              <w:rPr>
                <w:sz w:val="20"/>
                <w:szCs w:val="20"/>
              </w:rPr>
            </w:pPr>
            <w:r>
              <w:rPr>
                <w:sz w:val="20"/>
                <w:szCs w:val="20"/>
              </w:rPr>
              <w:t xml:space="preserve">14.6. Корпоративные действия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849" w:type="dxa"/>
            <w:vAlign w:val="top"/>
            <w:textDirection w:val="lrTb"/>
            <w:noWrap w:val="false"/>
          </w:tcPr>
          <w:p>
            <w:pPr>
              <w:pStyle w:val="1135"/>
              <w:jc w:val="center"/>
              <w:spacing w:before="40"/>
              <w:rPr>
                <w:rFonts w:eastAsia="Arial Unicode MS"/>
                <w:bCs/>
                <w:sz w:val="20"/>
                <w:szCs w:val="20"/>
              </w:rPr>
            </w:pPr>
            <w:r>
              <w:rPr>
                <w:bCs/>
                <w:sz w:val="20"/>
                <w:szCs w:val="20"/>
              </w:rPr>
              <w:t xml:space="preserve">14.6.1.</w:t>
            </w:r>
            <w:r>
              <w:rPr>
                <w:rFonts w:eastAsia="Arial Unicode MS"/>
                <w:bCs/>
                <w:sz w:val="20"/>
                <w:szCs w:val="20"/>
              </w:rPr>
            </w:r>
            <w:r>
              <w:rPr>
                <w:rFonts w:eastAsia="Arial Unicode MS"/>
                <w:bCs/>
                <w:sz w:val="20"/>
                <w:szCs w:val="20"/>
              </w:rPr>
            </w:r>
          </w:p>
        </w:tc>
        <w:tc>
          <w:tcPr>
            <w:tcW w:w="3970" w:type="dxa"/>
            <w:vAlign w:val="top"/>
            <w:textDirection w:val="lrTb"/>
            <w:noWrap w:val="false"/>
          </w:tcPr>
          <w:p>
            <w:pPr>
              <w:pStyle w:val="1135"/>
              <w:jc w:val="both"/>
              <w:spacing w:before="40"/>
              <w:rPr>
                <w:bCs/>
                <w:sz w:val="20"/>
                <w:szCs w:val="20"/>
              </w:rPr>
            </w:pPr>
            <w:r>
              <w:rPr>
                <w:bCs/>
                <w:sz w:val="20"/>
                <w:szCs w:val="20"/>
              </w:rPr>
              <w:t xml:space="preserve">Извещение о корпоративных действиях эмитентов</w:t>
            </w:r>
            <w:r>
              <w:rPr>
                <w:bCs/>
                <w:sz w:val="20"/>
                <w:szCs w:val="20"/>
              </w:rPr>
            </w:r>
            <w:r>
              <w:rPr>
                <w:bCs/>
                <w:sz w:val="20"/>
                <w:szCs w:val="20"/>
              </w:rPr>
            </w:r>
          </w:p>
        </w:tc>
        <w:tc>
          <w:tcPr>
            <w:gridSpan w:val="2"/>
            <w:tcW w:w="2836" w:type="dxa"/>
            <w:vAlign w:val="top"/>
            <w:textDirection w:val="lrTb"/>
            <w:noWrap w:val="false"/>
          </w:tcPr>
          <w:p>
            <w:pPr>
              <w:pStyle w:val="1135"/>
              <w:jc w:val="center"/>
              <w:spacing w:before="40"/>
              <w:rPr>
                <w:rFonts w:eastAsia="Arial Unicode MS"/>
                <w:sz w:val="20"/>
                <w:szCs w:val="20"/>
              </w:rPr>
            </w:pPr>
            <w:r>
              <w:rPr>
                <w:sz w:val="20"/>
                <w:szCs w:val="20"/>
              </w:rPr>
              <w:t xml:space="preserve">Комиссия не взимается</w:t>
            </w:r>
            <w:r>
              <w:rPr>
                <w:rFonts w:eastAsia="Arial Unicode MS"/>
                <w:sz w:val="20"/>
                <w:szCs w:val="20"/>
              </w:rPr>
            </w:r>
            <w:r>
              <w:rPr>
                <w:rFonts w:eastAsia="Arial Unicode MS"/>
                <w:sz w:val="20"/>
                <w:szCs w:val="20"/>
              </w:rPr>
            </w:r>
          </w:p>
        </w:tc>
        <w:tc>
          <w:tcPr>
            <w:tcW w:w="2693" w:type="dxa"/>
            <w:vAlign w:val="top"/>
            <w:textDirection w:val="lrTb"/>
            <w:noWrap w:val="false"/>
          </w:tcPr>
          <w:p>
            <w:pPr>
              <w:pStyle w:val="1135"/>
              <w:ind w:left="-2" w:right="-18"/>
              <w:jc w:val="both"/>
              <w:spacing w:before="40" w:after="40"/>
              <w:tabs>
                <w:tab w:val="left" w:pos="4464" w:leader="none"/>
                <w:tab w:val="left" w:pos="5760" w:leader="none"/>
              </w:tabs>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849" w:type="dxa"/>
            <w:vAlign w:val="top"/>
            <w:vMerge w:val="restart"/>
            <w:textDirection w:val="lrTb"/>
            <w:noWrap w:val="false"/>
          </w:tcPr>
          <w:p>
            <w:pPr>
              <w:pStyle w:val="1135"/>
              <w:jc w:val="center"/>
              <w:spacing w:before="40"/>
              <w:rPr>
                <w:rFonts w:eastAsia="Arial Unicode MS"/>
                <w:bCs/>
                <w:sz w:val="20"/>
                <w:szCs w:val="20"/>
              </w:rPr>
            </w:pPr>
            <w:r>
              <w:rPr>
                <w:bCs/>
                <w:sz w:val="20"/>
                <w:szCs w:val="20"/>
              </w:rPr>
              <w:t xml:space="preserve">14.6.2.</w:t>
            </w:r>
            <w:r>
              <w:rPr>
                <w:rFonts w:eastAsia="Arial Unicode MS"/>
                <w:bCs/>
                <w:sz w:val="20"/>
                <w:szCs w:val="20"/>
              </w:rPr>
            </w:r>
            <w:r>
              <w:rPr>
                <w:rFonts w:eastAsia="Arial Unicode MS"/>
                <w:bCs/>
                <w:sz w:val="20"/>
                <w:szCs w:val="20"/>
              </w:rPr>
            </w:r>
          </w:p>
        </w:tc>
        <w:tc>
          <w:tcPr>
            <w:tcW w:w="3970" w:type="dxa"/>
            <w:vAlign w:val="top"/>
            <w:textDirection w:val="lrTb"/>
            <w:noWrap w:val="false"/>
          </w:tcPr>
          <w:p>
            <w:pPr>
              <w:pStyle w:val="1135"/>
              <w:jc w:val="both"/>
              <w:spacing w:before="40"/>
              <w:rPr>
                <w:bCs/>
                <w:sz w:val="20"/>
                <w:szCs w:val="20"/>
              </w:rPr>
            </w:pPr>
            <w:r>
              <w:rPr>
                <w:bCs/>
                <w:sz w:val="20"/>
                <w:szCs w:val="20"/>
              </w:rPr>
              <w:t xml:space="preserve">Оказание содействия в осуществлении Депонентом прав по ценным бума</w:t>
            </w:r>
            <w:r>
              <w:rPr>
                <w:bCs/>
                <w:sz w:val="20"/>
                <w:szCs w:val="20"/>
              </w:rPr>
              <w:t xml:space="preserve">гам в связи с проведением корпоративных действий путем передачи документов или информации о волеизъявлении Депонента и участие в общих собраниях акционеров по поручению клиента и голосование по доверенности (в том числе иностранных эмитентов ценных бумаг):</w:t>
            </w:r>
            <w:r>
              <w:rPr>
                <w:bCs/>
                <w:sz w:val="20"/>
                <w:szCs w:val="20"/>
              </w:rPr>
            </w:r>
            <w:r>
              <w:rPr>
                <w:bCs/>
                <w:sz w:val="20"/>
                <w:szCs w:val="20"/>
              </w:rPr>
            </w:r>
          </w:p>
        </w:tc>
        <w:tc>
          <w:tcPr>
            <w:gridSpan w:val="2"/>
            <w:tcW w:w="2836" w:type="dxa"/>
            <w:vAlign w:val="top"/>
            <w:textDirection w:val="lrTb"/>
            <w:noWrap w:val="false"/>
          </w:tcPr>
          <w:p>
            <w:pPr>
              <w:pStyle w:val="1135"/>
              <w:jc w:val="center"/>
              <w:spacing w:before="40"/>
              <w:rPr>
                <w:sz w:val="20"/>
                <w:szCs w:val="20"/>
              </w:rPr>
            </w:pPr>
            <w:r>
              <w:rPr>
                <w:sz w:val="20"/>
                <w:szCs w:val="20"/>
              </w:rPr>
            </w:r>
            <w:r>
              <w:rPr>
                <w:sz w:val="20"/>
                <w:szCs w:val="20"/>
              </w:rPr>
            </w:r>
            <w:r>
              <w:rPr>
                <w:sz w:val="20"/>
                <w:szCs w:val="20"/>
              </w:rPr>
            </w:r>
          </w:p>
        </w:tc>
        <w:tc>
          <w:tcPr>
            <w:tcW w:w="2693" w:type="dxa"/>
            <w:vAlign w:val="top"/>
            <w:textDirection w:val="lrTb"/>
            <w:noWrap w:val="false"/>
          </w:tcPr>
          <w:p>
            <w:pPr>
              <w:pStyle w:val="1135"/>
              <w:ind w:left="-2" w:right="-18"/>
              <w:jc w:val="both"/>
              <w:spacing w:before="40" w:after="40"/>
              <w:tabs>
                <w:tab w:val="left" w:pos="4464" w:leader="none"/>
                <w:tab w:val="left" w:pos="5760" w:leader="none"/>
              </w:tabs>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849" w:type="dxa"/>
            <w:vAlign w:val="top"/>
            <w:vMerge w:val="continue"/>
            <w:textDirection w:val="lrTb"/>
            <w:noWrap w:val="false"/>
          </w:tcPr>
          <w:p>
            <w:pPr>
              <w:pStyle w:val="1135"/>
              <w:jc w:val="center"/>
              <w:spacing w:before="40" w:after="40"/>
              <w:rPr>
                <w:rFonts w:eastAsia="Arial Unicode MS"/>
                <w:bCs/>
                <w:sz w:val="20"/>
                <w:szCs w:val="20"/>
              </w:rPr>
            </w:pPr>
            <w:r>
              <w:rPr>
                <w:rFonts w:eastAsia="Arial Unicode MS"/>
                <w:bCs/>
                <w:sz w:val="20"/>
                <w:szCs w:val="20"/>
              </w:rPr>
            </w:r>
            <w:r>
              <w:rPr>
                <w:rFonts w:eastAsia="Arial Unicode MS"/>
                <w:bCs/>
                <w:sz w:val="20"/>
                <w:szCs w:val="20"/>
              </w:rPr>
            </w:r>
            <w:r>
              <w:rPr>
                <w:rFonts w:eastAsia="Arial Unicode MS"/>
                <w:bCs/>
                <w:sz w:val="20"/>
                <w:szCs w:val="20"/>
              </w:rPr>
            </w:r>
          </w:p>
        </w:tc>
        <w:tc>
          <w:tcPr>
            <w:tcW w:w="3970" w:type="dxa"/>
            <w:vAlign w:val="top"/>
            <w:textDirection w:val="lrTb"/>
            <w:noWrap w:val="false"/>
          </w:tcPr>
          <w:p>
            <w:pPr>
              <w:pStyle w:val="1135"/>
              <w:jc w:val="both"/>
              <w:spacing w:before="40" w:after="40"/>
              <w:rPr>
                <w:sz w:val="20"/>
                <w:szCs w:val="20"/>
              </w:rPr>
            </w:pPr>
            <w:r>
              <w:rPr>
                <w:sz w:val="20"/>
                <w:szCs w:val="20"/>
              </w:rPr>
              <w:t xml:space="preserve">- посредством электронного голосования (дистанционное участие)</w:t>
            </w:r>
            <w:r>
              <w:rPr>
                <w:sz w:val="20"/>
                <w:szCs w:val="20"/>
              </w:rPr>
            </w:r>
            <w:r>
              <w:rPr>
                <w:sz w:val="20"/>
                <w:szCs w:val="20"/>
              </w:rPr>
            </w:r>
          </w:p>
        </w:tc>
        <w:tc>
          <w:tcPr>
            <w:gridSpan w:val="2"/>
            <w:tcW w:w="2836" w:type="dxa"/>
            <w:vAlign w:val="top"/>
            <w:textDirection w:val="lrTb"/>
            <w:noWrap w:val="false"/>
          </w:tcPr>
          <w:p>
            <w:pPr>
              <w:pStyle w:val="1135"/>
              <w:jc w:val="center"/>
              <w:spacing w:before="40" w:after="40"/>
              <w:rPr>
                <w:sz w:val="20"/>
                <w:szCs w:val="20"/>
              </w:rPr>
            </w:pPr>
            <w:r>
              <w:rPr>
                <w:sz w:val="20"/>
                <w:szCs w:val="20"/>
              </w:rPr>
              <w:t xml:space="preserve">1 500 руб.</w:t>
            </w:r>
            <w:r>
              <w:rPr>
                <w:sz w:val="20"/>
                <w:szCs w:val="20"/>
              </w:rPr>
            </w:r>
            <w:r>
              <w:rPr>
                <w:sz w:val="20"/>
                <w:szCs w:val="20"/>
              </w:rPr>
            </w:r>
          </w:p>
        </w:tc>
        <w:tc>
          <w:tcPr>
            <w:tcW w:w="2693" w:type="dxa"/>
            <w:vAlign w:val="top"/>
            <w:textDirection w:val="lrTb"/>
            <w:noWrap w:val="false"/>
          </w:tcPr>
          <w:p>
            <w:pPr>
              <w:pStyle w:val="1135"/>
              <w:ind w:left="-2" w:right="-18"/>
              <w:jc w:val="both"/>
              <w:spacing w:before="40" w:after="40"/>
              <w:tabs>
                <w:tab w:val="left" w:pos="4464" w:leader="none"/>
                <w:tab w:val="left" w:pos="5760" w:leader="none"/>
              </w:tabs>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849" w:type="dxa"/>
            <w:vAlign w:val="top"/>
            <w:vMerge w:val="continue"/>
            <w:textDirection w:val="lrTb"/>
            <w:noWrap w:val="false"/>
          </w:tcPr>
          <w:p>
            <w:pPr>
              <w:pStyle w:val="1135"/>
              <w:jc w:val="center"/>
              <w:spacing w:before="40" w:after="40"/>
              <w:rPr>
                <w:rFonts w:eastAsia="Arial Unicode MS"/>
                <w:bCs/>
                <w:sz w:val="20"/>
                <w:szCs w:val="20"/>
              </w:rPr>
            </w:pPr>
            <w:r>
              <w:rPr>
                <w:rFonts w:eastAsia="Arial Unicode MS"/>
                <w:bCs/>
                <w:sz w:val="20"/>
                <w:szCs w:val="20"/>
              </w:rPr>
            </w:r>
            <w:r>
              <w:rPr>
                <w:rFonts w:eastAsia="Arial Unicode MS"/>
                <w:bCs/>
                <w:sz w:val="20"/>
                <w:szCs w:val="20"/>
              </w:rPr>
            </w:r>
            <w:r>
              <w:rPr>
                <w:rFonts w:eastAsia="Arial Unicode MS"/>
                <w:bCs/>
                <w:sz w:val="20"/>
                <w:szCs w:val="20"/>
              </w:rPr>
            </w:r>
          </w:p>
        </w:tc>
        <w:tc>
          <w:tcPr>
            <w:tcW w:w="3970" w:type="dxa"/>
            <w:vAlign w:val="top"/>
            <w:textDirection w:val="lrTb"/>
            <w:noWrap w:val="false"/>
          </w:tcPr>
          <w:p>
            <w:pPr>
              <w:pStyle w:val="1135"/>
              <w:jc w:val="both"/>
              <w:spacing w:before="40" w:after="40"/>
              <w:rPr>
                <w:sz w:val="20"/>
                <w:szCs w:val="20"/>
              </w:rPr>
            </w:pPr>
            <w:r>
              <w:rPr>
                <w:sz w:val="20"/>
                <w:szCs w:val="20"/>
              </w:rPr>
              <w:t xml:space="preserve">- личное участие в собрании (личная передача документов или информации о волеизъявлении Депонента)</w:t>
            </w:r>
            <w:r>
              <w:rPr>
                <w:sz w:val="20"/>
                <w:szCs w:val="20"/>
              </w:rPr>
            </w:r>
            <w:r>
              <w:rPr>
                <w:sz w:val="20"/>
                <w:szCs w:val="20"/>
              </w:rPr>
            </w:r>
          </w:p>
        </w:tc>
        <w:tc>
          <w:tcPr>
            <w:gridSpan w:val="2"/>
            <w:tcW w:w="2836" w:type="dxa"/>
            <w:vAlign w:val="top"/>
            <w:textDirection w:val="lrTb"/>
            <w:noWrap w:val="false"/>
          </w:tcPr>
          <w:p>
            <w:pPr>
              <w:pStyle w:val="1135"/>
              <w:jc w:val="center"/>
              <w:spacing w:before="40" w:after="40"/>
              <w:rPr>
                <w:sz w:val="20"/>
                <w:szCs w:val="20"/>
              </w:rPr>
            </w:pPr>
            <w:r>
              <w:rPr>
                <w:sz w:val="20"/>
                <w:szCs w:val="20"/>
                <w:lang w:val="en-US"/>
              </w:rPr>
              <w:t xml:space="preserve">10</w:t>
            </w:r>
            <w:r>
              <w:rPr>
                <w:sz w:val="20"/>
                <w:szCs w:val="20"/>
              </w:rPr>
              <w:t xml:space="preserve"> </w:t>
            </w:r>
            <w:r>
              <w:rPr>
                <w:sz w:val="20"/>
                <w:szCs w:val="20"/>
                <w:lang w:val="en-US"/>
              </w:rPr>
              <w:t xml:space="preserve">0</w:t>
            </w:r>
            <w:r>
              <w:rPr>
                <w:sz w:val="20"/>
                <w:szCs w:val="20"/>
              </w:rPr>
              <w:t xml:space="preserve">00 руб.</w:t>
            </w:r>
            <w:r>
              <w:rPr>
                <w:sz w:val="20"/>
                <w:szCs w:val="20"/>
              </w:rPr>
            </w:r>
            <w:r>
              <w:rPr>
                <w:sz w:val="20"/>
                <w:szCs w:val="20"/>
              </w:rPr>
            </w:r>
          </w:p>
        </w:tc>
        <w:tc>
          <w:tcPr>
            <w:tcW w:w="2693" w:type="dxa"/>
            <w:vAlign w:val="top"/>
            <w:textDirection w:val="lrTb"/>
            <w:noWrap w:val="false"/>
          </w:tcPr>
          <w:p>
            <w:pPr>
              <w:pStyle w:val="1135"/>
              <w:ind w:left="-2" w:right="-18"/>
              <w:spacing w:before="40" w:after="40"/>
              <w:tabs>
                <w:tab w:val="left" w:pos="4464" w:leader="none"/>
                <w:tab w:val="left" w:pos="5760" w:leader="none"/>
              </w:tabs>
              <w:rPr>
                <w:sz w:val="20"/>
                <w:szCs w:val="20"/>
              </w:rPr>
            </w:pPr>
            <w:r>
              <w:rPr>
                <w:sz w:val="20"/>
                <w:szCs w:val="20"/>
              </w:rPr>
              <w:t xml:space="preserve">Дополнительно взимаются расходы на проживание, транспортные расходы и т.д. по факту (на основании выставленного счета с приложением документов, подтверждающих фактически понесенные Банком расходы)</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849" w:type="dxa"/>
            <w:vAlign w:val="top"/>
            <w:textDirection w:val="lrTb"/>
            <w:noWrap w:val="false"/>
          </w:tcPr>
          <w:p>
            <w:pPr>
              <w:pStyle w:val="1135"/>
              <w:jc w:val="center"/>
              <w:spacing w:before="40" w:after="40"/>
              <w:rPr>
                <w:rFonts w:eastAsia="Arial Unicode MS"/>
                <w:bCs/>
                <w:sz w:val="20"/>
                <w:szCs w:val="20"/>
              </w:rPr>
            </w:pPr>
            <w:r>
              <w:rPr>
                <w:bCs/>
                <w:sz w:val="20"/>
                <w:szCs w:val="20"/>
                <w:lang w:val="en-US"/>
              </w:rPr>
              <w:t xml:space="preserve">14</w:t>
            </w:r>
            <w:r>
              <w:rPr>
                <w:bCs/>
                <w:sz w:val="20"/>
                <w:szCs w:val="20"/>
              </w:rPr>
              <w:t xml:space="preserve">.6.3.</w:t>
            </w:r>
            <w:r>
              <w:rPr>
                <w:rFonts w:eastAsia="Arial Unicode MS"/>
                <w:bCs/>
                <w:sz w:val="20"/>
                <w:szCs w:val="20"/>
              </w:rPr>
            </w:r>
            <w:r>
              <w:rPr>
                <w:rFonts w:eastAsia="Arial Unicode MS"/>
                <w:bCs/>
                <w:sz w:val="20"/>
                <w:szCs w:val="20"/>
              </w:rPr>
            </w:r>
          </w:p>
        </w:tc>
        <w:tc>
          <w:tcPr>
            <w:tcW w:w="3970" w:type="dxa"/>
            <w:vAlign w:val="top"/>
            <w:textDirection w:val="lrTb"/>
            <w:noWrap w:val="false"/>
          </w:tcPr>
          <w:p>
            <w:pPr>
              <w:pStyle w:val="1135"/>
              <w:jc w:val="both"/>
              <w:spacing w:before="40" w:after="40"/>
              <w:rPr>
                <w:bCs/>
                <w:sz w:val="20"/>
                <w:szCs w:val="20"/>
              </w:rPr>
            </w:pPr>
            <w:r>
              <w:rPr>
                <w:bCs/>
                <w:sz w:val="20"/>
                <w:szCs w:val="20"/>
              </w:rPr>
              <w:t xml:space="preserve">Конвертация акций, погашение ценных бумаг и аннулирование выпуска, объединение выпуска, дробление/консолидация выпуска </w:t>
            </w:r>
            <w:r>
              <w:rPr>
                <w:bCs/>
                <w:sz w:val="20"/>
                <w:szCs w:val="20"/>
              </w:rPr>
            </w:r>
            <w:r>
              <w:rPr>
                <w:bCs/>
                <w:sz w:val="20"/>
                <w:szCs w:val="20"/>
              </w:rPr>
            </w:r>
          </w:p>
        </w:tc>
        <w:tc>
          <w:tcPr>
            <w:gridSpan w:val="2"/>
            <w:tcW w:w="2836" w:type="dxa"/>
            <w:vAlign w:val="top"/>
            <w:textDirection w:val="lrTb"/>
            <w:noWrap w:val="false"/>
          </w:tcPr>
          <w:p>
            <w:pPr>
              <w:pStyle w:val="1135"/>
              <w:jc w:val="center"/>
              <w:spacing w:before="40" w:after="40"/>
              <w:rPr>
                <w:sz w:val="20"/>
                <w:szCs w:val="20"/>
              </w:rPr>
            </w:pPr>
            <w:r>
              <w:rPr>
                <w:sz w:val="20"/>
                <w:szCs w:val="20"/>
              </w:rPr>
              <w:t xml:space="preserve">500 руб.</w:t>
            </w:r>
            <w:r>
              <w:rPr>
                <w:sz w:val="20"/>
                <w:szCs w:val="20"/>
              </w:rPr>
            </w:r>
            <w:r>
              <w:rPr>
                <w:sz w:val="20"/>
                <w:szCs w:val="20"/>
              </w:rPr>
            </w:r>
          </w:p>
          <w:p>
            <w:pPr>
              <w:pStyle w:val="1135"/>
              <w:ind w:left="-2" w:right="-18"/>
              <w:jc w:val="center"/>
              <w:spacing w:before="40" w:after="40"/>
              <w:tabs>
                <w:tab w:val="left" w:pos="4464" w:leader="none"/>
                <w:tab w:val="left" w:pos="5760" w:leader="none"/>
              </w:tabs>
              <w:rPr>
                <w:sz w:val="20"/>
                <w:szCs w:val="20"/>
              </w:rPr>
            </w:pPr>
            <w:r>
              <w:rPr>
                <w:sz w:val="20"/>
                <w:szCs w:val="20"/>
              </w:rPr>
            </w:r>
            <w:r>
              <w:rPr>
                <w:sz w:val="20"/>
                <w:szCs w:val="20"/>
              </w:rPr>
            </w:r>
            <w:r>
              <w:rPr>
                <w:sz w:val="20"/>
                <w:szCs w:val="20"/>
              </w:rPr>
            </w:r>
          </w:p>
        </w:tc>
        <w:tc>
          <w:tcPr>
            <w:tcW w:w="2693" w:type="dxa"/>
            <w:vAlign w:val="top"/>
            <w:textDirection w:val="lrTb"/>
            <w:noWrap w:val="false"/>
          </w:tcPr>
          <w:p>
            <w:pPr>
              <w:pStyle w:val="1135"/>
              <w:ind w:left="-2" w:right="-18"/>
              <w:jc w:val="both"/>
              <w:spacing w:before="40" w:after="40"/>
              <w:tabs>
                <w:tab w:val="left" w:pos="4464" w:leader="none"/>
                <w:tab w:val="left" w:pos="5760" w:leader="none"/>
              </w:tabs>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849" w:type="dxa"/>
            <w:vAlign w:val="top"/>
            <w:textDirection w:val="lrTb"/>
            <w:noWrap w:val="false"/>
          </w:tcPr>
          <w:p>
            <w:pPr>
              <w:pStyle w:val="1135"/>
              <w:jc w:val="center"/>
              <w:spacing w:before="40" w:after="40"/>
              <w:rPr>
                <w:rFonts w:eastAsia="Arial Unicode MS"/>
                <w:bCs/>
                <w:sz w:val="20"/>
                <w:szCs w:val="20"/>
              </w:rPr>
            </w:pPr>
            <w:r>
              <w:rPr>
                <w:bCs/>
                <w:sz w:val="20"/>
                <w:szCs w:val="20"/>
                <w:lang w:val="en-US"/>
              </w:rPr>
              <w:t xml:space="preserve">14</w:t>
            </w:r>
            <w:r>
              <w:rPr>
                <w:bCs/>
                <w:sz w:val="20"/>
                <w:szCs w:val="20"/>
              </w:rPr>
              <w:t xml:space="preserve">.6.4.</w:t>
            </w:r>
            <w:r>
              <w:rPr>
                <w:rFonts w:eastAsia="Arial Unicode MS"/>
                <w:bCs/>
                <w:sz w:val="20"/>
                <w:szCs w:val="20"/>
              </w:rPr>
            </w:r>
            <w:r>
              <w:rPr>
                <w:rFonts w:eastAsia="Arial Unicode MS"/>
                <w:bCs/>
                <w:sz w:val="20"/>
                <w:szCs w:val="20"/>
              </w:rPr>
            </w:r>
          </w:p>
        </w:tc>
        <w:tc>
          <w:tcPr>
            <w:tcW w:w="3970" w:type="dxa"/>
            <w:vAlign w:val="top"/>
            <w:textDirection w:val="lrTb"/>
            <w:noWrap w:val="false"/>
          </w:tcPr>
          <w:p>
            <w:pPr>
              <w:pStyle w:val="1135"/>
              <w:jc w:val="both"/>
              <w:spacing w:before="40" w:after="40"/>
              <w:rPr>
                <w:bCs/>
                <w:sz w:val="20"/>
                <w:szCs w:val="20"/>
              </w:rPr>
            </w:pPr>
            <w:r>
              <w:rPr>
                <w:bCs/>
                <w:sz w:val="20"/>
                <w:szCs w:val="20"/>
              </w:rPr>
              <w:t xml:space="preserve">Конвертация акций в депозитарные расписки (конвертация акций из депозитарных расписок)</w:t>
            </w:r>
            <w:r>
              <w:rPr>
                <w:bCs/>
                <w:sz w:val="20"/>
                <w:szCs w:val="20"/>
              </w:rPr>
            </w:r>
            <w:r>
              <w:rPr>
                <w:bCs/>
                <w:sz w:val="20"/>
                <w:szCs w:val="20"/>
              </w:rPr>
            </w:r>
          </w:p>
        </w:tc>
        <w:tc>
          <w:tcPr>
            <w:gridSpan w:val="2"/>
            <w:tcW w:w="2836" w:type="dxa"/>
            <w:vAlign w:val="top"/>
            <w:textDirection w:val="lrTb"/>
            <w:noWrap w:val="false"/>
          </w:tcPr>
          <w:p>
            <w:pPr>
              <w:pStyle w:val="1135"/>
              <w:jc w:val="center"/>
              <w:spacing w:before="40" w:after="40"/>
              <w:rPr>
                <w:sz w:val="20"/>
                <w:szCs w:val="20"/>
              </w:rPr>
            </w:pPr>
            <w:r>
              <w:rPr>
                <w:sz w:val="20"/>
                <w:szCs w:val="20"/>
              </w:rPr>
              <w:t xml:space="preserve">1 000 руб.</w:t>
            </w:r>
            <w:r>
              <w:rPr>
                <w:sz w:val="20"/>
                <w:szCs w:val="20"/>
              </w:rPr>
            </w:r>
            <w:r>
              <w:rPr>
                <w:sz w:val="20"/>
                <w:szCs w:val="20"/>
              </w:rPr>
            </w:r>
          </w:p>
          <w:p>
            <w:pPr>
              <w:pStyle w:val="1135"/>
              <w:ind w:left="-2" w:right="-18"/>
              <w:jc w:val="center"/>
              <w:spacing w:before="40" w:after="40"/>
              <w:tabs>
                <w:tab w:val="left" w:pos="4464" w:leader="none"/>
                <w:tab w:val="left" w:pos="5760" w:leader="none"/>
              </w:tabs>
              <w:rPr>
                <w:sz w:val="20"/>
                <w:szCs w:val="20"/>
              </w:rPr>
            </w:pPr>
            <w:r>
              <w:rPr>
                <w:sz w:val="20"/>
                <w:szCs w:val="20"/>
              </w:rPr>
            </w:r>
            <w:r>
              <w:rPr>
                <w:sz w:val="20"/>
                <w:szCs w:val="20"/>
              </w:rPr>
            </w:r>
            <w:r>
              <w:rPr>
                <w:sz w:val="20"/>
                <w:szCs w:val="20"/>
              </w:rPr>
            </w:r>
          </w:p>
        </w:tc>
        <w:tc>
          <w:tcPr>
            <w:tcW w:w="2693" w:type="dxa"/>
            <w:vAlign w:val="top"/>
            <w:textDirection w:val="lrTb"/>
            <w:noWrap w:val="false"/>
          </w:tcPr>
          <w:p>
            <w:pPr>
              <w:pStyle w:val="1135"/>
              <w:ind w:left="-2" w:right="-18"/>
              <w:jc w:val="both"/>
              <w:spacing w:before="40" w:after="40"/>
              <w:tabs>
                <w:tab w:val="left" w:pos="4464" w:leader="none"/>
                <w:tab w:val="left" w:pos="5760" w:leader="none"/>
              </w:tabs>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849" w:type="dxa"/>
            <w:vAlign w:val="top"/>
            <w:textDirection w:val="lrTb"/>
            <w:noWrap w:val="false"/>
          </w:tcPr>
          <w:p>
            <w:pPr>
              <w:pStyle w:val="1135"/>
              <w:jc w:val="center"/>
              <w:spacing w:before="40" w:after="40"/>
              <w:rPr>
                <w:rFonts w:eastAsia="Arial Unicode MS"/>
                <w:bCs/>
                <w:sz w:val="20"/>
                <w:szCs w:val="20"/>
              </w:rPr>
            </w:pPr>
            <w:r>
              <w:rPr>
                <w:bCs/>
                <w:sz w:val="20"/>
                <w:szCs w:val="20"/>
                <w:lang w:val="en-US"/>
              </w:rPr>
              <w:t xml:space="preserve">14</w:t>
            </w:r>
            <w:r>
              <w:rPr>
                <w:bCs/>
                <w:sz w:val="20"/>
                <w:szCs w:val="20"/>
              </w:rPr>
              <w:t xml:space="preserve">.6.5.</w:t>
            </w:r>
            <w:r>
              <w:rPr>
                <w:rFonts w:eastAsia="Arial Unicode MS"/>
                <w:bCs/>
                <w:sz w:val="20"/>
                <w:szCs w:val="20"/>
              </w:rPr>
            </w:r>
            <w:r>
              <w:rPr>
                <w:rFonts w:eastAsia="Arial Unicode MS"/>
                <w:bCs/>
                <w:sz w:val="20"/>
                <w:szCs w:val="20"/>
              </w:rPr>
            </w:r>
          </w:p>
        </w:tc>
        <w:tc>
          <w:tcPr>
            <w:tcW w:w="3970" w:type="dxa"/>
            <w:vAlign w:val="top"/>
            <w:textDirection w:val="lrTb"/>
            <w:noWrap w:val="false"/>
          </w:tcPr>
          <w:p>
            <w:pPr>
              <w:pStyle w:val="1135"/>
              <w:jc w:val="both"/>
              <w:spacing w:before="40" w:after="40"/>
              <w:rPr>
                <w:bCs/>
                <w:sz w:val="20"/>
                <w:szCs w:val="20"/>
              </w:rPr>
            </w:pPr>
            <w:r>
              <w:rPr>
                <w:bCs/>
                <w:sz w:val="20"/>
                <w:szCs w:val="20"/>
              </w:rPr>
              <w:t xml:space="preserve">Зачисление сумм доходов на денежные счета, открытые в </w:t>
              <w:br w:type="textWrapping" w:clear="all"/>
              <w:t xml:space="preserve">АО «Россельхозбанк»</w:t>
            </w:r>
            <w:r>
              <w:rPr>
                <w:bCs/>
                <w:sz w:val="20"/>
                <w:szCs w:val="20"/>
              </w:rPr>
            </w:r>
            <w:r>
              <w:rPr>
                <w:bCs/>
                <w:sz w:val="20"/>
                <w:szCs w:val="20"/>
              </w:rPr>
            </w:r>
          </w:p>
        </w:tc>
        <w:tc>
          <w:tcPr>
            <w:gridSpan w:val="2"/>
            <w:tcW w:w="2836" w:type="dxa"/>
            <w:vAlign w:val="top"/>
            <w:textDirection w:val="lrTb"/>
            <w:noWrap w:val="false"/>
          </w:tcPr>
          <w:p>
            <w:pPr>
              <w:pStyle w:val="1135"/>
              <w:jc w:val="center"/>
              <w:spacing w:before="40" w:after="40"/>
              <w:rPr>
                <w:rFonts w:eastAsia="Arial Unicode MS"/>
                <w:sz w:val="20"/>
                <w:szCs w:val="20"/>
              </w:rPr>
            </w:pPr>
            <w:r>
              <w:rPr>
                <w:sz w:val="20"/>
                <w:szCs w:val="20"/>
              </w:rPr>
              <w:t xml:space="preserve">Комиссия не взимается</w:t>
            </w:r>
            <w:r>
              <w:rPr>
                <w:rFonts w:eastAsia="Arial Unicode MS"/>
                <w:sz w:val="20"/>
                <w:szCs w:val="20"/>
              </w:rPr>
            </w:r>
            <w:r>
              <w:rPr>
                <w:rFonts w:eastAsia="Arial Unicode MS"/>
                <w:sz w:val="20"/>
                <w:szCs w:val="20"/>
              </w:rPr>
            </w:r>
          </w:p>
        </w:tc>
        <w:tc>
          <w:tcPr>
            <w:tcW w:w="2693" w:type="dxa"/>
            <w:vAlign w:val="top"/>
            <w:textDirection w:val="lrTb"/>
            <w:noWrap w:val="false"/>
          </w:tcPr>
          <w:p>
            <w:pPr>
              <w:pStyle w:val="1135"/>
              <w:ind w:left="-2" w:right="-18"/>
              <w:jc w:val="both"/>
              <w:spacing w:before="40" w:after="40"/>
              <w:tabs>
                <w:tab w:val="left" w:pos="4464" w:leader="none"/>
                <w:tab w:val="left" w:pos="5760" w:leader="none"/>
              </w:tabs>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849" w:type="dxa"/>
            <w:vAlign w:val="top"/>
            <w:vMerge w:val="restart"/>
            <w:textDirection w:val="lrTb"/>
            <w:noWrap w:val="false"/>
          </w:tcPr>
          <w:p>
            <w:pPr>
              <w:pStyle w:val="1135"/>
              <w:jc w:val="center"/>
              <w:spacing w:before="40" w:after="40"/>
              <w:rPr>
                <w:rFonts w:eastAsia="Arial Unicode MS"/>
                <w:bCs/>
                <w:sz w:val="20"/>
                <w:szCs w:val="20"/>
              </w:rPr>
            </w:pPr>
            <w:r>
              <w:rPr>
                <w:bCs/>
                <w:sz w:val="20"/>
                <w:szCs w:val="20"/>
              </w:rPr>
              <w:t xml:space="preserve">14.6.6.</w:t>
            </w:r>
            <w:r>
              <w:rPr>
                <w:rFonts w:eastAsia="Arial Unicode MS"/>
                <w:bCs/>
                <w:sz w:val="20"/>
                <w:szCs w:val="20"/>
              </w:rPr>
            </w:r>
            <w:r>
              <w:rPr>
                <w:rFonts w:eastAsia="Arial Unicode MS"/>
                <w:bCs/>
                <w:sz w:val="20"/>
                <w:szCs w:val="20"/>
              </w:rPr>
            </w:r>
          </w:p>
        </w:tc>
        <w:tc>
          <w:tcPr>
            <w:tcW w:w="3970" w:type="dxa"/>
            <w:vAlign w:val="top"/>
            <w:textDirection w:val="lrTb"/>
            <w:noWrap w:val="false"/>
          </w:tcPr>
          <w:p>
            <w:pPr>
              <w:pStyle w:val="1135"/>
              <w:jc w:val="both"/>
              <w:spacing w:before="40" w:after="40"/>
              <w:rPr>
                <w:bCs/>
                <w:sz w:val="20"/>
                <w:szCs w:val="20"/>
              </w:rPr>
            </w:pPr>
            <w:r>
              <w:rPr>
                <w:bCs/>
                <w:sz w:val="20"/>
                <w:szCs w:val="20"/>
              </w:rPr>
              <w:t xml:space="preserve">Перевод сумм доходов на счета, открытые в других банках</w:t>
            </w:r>
            <w:r>
              <w:rPr>
                <w:bCs/>
                <w:sz w:val="20"/>
                <w:szCs w:val="20"/>
              </w:rPr>
            </w:r>
            <w:r>
              <w:rPr>
                <w:bCs/>
                <w:sz w:val="20"/>
                <w:szCs w:val="20"/>
              </w:rPr>
            </w:r>
          </w:p>
        </w:tc>
        <w:tc>
          <w:tcPr>
            <w:gridSpan w:val="2"/>
            <w:tcW w:w="2836" w:type="dxa"/>
            <w:vAlign w:val="top"/>
            <w:textDirection w:val="lrTb"/>
            <w:noWrap w:val="false"/>
          </w:tcPr>
          <w:p>
            <w:pPr>
              <w:pStyle w:val="1135"/>
              <w:jc w:val="center"/>
              <w:spacing w:before="40" w:after="40"/>
              <w:rPr>
                <w:sz w:val="20"/>
                <w:szCs w:val="20"/>
              </w:rPr>
            </w:pPr>
            <w:r>
              <w:rPr>
                <w:sz w:val="20"/>
                <w:szCs w:val="20"/>
              </w:rPr>
            </w:r>
            <w:r>
              <w:rPr>
                <w:sz w:val="20"/>
                <w:szCs w:val="20"/>
              </w:rPr>
            </w:r>
            <w:r>
              <w:rPr>
                <w:sz w:val="20"/>
                <w:szCs w:val="20"/>
              </w:rPr>
            </w:r>
          </w:p>
        </w:tc>
        <w:tc>
          <w:tcPr>
            <w:tcW w:w="2693" w:type="dxa"/>
            <w:vAlign w:val="top"/>
            <w:textDirection w:val="lrTb"/>
            <w:noWrap w:val="false"/>
          </w:tcPr>
          <w:p>
            <w:pPr>
              <w:pStyle w:val="1135"/>
              <w:ind w:left="-2" w:right="-18"/>
              <w:spacing w:before="40" w:after="40"/>
              <w:tabs>
                <w:tab w:val="left" w:pos="4464" w:leader="none"/>
                <w:tab w:val="left" w:pos="5760" w:leader="none"/>
              </w:tabs>
              <w:rPr>
                <w:iCs/>
                <w:sz w:val="20"/>
                <w:szCs w:val="20"/>
              </w:rPr>
            </w:pPr>
            <w:r>
              <w:rPr>
                <w:sz w:val="20"/>
                <w:szCs w:val="20"/>
              </w:rPr>
              <w:t xml:space="preserve">В случае, если сумма перевода меньше суммы комиссии, то перевод дохода не производится, сумма зачисляется в доход Банка. </w:t>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849" w:type="dxa"/>
            <w:vAlign w:val="top"/>
            <w:vMerge w:val="continue"/>
            <w:textDirection w:val="lrTb"/>
            <w:noWrap w:val="false"/>
          </w:tcPr>
          <w:p>
            <w:pPr>
              <w:pStyle w:val="1135"/>
              <w:jc w:val="center"/>
              <w:spacing w:before="40" w:after="40"/>
              <w:rPr>
                <w:rFonts w:eastAsia="Arial Unicode MS"/>
                <w:bCs/>
                <w:sz w:val="20"/>
                <w:szCs w:val="20"/>
              </w:rPr>
            </w:pPr>
            <w:r>
              <w:rPr>
                <w:rFonts w:eastAsia="Arial Unicode MS"/>
                <w:bCs/>
                <w:sz w:val="20"/>
                <w:szCs w:val="20"/>
              </w:rPr>
            </w:r>
            <w:r>
              <w:rPr>
                <w:rFonts w:eastAsia="Arial Unicode MS"/>
                <w:bCs/>
                <w:sz w:val="20"/>
                <w:szCs w:val="20"/>
              </w:rPr>
            </w:r>
            <w:r>
              <w:rPr>
                <w:rFonts w:eastAsia="Arial Unicode MS"/>
                <w:bCs/>
                <w:sz w:val="20"/>
                <w:szCs w:val="20"/>
              </w:rPr>
            </w:r>
          </w:p>
        </w:tc>
        <w:tc>
          <w:tcPr>
            <w:tcW w:w="3970" w:type="dxa"/>
            <w:vAlign w:val="top"/>
            <w:textDirection w:val="lrTb"/>
            <w:noWrap w:val="false"/>
          </w:tcPr>
          <w:p>
            <w:pPr>
              <w:pStyle w:val="1135"/>
              <w:jc w:val="both"/>
              <w:spacing w:before="40" w:after="40"/>
              <w:rPr>
                <w:sz w:val="20"/>
                <w:szCs w:val="20"/>
              </w:rPr>
            </w:pPr>
            <w:r>
              <w:rPr>
                <w:sz w:val="20"/>
                <w:szCs w:val="20"/>
              </w:rPr>
              <w:t xml:space="preserve">- в рублях</w:t>
            </w:r>
            <w:r>
              <w:rPr>
                <w:sz w:val="20"/>
                <w:szCs w:val="20"/>
              </w:rPr>
            </w:r>
            <w:r>
              <w:rPr>
                <w:sz w:val="20"/>
                <w:szCs w:val="20"/>
              </w:rPr>
            </w:r>
          </w:p>
        </w:tc>
        <w:tc>
          <w:tcPr>
            <w:gridSpan w:val="2"/>
            <w:tcW w:w="2836" w:type="dxa"/>
            <w:vAlign w:val="top"/>
            <w:textDirection w:val="lrTb"/>
            <w:noWrap w:val="false"/>
          </w:tcPr>
          <w:p>
            <w:pPr>
              <w:pStyle w:val="1135"/>
              <w:jc w:val="center"/>
              <w:spacing w:before="40" w:after="40"/>
              <w:rPr>
                <w:sz w:val="20"/>
                <w:szCs w:val="20"/>
              </w:rPr>
            </w:pPr>
            <w:r>
              <w:rPr>
                <w:sz w:val="20"/>
                <w:szCs w:val="20"/>
              </w:rPr>
              <w:t xml:space="preserve">350 руб.</w:t>
            </w:r>
            <w:r>
              <w:rPr>
                <w:sz w:val="20"/>
                <w:szCs w:val="20"/>
              </w:rPr>
            </w:r>
            <w:r>
              <w:rPr>
                <w:sz w:val="20"/>
                <w:szCs w:val="20"/>
              </w:rPr>
            </w:r>
          </w:p>
        </w:tc>
        <w:tc>
          <w:tcPr>
            <w:tcW w:w="2693" w:type="dxa"/>
            <w:vAlign w:val="top"/>
            <w:textDirection w:val="lrTb"/>
            <w:noWrap w:val="false"/>
          </w:tcPr>
          <w:p>
            <w:pPr>
              <w:pStyle w:val="1135"/>
              <w:ind w:left="-2" w:right="-18"/>
              <w:spacing w:before="40" w:after="40"/>
              <w:tabs>
                <w:tab w:val="left" w:pos="4464" w:leader="none"/>
                <w:tab w:val="left" w:pos="5760" w:leader="none"/>
              </w:tabs>
              <w:rPr>
                <w:sz w:val="20"/>
                <w:szCs w:val="20"/>
              </w:rPr>
            </w:pPr>
            <w:r>
              <w:rPr>
                <w:sz w:val="20"/>
                <w:szCs w:val="20"/>
              </w:rPr>
              <w:t xml:space="preserve">Тариф Банка России за телеграфный перевод оплачивается дополнительно</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849" w:type="dxa"/>
            <w:vAlign w:val="top"/>
            <w:vMerge w:val="continue"/>
            <w:textDirection w:val="lrTb"/>
            <w:noWrap w:val="false"/>
          </w:tcPr>
          <w:p>
            <w:pPr>
              <w:pStyle w:val="1135"/>
              <w:jc w:val="center"/>
              <w:spacing w:before="40" w:after="40"/>
              <w:rPr>
                <w:rFonts w:eastAsia="Arial Unicode MS"/>
                <w:bCs/>
                <w:sz w:val="20"/>
                <w:szCs w:val="20"/>
              </w:rPr>
            </w:pPr>
            <w:r>
              <w:rPr>
                <w:rFonts w:eastAsia="Arial Unicode MS"/>
                <w:bCs/>
                <w:sz w:val="20"/>
                <w:szCs w:val="20"/>
              </w:rPr>
            </w:r>
            <w:r>
              <w:rPr>
                <w:rFonts w:eastAsia="Arial Unicode MS"/>
                <w:bCs/>
                <w:sz w:val="20"/>
                <w:szCs w:val="20"/>
              </w:rPr>
            </w:r>
            <w:r>
              <w:rPr>
                <w:rFonts w:eastAsia="Arial Unicode MS"/>
                <w:bCs/>
                <w:sz w:val="20"/>
                <w:szCs w:val="20"/>
              </w:rPr>
            </w:r>
          </w:p>
        </w:tc>
        <w:tc>
          <w:tcPr>
            <w:tcW w:w="3970" w:type="dxa"/>
            <w:vAlign w:val="top"/>
            <w:textDirection w:val="lrTb"/>
            <w:noWrap w:val="false"/>
          </w:tcPr>
          <w:p>
            <w:pPr>
              <w:pStyle w:val="1135"/>
              <w:jc w:val="both"/>
              <w:spacing w:before="40" w:after="40"/>
              <w:rPr>
                <w:sz w:val="20"/>
                <w:szCs w:val="20"/>
              </w:rPr>
            </w:pPr>
            <w:r>
              <w:rPr>
                <w:sz w:val="20"/>
                <w:szCs w:val="20"/>
              </w:rPr>
              <w:t xml:space="preserve">- в иностранной валюте</w:t>
            </w:r>
            <w:r>
              <w:rPr>
                <w:sz w:val="20"/>
                <w:szCs w:val="20"/>
              </w:rPr>
            </w:r>
            <w:r>
              <w:rPr>
                <w:sz w:val="20"/>
                <w:szCs w:val="20"/>
              </w:rPr>
            </w:r>
          </w:p>
        </w:tc>
        <w:tc>
          <w:tcPr>
            <w:gridSpan w:val="2"/>
            <w:tcW w:w="2836" w:type="dxa"/>
            <w:vAlign w:val="top"/>
            <w:textDirection w:val="lrTb"/>
            <w:noWrap w:val="false"/>
          </w:tcPr>
          <w:p>
            <w:pPr>
              <w:pStyle w:val="1185"/>
              <w:jc w:val="center"/>
              <w:rPr>
                <w:color w:val="000000"/>
                <w:sz w:val="20"/>
                <w:szCs w:val="20"/>
              </w:rPr>
            </w:pPr>
            <w:r>
              <w:rPr>
                <w:color w:val="000000"/>
                <w:sz w:val="20"/>
                <w:szCs w:val="20"/>
              </w:rPr>
              <w:t xml:space="preserve">2 000 руб.</w:t>
            </w:r>
            <w:r>
              <w:rPr>
                <w:color w:val="000000"/>
                <w:sz w:val="20"/>
                <w:szCs w:val="20"/>
              </w:rPr>
            </w:r>
            <w:r>
              <w:rPr>
                <w:color w:val="000000"/>
                <w:sz w:val="20"/>
                <w:szCs w:val="20"/>
              </w:rPr>
            </w:r>
          </w:p>
          <w:p>
            <w:pPr>
              <w:pStyle w:val="1185"/>
              <w:jc w:val="center"/>
              <w:rPr>
                <w:rFonts w:eastAsia="Times New Roman"/>
                <w:sz w:val="20"/>
                <w:szCs w:val="20"/>
              </w:rPr>
            </w:pPr>
            <w:r>
              <w:rPr>
                <w:rFonts w:eastAsia="Times New Roman"/>
                <w:sz w:val="20"/>
                <w:szCs w:val="20"/>
              </w:rPr>
              <w:t xml:space="preserve">1000 руб. для номинальных держателей</w:t>
            </w:r>
            <w:r>
              <w:rPr>
                <w:rFonts w:eastAsia="Times New Roman"/>
                <w:sz w:val="20"/>
                <w:szCs w:val="20"/>
              </w:rPr>
            </w:r>
            <w:r>
              <w:rPr>
                <w:rFonts w:eastAsia="Times New Roman"/>
                <w:sz w:val="20"/>
                <w:szCs w:val="20"/>
              </w:rPr>
            </w:r>
          </w:p>
        </w:tc>
        <w:tc>
          <w:tcPr>
            <w:tcW w:w="2693" w:type="dxa"/>
            <w:vAlign w:val="top"/>
            <w:textDirection w:val="lrTb"/>
            <w:noWrap w:val="false"/>
          </w:tcPr>
          <w:p>
            <w:pPr>
              <w:pStyle w:val="1135"/>
              <w:ind w:left="-2" w:right="-18"/>
              <w:spacing w:before="40" w:after="40"/>
              <w:tabs>
                <w:tab w:val="left" w:pos="4464" w:leader="none"/>
                <w:tab w:val="left" w:pos="5760" w:leader="none"/>
              </w:tabs>
              <w:rPr>
                <w:sz w:val="20"/>
                <w:szCs w:val="20"/>
              </w:rPr>
            </w:pPr>
            <w:r>
              <w:rPr>
                <w:sz w:val="20"/>
                <w:szCs w:val="20"/>
              </w:rPr>
              <w:t xml:space="preserve">Комиссии третьих банков взимаются дополнительно».</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849" w:type="dxa"/>
            <w:vAlign w:val="top"/>
            <w:textDirection w:val="lrTb"/>
            <w:noWrap w:val="false"/>
          </w:tcPr>
          <w:p>
            <w:pPr>
              <w:pStyle w:val="1135"/>
              <w:jc w:val="center"/>
              <w:spacing w:before="40" w:after="40"/>
              <w:rPr>
                <w:rFonts w:eastAsia="Arial Unicode MS"/>
                <w:bCs/>
                <w:sz w:val="20"/>
                <w:szCs w:val="20"/>
              </w:rPr>
            </w:pPr>
            <w:r>
              <w:rPr>
                <w:bCs/>
                <w:sz w:val="20"/>
                <w:szCs w:val="20"/>
              </w:rPr>
              <w:t xml:space="preserve">14.6.7.</w:t>
            </w:r>
            <w:r>
              <w:rPr>
                <w:rFonts w:eastAsia="Arial Unicode MS"/>
                <w:bCs/>
                <w:sz w:val="20"/>
                <w:szCs w:val="20"/>
              </w:rPr>
            </w:r>
            <w:r>
              <w:rPr>
                <w:rFonts w:eastAsia="Arial Unicode MS"/>
                <w:bCs/>
                <w:sz w:val="20"/>
                <w:szCs w:val="20"/>
              </w:rPr>
            </w:r>
          </w:p>
        </w:tc>
        <w:tc>
          <w:tcPr>
            <w:tcW w:w="3970" w:type="dxa"/>
            <w:vAlign w:val="top"/>
            <w:textDirection w:val="lrTb"/>
            <w:noWrap w:val="false"/>
          </w:tcPr>
          <w:p>
            <w:pPr>
              <w:pStyle w:val="1135"/>
              <w:jc w:val="both"/>
              <w:spacing w:before="40" w:after="40"/>
              <w:rPr>
                <w:sz w:val="20"/>
                <w:szCs w:val="20"/>
              </w:rPr>
            </w:pPr>
            <w:r>
              <w:rPr>
                <w:bCs/>
                <w:sz w:val="20"/>
                <w:szCs w:val="20"/>
              </w:rPr>
              <w:t xml:space="preserve">Изменение условий или аннуляция поручений клиентов на выплату доходов по ценным бумагам</w:t>
            </w:r>
            <w:r>
              <w:rPr>
                <w:sz w:val="20"/>
                <w:szCs w:val="20"/>
              </w:rPr>
            </w:r>
            <w:r>
              <w:rPr>
                <w:sz w:val="20"/>
                <w:szCs w:val="20"/>
              </w:rPr>
            </w:r>
          </w:p>
        </w:tc>
        <w:tc>
          <w:tcPr>
            <w:gridSpan w:val="2"/>
            <w:tcW w:w="2836" w:type="dxa"/>
            <w:vAlign w:val="top"/>
            <w:textDirection w:val="lrTb"/>
            <w:noWrap w:val="false"/>
          </w:tcPr>
          <w:p>
            <w:pPr>
              <w:pStyle w:val="1185"/>
              <w:jc w:val="center"/>
              <w:rPr>
                <w:color w:val="000000"/>
                <w:sz w:val="20"/>
                <w:szCs w:val="20"/>
              </w:rPr>
            </w:pPr>
            <w:r>
              <w:rPr>
                <w:sz w:val="20"/>
                <w:szCs w:val="20"/>
              </w:rPr>
              <w:t xml:space="preserve">Комиссия не взимается</w:t>
            </w:r>
            <w:r>
              <w:rPr>
                <w:color w:val="000000"/>
                <w:sz w:val="20"/>
                <w:szCs w:val="20"/>
              </w:rPr>
            </w:r>
            <w:r>
              <w:rPr>
                <w:color w:val="000000"/>
                <w:sz w:val="20"/>
                <w:szCs w:val="20"/>
              </w:rPr>
            </w:r>
          </w:p>
        </w:tc>
        <w:tc>
          <w:tcPr>
            <w:tcW w:w="2693" w:type="dxa"/>
            <w:vAlign w:val="top"/>
            <w:textDirection w:val="lrTb"/>
            <w:noWrap w:val="false"/>
          </w:tcPr>
          <w:p>
            <w:pPr>
              <w:pStyle w:val="1135"/>
              <w:ind w:left="-2" w:right="-18"/>
              <w:spacing w:before="40" w:after="40"/>
              <w:tabs>
                <w:tab w:val="left" w:pos="4464" w:leader="none"/>
                <w:tab w:val="left" w:pos="5760"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6"/>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1135"/>
              <w:jc w:val="center"/>
              <w:rPr>
                <w:sz w:val="20"/>
                <w:szCs w:val="20"/>
              </w:rPr>
            </w:pPr>
            <w:r>
              <w:rPr>
                <w:sz w:val="20"/>
                <w:szCs w:val="20"/>
              </w:rPr>
              <w:t xml:space="preserve">14.7. Прочие услуги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2"/>
            <w:tcBorders>
              <w:top w:val="single" w:color="000000" w:sz="4" w:space="0"/>
              <w:left w:val="single" w:color="000000" w:sz="4" w:space="0"/>
              <w:bottom w:val="single" w:color="000000" w:sz="4" w:space="0"/>
              <w:right w:val="single" w:color="000000" w:sz="4" w:space="0"/>
            </w:tcBorders>
            <w:tcW w:w="849" w:type="dxa"/>
            <w:vAlign w:val="top"/>
            <w:textDirection w:val="lrTb"/>
            <w:noWrap w:val="false"/>
          </w:tcPr>
          <w:p>
            <w:pPr>
              <w:pStyle w:val="1135"/>
              <w:jc w:val="center"/>
              <w:rPr>
                <w:rFonts w:eastAsia="Arial Unicode MS"/>
                <w:sz w:val="20"/>
                <w:szCs w:val="20"/>
              </w:rPr>
            </w:pPr>
            <w:r>
              <w:rPr>
                <w:sz w:val="20"/>
                <w:szCs w:val="20"/>
              </w:rPr>
              <w:t xml:space="preserve">14.7.1.</w:t>
            </w:r>
            <w:r>
              <w:rPr>
                <w:rFonts w:eastAsia="Arial Unicode MS"/>
                <w:sz w:val="20"/>
                <w:szCs w:val="20"/>
              </w:rPr>
            </w:r>
            <w:r>
              <w:rPr>
                <w:rFonts w:eastAsia="Arial Unicode MS"/>
                <w:sz w:val="20"/>
                <w:szCs w:val="20"/>
              </w:rPr>
            </w:r>
          </w:p>
        </w:tc>
        <w:tc>
          <w:tcPr>
            <w:tcBorders>
              <w:top w:val="single" w:color="000000" w:sz="4" w:space="0"/>
              <w:left w:val="single" w:color="000000" w:sz="4" w:space="0"/>
              <w:bottom w:val="single" w:color="000000" w:sz="4" w:space="0"/>
              <w:right w:val="single" w:color="000000" w:sz="4" w:space="0"/>
            </w:tcBorders>
            <w:tcW w:w="3970" w:type="dxa"/>
            <w:vAlign w:val="top"/>
            <w:textDirection w:val="lrTb"/>
            <w:noWrap w:val="false"/>
          </w:tcPr>
          <w:p>
            <w:pPr>
              <w:pStyle w:val="1135"/>
              <w:rPr>
                <w:sz w:val="20"/>
                <w:szCs w:val="20"/>
              </w:rPr>
            </w:pPr>
            <w:r>
              <w:rPr>
                <w:sz w:val="20"/>
                <w:szCs w:val="20"/>
              </w:rPr>
              <w:t xml:space="preserve">Отмена ранее предоставленного поручения</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836" w:type="dxa"/>
            <w:vAlign w:val="top"/>
            <w:textDirection w:val="lrTb"/>
            <w:noWrap w:val="false"/>
          </w:tcPr>
          <w:p>
            <w:pPr>
              <w:pStyle w:val="1135"/>
              <w:jc w:val="center"/>
              <w:rPr>
                <w:sz w:val="20"/>
                <w:szCs w:val="20"/>
              </w:rPr>
            </w:pPr>
            <w:r>
              <w:rPr>
                <w:sz w:val="20"/>
                <w:szCs w:val="20"/>
              </w:rPr>
              <w:t xml:space="preserve">3</w:t>
            </w:r>
            <w:r>
              <w:rPr>
                <w:sz w:val="20"/>
                <w:szCs w:val="20"/>
              </w:rPr>
              <w:t xml:space="preserve">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113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6"/>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1135"/>
              <w:jc w:val="center"/>
              <w:rPr>
                <w:sz w:val="20"/>
                <w:szCs w:val="20"/>
              </w:rPr>
            </w:pPr>
            <w:r>
              <w:rPr>
                <w:sz w:val="20"/>
                <w:szCs w:val="20"/>
              </w:rPr>
              <w:t xml:space="preserve">14.8. Информационные услуги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2"/>
            <w:tcBorders>
              <w:top w:val="single" w:color="000000" w:sz="4" w:space="0"/>
              <w:left w:val="single" w:color="000000" w:sz="4" w:space="0"/>
              <w:bottom w:val="single" w:color="000000" w:sz="4" w:space="0"/>
              <w:right w:val="single" w:color="000000" w:sz="4" w:space="0"/>
            </w:tcBorders>
            <w:tcW w:w="849" w:type="dxa"/>
            <w:vAlign w:val="top"/>
            <w:textDirection w:val="lrTb"/>
            <w:noWrap w:val="false"/>
          </w:tcPr>
          <w:p>
            <w:pPr>
              <w:pStyle w:val="1135"/>
              <w:jc w:val="center"/>
              <w:rPr>
                <w:rFonts w:eastAsia="Arial Unicode MS"/>
                <w:sz w:val="20"/>
                <w:szCs w:val="20"/>
              </w:rPr>
            </w:pPr>
            <w:r>
              <w:rPr>
                <w:sz w:val="20"/>
                <w:szCs w:val="20"/>
              </w:rPr>
              <w:t xml:space="preserve">14.8.1.</w:t>
            </w:r>
            <w:r>
              <w:rPr>
                <w:rFonts w:eastAsia="Arial Unicode MS"/>
                <w:sz w:val="20"/>
                <w:szCs w:val="20"/>
              </w:rPr>
            </w:r>
            <w:r>
              <w:rPr>
                <w:rFonts w:eastAsia="Arial Unicode MS"/>
                <w:sz w:val="20"/>
                <w:szCs w:val="20"/>
              </w:rPr>
            </w:r>
          </w:p>
        </w:tc>
        <w:tc>
          <w:tcPr>
            <w:tcBorders>
              <w:top w:val="single" w:color="000000" w:sz="4" w:space="0"/>
              <w:left w:val="single" w:color="000000" w:sz="4" w:space="0"/>
              <w:bottom w:val="single" w:color="000000" w:sz="4" w:space="0"/>
              <w:right w:val="single" w:color="000000" w:sz="4" w:space="0"/>
            </w:tcBorders>
            <w:tcW w:w="3970" w:type="dxa"/>
            <w:vAlign w:val="top"/>
            <w:textDirection w:val="lrTb"/>
            <w:noWrap w:val="false"/>
          </w:tcPr>
          <w:p>
            <w:pPr>
              <w:pStyle w:val="1135"/>
              <w:rPr>
                <w:sz w:val="20"/>
                <w:szCs w:val="20"/>
              </w:rPr>
            </w:pPr>
            <w:r>
              <w:rPr>
                <w:sz w:val="20"/>
                <w:szCs w:val="20"/>
              </w:rPr>
              <w:t xml:space="preserve">Отчет об исполнении операции по счету депо (после проведения операции)</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836" w:type="dxa"/>
            <w:vAlign w:val="top"/>
            <w:textDirection w:val="lrTb"/>
            <w:noWrap w:val="false"/>
          </w:tcPr>
          <w:p>
            <w:pPr>
              <w:pStyle w:val="1135"/>
              <w:jc w:val="center"/>
              <w:rPr>
                <w:rFonts w:eastAsia="Arial Unicode MS"/>
                <w:sz w:val="20"/>
                <w:szCs w:val="20"/>
              </w:rPr>
            </w:pPr>
            <w:r>
              <w:rPr>
                <w:sz w:val="20"/>
                <w:szCs w:val="20"/>
              </w:rPr>
              <w:t xml:space="preserve">Комиссия не взимается</w:t>
            </w:r>
            <w:r>
              <w:rPr>
                <w:rFonts w:eastAsia="Arial Unicode MS"/>
                <w:sz w:val="20"/>
                <w:szCs w:val="20"/>
              </w:rPr>
            </w:r>
            <w:r>
              <w:rPr>
                <w:rFonts w:eastAsia="Arial Unicode MS"/>
                <w:sz w:val="20"/>
                <w:szCs w:val="20"/>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113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849" w:type="dxa"/>
            <w:vAlign w:val="top"/>
            <w:textDirection w:val="lrTb"/>
            <w:noWrap w:val="false"/>
          </w:tcPr>
          <w:p>
            <w:pPr>
              <w:pStyle w:val="1135"/>
              <w:jc w:val="center"/>
              <w:spacing w:before="40" w:after="40"/>
              <w:rPr>
                <w:rFonts w:eastAsia="Arial Unicode MS"/>
                <w:bCs/>
                <w:sz w:val="20"/>
                <w:szCs w:val="20"/>
              </w:rPr>
            </w:pPr>
            <w:r>
              <w:rPr>
                <w:bCs/>
                <w:sz w:val="20"/>
                <w:szCs w:val="20"/>
              </w:rPr>
              <w:t xml:space="preserve">14.8.2.</w:t>
            </w:r>
            <w:r>
              <w:rPr>
                <w:rFonts w:eastAsia="Arial Unicode MS"/>
                <w:bCs/>
                <w:sz w:val="20"/>
                <w:szCs w:val="20"/>
              </w:rPr>
            </w:r>
            <w:r>
              <w:rPr>
                <w:rFonts w:eastAsia="Arial Unicode MS"/>
                <w:bCs/>
                <w:sz w:val="20"/>
                <w:szCs w:val="20"/>
              </w:rPr>
            </w:r>
          </w:p>
        </w:tc>
        <w:tc>
          <w:tcPr>
            <w:tcW w:w="3970" w:type="dxa"/>
            <w:vAlign w:val="top"/>
            <w:textDirection w:val="lrTb"/>
            <w:noWrap w:val="false"/>
          </w:tcPr>
          <w:p>
            <w:pPr>
              <w:pStyle w:val="1135"/>
              <w:jc w:val="both"/>
              <w:spacing w:before="40" w:after="40"/>
              <w:rPr>
                <w:bCs/>
                <w:sz w:val="20"/>
                <w:szCs w:val="20"/>
              </w:rPr>
            </w:pPr>
            <w:r>
              <w:rPr>
                <w:bCs/>
                <w:sz w:val="20"/>
                <w:szCs w:val="20"/>
              </w:rPr>
              <w:t xml:space="preserve">Предоставление расшифровки о расчете комиссии за хранение</w:t>
            </w:r>
            <w:r>
              <w:rPr>
                <w:bCs/>
                <w:sz w:val="20"/>
                <w:szCs w:val="20"/>
              </w:rPr>
            </w:r>
            <w:r>
              <w:rPr>
                <w:bCs/>
                <w:sz w:val="20"/>
                <w:szCs w:val="20"/>
              </w:rPr>
            </w:r>
          </w:p>
        </w:tc>
        <w:tc>
          <w:tcPr>
            <w:gridSpan w:val="2"/>
            <w:tcW w:w="2836" w:type="dxa"/>
            <w:vAlign w:val="top"/>
            <w:textDirection w:val="lrTb"/>
            <w:noWrap w:val="false"/>
          </w:tcPr>
          <w:p>
            <w:pPr>
              <w:pStyle w:val="1135"/>
              <w:jc w:val="center"/>
              <w:spacing w:before="40" w:after="40"/>
              <w:rPr>
                <w:sz w:val="20"/>
                <w:szCs w:val="20"/>
              </w:rPr>
            </w:pPr>
            <w:r>
              <w:rPr>
                <w:sz w:val="20"/>
                <w:szCs w:val="20"/>
              </w:rPr>
              <w:t xml:space="preserve">1 000 руб.</w:t>
            </w:r>
            <w:r>
              <w:rPr>
                <w:sz w:val="20"/>
                <w:szCs w:val="20"/>
              </w:rPr>
            </w:r>
            <w:r>
              <w:rPr>
                <w:sz w:val="20"/>
                <w:szCs w:val="20"/>
              </w:rPr>
            </w:r>
          </w:p>
        </w:tc>
        <w:tc>
          <w:tcPr>
            <w:tcW w:w="2693" w:type="dxa"/>
            <w:vAlign w:val="top"/>
            <w:textDirection w:val="lrTb"/>
            <w:noWrap w:val="false"/>
          </w:tcPr>
          <w:p>
            <w:pPr>
              <w:pStyle w:val="1135"/>
              <w:ind w:left="-2" w:right="-18"/>
              <w:jc w:val="both"/>
              <w:spacing w:before="40" w:after="40"/>
              <w:tabs>
                <w:tab w:val="left" w:pos="4464" w:leader="none"/>
                <w:tab w:val="left" w:pos="5760" w:leader="none"/>
              </w:tabs>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849" w:type="dxa"/>
            <w:vAlign w:val="top"/>
            <w:textDirection w:val="lrTb"/>
            <w:noWrap w:val="false"/>
          </w:tcPr>
          <w:p>
            <w:pPr>
              <w:pStyle w:val="1135"/>
              <w:jc w:val="center"/>
              <w:spacing w:before="40" w:after="40"/>
              <w:rPr>
                <w:rFonts w:eastAsia="Arial Unicode MS"/>
                <w:bCs/>
                <w:sz w:val="20"/>
                <w:szCs w:val="20"/>
              </w:rPr>
            </w:pPr>
            <w:r>
              <w:rPr>
                <w:bCs/>
                <w:sz w:val="20"/>
                <w:szCs w:val="20"/>
              </w:rPr>
              <w:t xml:space="preserve">14.8.3.</w:t>
            </w:r>
            <w:r>
              <w:rPr>
                <w:rFonts w:eastAsia="Arial Unicode MS"/>
                <w:bCs/>
                <w:sz w:val="20"/>
                <w:szCs w:val="20"/>
              </w:rPr>
            </w:r>
            <w:r>
              <w:rPr>
                <w:rFonts w:eastAsia="Arial Unicode MS"/>
                <w:bCs/>
                <w:sz w:val="20"/>
                <w:szCs w:val="20"/>
              </w:rPr>
            </w:r>
          </w:p>
        </w:tc>
        <w:tc>
          <w:tcPr>
            <w:tcW w:w="3970" w:type="dxa"/>
            <w:vAlign w:val="top"/>
            <w:textDirection w:val="lrTb"/>
            <w:noWrap w:val="false"/>
          </w:tcPr>
          <w:p>
            <w:pPr>
              <w:pStyle w:val="1135"/>
              <w:jc w:val="both"/>
              <w:spacing w:before="40" w:after="40"/>
              <w:rPr>
                <w:bCs/>
                <w:sz w:val="20"/>
                <w:szCs w:val="20"/>
              </w:rPr>
            </w:pPr>
            <w:r>
              <w:rPr>
                <w:bCs/>
                <w:sz w:val="20"/>
                <w:szCs w:val="20"/>
              </w:rPr>
              <w:t xml:space="preserve">Проверка соответствия документов (передаточных и залоговых поручений, анкет зарегистрированного лица и др.) требованиям реестродержателя, включая консультацию по заполнению документов</w:t>
            </w:r>
            <w:r>
              <w:rPr>
                <w:bCs/>
                <w:sz w:val="20"/>
                <w:szCs w:val="20"/>
              </w:rPr>
            </w:r>
            <w:r>
              <w:rPr>
                <w:bCs/>
                <w:sz w:val="20"/>
                <w:szCs w:val="20"/>
              </w:rPr>
            </w:r>
          </w:p>
        </w:tc>
        <w:tc>
          <w:tcPr>
            <w:gridSpan w:val="2"/>
            <w:tcW w:w="2836" w:type="dxa"/>
            <w:vAlign w:val="top"/>
            <w:textDirection w:val="lrTb"/>
            <w:noWrap w:val="false"/>
          </w:tcPr>
          <w:p>
            <w:pPr>
              <w:pStyle w:val="1135"/>
              <w:jc w:val="center"/>
              <w:spacing w:before="40" w:after="40"/>
              <w:rPr>
                <w:rFonts w:eastAsia="Arial Unicode MS"/>
                <w:sz w:val="20"/>
                <w:szCs w:val="20"/>
              </w:rPr>
            </w:pPr>
            <w:r>
              <w:rPr>
                <w:sz w:val="20"/>
                <w:szCs w:val="20"/>
              </w:rPr>
              <w:t xml:space="preserve">Комиссия не взимается</w:t>
            </w:r>
            <w:r>
              <w:rPr>
                <w:rFonts w:eastAsia="Arial Unicode MS"/>
                <w:sz w:val="20"/>
                <w:szCs w:val="20"/>
              </w:rPr>
            </w:r>
            <w:r>
              <w:rPr>
                <w:rFonts w:eastAsia="Arial Unicode MS"/>
                <w:sz w:val="20"/>
                <w:szCs w:val="20"/>
              </w:rPr>
            </w:r>
          </w:p>
        </w:tc>
        <w:tc>
          <w:tcPr>
            <w:tcW w:w="2693" w:type="dxa"/>
            <w:vAlign w:val="top"/>
            <w:textDirection w:val="lrTb"/>
            <w:noWrap w:val="false"/>
          </w:tcPr>
          <w:p>
            <w:pPr>
              <w:pStyle w:val="1135"/>
              <w:ind w:left="-2" w:right="-18"/>
              <w:jc w:val="both"/>
              <w:spacing w:before="40" w:after="40"/>
              <w:tabs>
                <w:tab w:val="left" w:pos="4464" w:leader="none"/>
                <w:tab w:val="left" w:pos="5760" w:leader="none"/>
              </w:tabs>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849" w:type="dxa"/>
            <w:vAlign w:val="top"/>
            <w:vMerge w:val="restart"/>
            <w:textDirection w:val="lrTb"/>
            <w:noWrap w:val="false"/>
          </w:tcPr>
          <w:p>
            <w:pPr>
              <w:pStyle w:val="1135"/>
              <w:jc w:val="center"/>
              <w:spacing w:before="40" w:after="40"/>
              <w:rPr>
                <w:rFonts w:eastAsia="Arial Unicode MS"/>
                <w:bCs/>
                <w:sz w:val="20"/>
                <w:szCs w:val="20"/>
              </w:rPr>
            </w:pPr>
            <w:r>
              <w:rPr>
                <w:bCs/>
                <w:sz w:val="20"/>
                <w:szCs w:val="20"/>
                <w:lang w:val="en-US"/>
              </w:rPr>
              <w:t xml:space="preserve">14</w:t>
            </w:r>
            <w:r>
              <w:rPr>
                <w:bCs/>
                <w:sz w:val="20"/>
                <w:szCs w:val="20"/>
              </w:rPr>
              <w:t xml:space="preserve">.8.4.</w:t>
            </w:r>
            <w:r>
              <w:rPr>
                <w:rFonts w:eastAsia="Arial Unicode MS"/>
                <w:bCs/>
                <w:sz w:val="20"/>
                <w:szCs w:val="20"/>
              </w:rPr>
            </w:r>
            <w:r>
              <w:rPr>
                <w:rFonts w:eastAsia="Arial Unicode MS"/>
                <w:bCs/>
                <w:sz w:val="20"/>
                <w:szCs w:val="20"/>
              </w:rPr>
            </w:r>
          </w:p>
        </w:tc>
        <w:tc>
          <w:tcPr>
            <w:tcW w:w="3970" w:type="dxa"/>
            <w:vAlign w:val="top"/>
            <w:textDirection w:val="lrTb"/>
            <w:noWrap w:val="false"/>
          </w:tcPr>
          <w:p>
            <w:pPr>
              <w:pStyle w:val="1135"/>
              <w:jc w:val="both"/>
              <w:spacing w:before="40" w:after="40"/>
              <w:rPr>
                <w:bCs/>
                <w:sz w:val="20"/>
                <w:szCs w:val="20"/>
              </w:rPr>
            </w:pPr>
            <w:r>
              <w:rPr>
                <w:bCs/>
                <w:sz w:val="20"/>
                <w:szCs w:val="20"/>
              </w:rPr>
            </w:r>
            <w:r>
              <w:rPr>
                <w:bCs/>
                <w:sz w:val="20"/>
                <w:szCs w:val="20"/>
              </w:rPr>
              <w:t xml:space="preserve">Ответы на запросы клиентов, связанные с проведением операций, с выдачей исторических справок, подтверждений и пр.:</w:t>
            </w:r>
            <w:r>
              <w:rPr>
                <w:bCs/>
                <w:sz w:val="20"/>
                <w:szCs w:val="20"/>
              </w:rPr>
            </w:r>
            <w:r>
              <w:rPr>
                <w:bCs/>
                <w:sz w:val="20"/>
                <w:szCs w:val="20"/>
              </w:rPr>
            </w:r>
          </w:p>
        </w:tc>
        <w:tc>
          <w:tcPr>
            <w:gridSpan w:val="2"/>
            <w:tcW w:w="2836" w:type="dxa"/>
            <w:vAlign w:val="top"/>
            <w:textDirection w:val="lrTb"/>
            <w:noWrap w:val="false"/>
          </w:tcPr>
          <w:p>
            <w:pPr>
              <w:pStyle w:val="1135"/>
              <w:ind w:left="-2" w:right="-18"/>
              <w:jc w:val="center"/>
              <w:spacing w:before="40" w:after="40"/>
              <w:tabs>
                <w:tab w:val="left" w:pos="4464" w:leader="none"/>
                <w:tab w:val="left" w:pos="5760" w:leader="none"/>
              </w:tabs>
              <w:rPr>
                <w:sz w:val="20"/>
                <w:szCs w:val="20"/>
              </w:rPr>
            </w:pPr>
            <w:r>
              <w:rPr>
                <w:sz w:val="20"/>
                <w:szCs w:val="20"/>
              </w:rPr>
            </w:r>
            <w:r>
              <w:rPr>
                <w:sz w:val="20"/>
                <w:szCs w:val="20"/>
              </w:rPr>
            </w:r>
            <w:r>
              <w:rPr>
                <w:sz w:val="20"/>
                <w:szCs w:val="20"/>
              </w:rPr>
            </w:r>
          </w:p>
        </w:tc>
        <w:tc>
          <w:tcPr>
            <w:tcW w:w="2693" w:type="dxa"/>
            <w:vAlign w:val="top"/>
            <w:textDirection w:val="lrTb"/>
            <w:noWrap w:val="false"/>
          </w:tcPr>
          <w:p>
            <w:pPr>
              <w:pStyle w:val="1135"/>
              <w:ind w:left="-2" w:right="-18"/>
              <w:jc w:val="both"/>
              <w:spacing w:before="40" w:after="40"/>
              <w:tabs>
                <w:tab w:val="left" w:pos="4464" w:leader="none"/>
                <w:tab w:val="left" w:pos="5760" w:leader="none"/>
              </w:tabs>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0"/>
        </w:trPr>
        <w:tc>
          <w:tcPr>
            <w:gridSpan w:val="2"/>
            <w:tcW w:w="849" w:type="dxa"/>
            <w:vAlign w:val="top"/>
            <w:vMerge w:val="continue"/>
            <w:textDirection w:val="lrTb"/>
            <w:noWrap w:val="false"/>
          </w:tcPr>
          <w:p>
            <w:pPr>
              <w:pStyle w:val="1135"/>
              <w:jc w:val="center"/>
              <w:spacing w:before="40" w:after="40"/>
              <w:rPr>
                <w:rFonts w:eastAsia="Arial Unicode MS"/>
                <w:bCs/>
                <w:sz w:val="20"/>
                <w:szCs w:val="20"/>
              </w:rPr>
            </w:pPr>
            <w:r>
              <w:rPr>
                <w:rFonts w:eastAsia="Arial Unicode MS"/>
                <w:bCs/>
                <w:sz w:val="20"/>
                <w:szCs w:val="20"/>
              </w:rPr>
            </w:r>
            <w:r>
              <w:rPr>
                <w:rFonts w:eastAsia="Arial Unicode MS"/>
                <w:bCs/>
                <w:sz w:val="20"/>
                <w:szCs w:val="20"/>
              </w:rPr>
            </w:r>
            <w:r>
              <w:rPr>
                <w:rFonts w:eastAsia="Arial Unicode MS"/>
                <w:bCs/>
                <w:sz w:val="20"/>
                <w:szCs w:val="20"/>
              </w:rPr>
            </w:r>
          </w:p>
        </w:tc>
        <w:tc>
          <w:tcPr>
            <w:tcW w:w="3970" w:type="dxa"/>
            <w:vAlign w:val="top"/>
            <w:textDirection w:val="lrTb"/>
            <w:noWrap w:val="false"/>
          </w:tcPr>
          <w:p>
            <w:pPr>
              <w:pStyle w:val="1135"/>
              <w:jc w:val="both"/>
              <w:spacing w:before="40" w:after="40"/>
              <w:rPr>
                <w:sz w:val="20"/>
                <w:szCs w:val="20"/>
              </w:rPr>
            </w:pPr>
            <w:r>
              <w:rPr>
                <w:sz w:val="20"/>
                <w:szCs w:val="20"/>
              </w:rPr>
            </w:r>
            <w:r>
              <w:rPr>
                <w:sz w:val="20"/>
                <w:szCs w:val="20"/>
              </w:rPr>
              <w:t xml:space="preserve">- за период до 1 года</w:t>
            </w:r>
            <w:r>
              <w:rPr>
                <w:sz w:val="20"/>
                <w:szCs w:val="20"/>
              </w:rPr>
            </w:r>
            <w:r>
              <w:rPr>
                <w:sz w:val="20"/>
                <w:szCs w:val="20"/>
              </w:rPr>
            </w:r>
          </w:p>
        </w:tc>
        <w:tc>
          <w:tcPr>
            <w:gridSpan w:val="2"/>
            <w:tcW w:w="2836" w:type="dxa"/>
            <w:vAlign w:val="top"/>
            <w:textDirection w:val="lrTb"/>
            <w:noWrap w:val="false"/>
          </w:tcPr>
          <w:p>
            <w:pPr>
              <w:pStyle w:val="1135"/>
              <w:jc w:val="center"/>
              <w:spacing w:before="40" w:after="40"/>
              <w:rPr>
                <w:sz w:val="20"/>
                <w:szCs w:val="20"/>
              </w:rPr>
            </w:pPr>
            <w:r>
              <w:rPr>
                <w:sz w:val="20"/>
                <w:szCs w:val="20"/>
                <w:lang w:val="en-US"/>
              </w:rPr>
              <w:t xml:space="preserve">1</w:t>
            </w:r>
            <w:r>
              <w:rPr>
                <w:sz w:val="20"/>
                <w:szCs w:val="20"/>
              </w:rPr>
              <w:t xml:space="preserve"> </w:t>
            </w:r>
            <w:r>
              <w:rPr>
                <w:sz w:val="20"/>
                <w:szCs w:val="20"/>
                <w:lang w:val="en-US"/>
              </w:rPr>
              <w:t xml:space="preserve">0</w:t>
            </w:r>
            <w:r>
              <w:rPr>
                <w:sz w:val="20"/>
                <w:szCs w:val="20"/>
              </w:rPr>
              <w:t xml:space="preserve">00 руб.</w:t>
            </w:r>
            <w:r>
              <w:rPr>
                <w:sz w:val="20"/>
                <w:szCs w:val="20"/>
              </w:rPr>
            </w:r>
            <w:r>
              <w:rPr>
                <w:sz w:val="20"/>
                <w:szCs w:val="20"/>
              </w:rPr>
            </w:r>
          </w:p>
        </w:tc>
        <w:tc>
          <w:tcPr>
            <w:tcW w:w="2693" w:type="dxa"/>
            <w:vAlign w:val="top"/>
            <w:vMerge w:val="restart"/>
            <w:textDirection w:val="lrTb"/>
            <w:noWrap w:val="false"/>
          </w:tcPr>
          <w:p>
            <w:pPr>
              <w:spacing w:before="40" w:after="40"/>
              <w:rPr>
                <w:sz w:val="20"/>
                <w:szCs w:val="20"/>
              </w:rPr>
            </w:pPr>
            <w:r>
              <w:rPr>
                <w:sz w:val="20"/>
                <w:szCs w:val="20"/>
              </w:rPr>
              <w:t xml:space="preserve">Ответ формируется </w:t>
            </w:r>
            <w:r>
              <w:rPr>
                <w:sz w:val="20"/>
                <w:szCs w:val="20"/>
              </w:rPr>
              <w:t xml:space="preserve">на бумажном носителе</w:t>
            </w:r>
            <w:r>
              <w:rPr>
                <w:sz w:val="20"/>
                <w:szCs w:val="20"/>
              </w:rPr>
              <w:t xml:space="preserve"> </w:t>
            </w:r>
            <w:r>
              <w:rPr>
                <w:sz w:val="20"/>
                <w:szCs w:val="20"/>
              </w:rPr>
              <w:t xml:space="preserve">за период с начальной даты, указанной в запросе Депонента до даты получения Банком запроса</w:t>
            </w:r>
            <w:r>
              <w:rPr>
                <w:sz w:val="20"/>
                <w:szCs w:val="20"/>
              </w:rPr>
            </w:r>
            <w:r>
              <w:rPr>
                <w:sz w:val="20"/>
                <w:szCs w:val="20"/>
              </w:rPr>
            </w:r>
          </w:p>
          <w:p>
            <w:pPr>
              <w:spacing w:before="40" w:after="40"/>
              <w:rPr>
                <w:sz w:val="20"/>
                <w:szCs w:val="20"/>
              </w:rPr>
            </w:pPr>
            <w:r>
              <w:rPr>
                <w:sz w:val="20"/>
                <w:szCs w:val="20"/>
              </w:rPr>
            </w:r>
            <w:r>
              <w:rPr>
                <w:sz w:val="20"/>
                <w:szCs w:val="20"/>
              </w:rPr>
            </w:r>
            <w:r>
              <w:rPr>
                <w:sz w:val="20"/>
                <w:szCs w:val="20"/>
              </w:rPr>
            </w:r>
          </w:p>
          <w:p>
            <w:pPr>
              <w:spacing w:before="40" w:after="40"/>
              <w:rPr>
                <w:sz w:val="20"/>
                <w:szCs w:val="20"/>
              </w:rPr>
            </w:pPr>
            <w:r>
              <w:rPr>
                <w:sz w:val="20"/>
                <w:szCs w:val="20"/>
              </w:rPr>
              <w:t xml:space="preserve">В случае отсутствия в запросе Депонента конкретной начальной даты предоставления информации, ответ формируется Банком за период с даты открытия счета Депонента до даты получения запроса Банком.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849" w:type="dxa"/>
            <w:vAlign w:val="top"/>
            <w:vMerge w:val="continue"/>
            <w:textDirection w:val="lrTb"/>
            <w:noWrap w:val="false"/>
          </w:tcPr>
          <w:p>
            <w:pPr>
              <w:pStyle w:val="1135"/>
              <w:jc w:val="center"/>
              <w:spacing w:before="40" w:after="40"/>
              <w:rPr>
                <w:rFonts w:eastAsia="Arial Unicode MS"/>
                <w:bCs/>
                <w:sz w:val="20"/>
                <w:szCs w:val="20"/>
              </w:rPr>
            </w:pPr>
            <w:r>
              <w:rPr>
                <w:rFonts w:eastAsia="Arial Unicode MS"/>
                <w:bCs/>
                <w:sz w:val="20"/>
                <w:szCs w:val="20"/>
              </w:rPr>
            </w:r>
            <w:r>
              <w:rPr>
                <w:rFonts w:eastAsia="Arial Unicode MS"/>
                <w:bCs/>
                <w:sz w:val="20"/>
                <w:szCs w:val="20"/>
              </w:rPr>
            </w:r>
            <w:r>
              <w:rPr>
                <w:rFonts w:eastAsia="Arial Unicode MS"/>
                <w:bCs/>
                <w:sz w:val="20"/>
                <w:szCs w:val="20"/>
              </w:rPr>
            </w:r>
          </w:p>
        </w:tc>
        <w:tc>
          <w:tcPr>
            <w:tcW w:w="3970" w:type="dxa"/>
            <w:vAlign w:val="top"/>
            <w:textDirection w:val="lrTb"/>
            <w:noWrap w:val="false"/>
          </w:tcPr>
          <w:p>
            <w:pPr>
              <w:spacing w:before="40" w:after="40"/>
              <w:rPr>
                <w:sz w:val="20"/>
                <w:szCs w:val="20"/>
              </w:rPr>
            </w:pPr>
            <w:r>
              <w:rPr>
                <w:sz w:val="20"/>
                <w:szCs w:val="20"/>
              </w:rPr>
              <w:t xml:space="preserve">- за период от 1 года</w:t>
            </w:r>
            <w:r>
              <w:rPr>
                <w:sz w:val="20"/>
                <w:szCs w:val="20"/>
              </w:rPr>
              <w:t xml:space="preserve"> </w:t>
            </w:r>
            <w:r>
              <w:rPr>
                <w:sz w:val="20"/>
                <w:szCs w:val="20"/>
              </w:rPr>
              <w:t xml:space="preserve">(включительно)</w:t>
            </w:r>
            <w:r>
              <w:rPr>
                <w:sz w:val="20"/>
                <w:szCs w:val="20"/>
              </w:rPr>
              <w:t xml:space="preserve"> до 3-х</w:t>
            </w:r>
            <w:r>
              <w:rPr>
                <w:sz w:val="20"/>
                <w:szCs w:val="20"/>
              </w:rPr>
              <w:t xml:space="preserve"> </w:t>
            </w:r>
            <w:r>
              <w:rPr>
                <w:sz w:val="20"/>
                <w:szCs w:val="20"/>
              </w:rPr>
              <w:t xml:space="preserve">лет </w:t>
            </w:r>
            <w:r>
              <w:rPr>
                <w:sz w:val="20"/>
                <w:szCs w:val="20"/>
              </w:rPr>
              <w:t xml:space="preserve">(включительно)</w:t>
            </w:r>
            <w:r>
              <w:rPr>
                <w:sz w:val="20"/>
                <w:szCs w:val="20"/>
              </w:rPr>
            </w:r>
            <w:r>
              <w:rPr>
                <w:sz w:val="20"/>
                <w:szCs w:val="20"/>
              </w:rPr>
            </w:r>
          </w:p>
        </w:tc>
        <w:tc>
          <w:tcPr>
            <w:gridSpan w:val="2"/>
            <w:tcW w:w="2836" w:type="dxa"/>
            <w:vAlign w:val="top"/>
            <w:textDirection w:val="lrTb"/>
            <w:noWrap w:val="false"/>
          </w:tcPr>
          <w:p>
            <w:pPr>
              <w:pStyle w:val="1135"/>
              <w:jc w:val="center"/>
              <w:spacing w:before="40" w:after="40"/>
              <w:rPr>
                <w:sz w:val="20"/>
                <w:szCs w:val="20"/>
              </w:rPr>
            </w:pPr>
            <w:r>
              <w:rPr>
                <w:sz w:val="20"/>
                <w:szCs w:val="20"/>
              </w:rPr>
              <w:t xml:space="preserve">3 000 руб.</w:t>
            </w:r>
            <w:r>
              <w:rPr>
                <w:sz w:val="20"/>
                <w:szCs w:val="20"/>
              </w:rPr>
            </w:r>
            <w:r>
              <w:rPr>
                <w:sz w:val="20"/>
                <w:szCs w:val="20"/>
              </w:rPr>
            </w:r>
          </w:p>
        </w:tc>
        <w:tc>
          <w:tcPr>
            <w:tcW w:w="2693" w:type="dxa"/>
            <w:vAlign w:val="top"/>
            <w:vMerge w:val="continue"/>
            <w:textDirection w:val="lrTb"/>
            <w:noWrap w:val="false"/>
          </w:tcPr>
          <w:p>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849" w:type="dxa"/>
            <w:vAlign w:val="top"/>
            <w:vMerge w:val="continue"/>
            <w:textDirection w:val="lrTb"/>
            <w:noWrap w:val="false"/>
          </w:tcPr>
          <w:p>
            <w:pPr>
              <w:pStyle w:val="1135"/>
              <w:jc w:val="center"/>
              <w:spacing w:before="40" w:after="40"/>
              <w:rPr>
                <w:rFonts w:eastAsia="Arial Unicode MS"/>
                <w:bCs/>
                <w:sz w:val="20"/>
                <w:szCs w:val="20"/>
              </w:rPr>
            </w:pPr>
            <w:r>
              <w:rPr>
                <w:rFonts w:eastAsia="Arial Unicode MS"/>
                <w:bCs/>
                <w:sz w:val="20"/>
                <w:szCs w:val="20"/>
              </w:rPr>
            </w:r>
            <w:r>
              <w:rPr>
                <w:rFonts w:eastAsia="Arial Unicode MS"/>
                <w:bCs/>
                <w:sz w:val="20"/>
                <w:szCs w:val="20"/>
              </w:rPr>
            </w:r>
            <w:r>
              <w:rPr>
                <w:rFonts w:eastAsia="Arial Unicode MS"/>
                <w:bCs/>
                <w:sz w:val="20"/>
                <w:szCs w:val="20"/>
              </w:rPr>
            </w:r>
          </w:p>
        </w:tc>
        <w:tc>
          <w:tcPr>
            <w:tcW w:w="3970" w:type="dxa"/>
            <w:vAlign w:val="top"/>
            <w:textDirection w:val="lrTb"/>
            <w:noWrap w:val="false"/>
          </w:tcPr>
          <w:p>
            <w:pPr>
              <w:spacing w:before="40" w:after="40"/>
              <w:rPr>
                <w:sz w:val="20"/>
                <w:szCs w:val="20"/>
              </w:rPr>
            </w:pPr>
            <w:r>
              <w:rPr>
                <w:sz w:val="20"/>
                <w:szCs w:val="20"/>
              </w:rPr>
              <w:t xml:space="preserve">- за период более 3-х</w:t>
            </w:r>
            <w:r>
              <w:rPr>
                <w:sz w:val="20"/>
                <w:szCs w:val="20"/>
              </w:rPr>
              <w:t xml:space="preserve"> лет</w:t>
            </w:r>
            <w:r>
              <w:rPr>
                <w:sz w:val="20"/>
                <w:szCs w:val="20"/>
              </w:rPr>
            </w:r>
            <w:r>
              <w:rPr>
                <w:sz w:val="20"/>
                <w:szCs w:val="20"/>
              </w:rPr>
            </w:r>
          </w:p>
        </w:tc>
        <w:tc>
          <w:tcPr>
            <w:gridSpan w:val="2"/>
            <w:tcW w:w="2836" w:type="dxa"/>
            <w:vAlign w:val="top"/>
            <w:textDirection w:val="lrTb"/>
            <w:noWrap w:val="false"/>
          </w:tcPr>
          <w:p>
            <w:pPr>
              <w:pStyle w:val="1135"/>
              <w:jc w:val="center"/>
              <w:spacing w:before="40" w:after="40"/>
              <w:rPr>
                <w:sz w:val="20"/>
                <w:szCs w:val="20"/>
              </w:rPr>
            </w:pPr>
            <w:r>
              <w:rPr>
                <w:sz w:val="20"/>
                <w:szCs w:val="20"/>
              </w:rPr>
              <w:t xml:space="preserve">5 00</w:t>
            </w:r>
            <w:r>
              <w:rPr>
                <w:sz w:val="20"/>
                <w:szCs w:val="20"/>
                <w:lang w:val="en-US"/>
              </w:rPr>
              <w:t xml:space="preserve">0</w:t>
            </w:r>
            <w:r>
              <w:rPr>
                <w:sz w:val="20"/>
                <w:szCs w:val="20"/>
              </w:rPr>
              <w:t xml:space="preserve"> руб.</w:t>
            </w:r>
            <w:r>
              <w:rPr>
                <w:sz w:val="20"/>
                <w:szCs w:val="20"/>
              </w:rPr>
            </w:r>
            <w:r>
              <w:rPr>
                <w:sz w:val="20"/>
                <w:szCs w:val="20"/>
              </w:rPr>
            </w:r>
          </w:p>
        </w:tc>
        <w:tc>
          <w:tcPr>
            <w:tcW w:w="2693" w:type="dxa"/>
            <w:vAlign w:val="top"/>
            <w:vMerge w:val="continue"/>
            <w:textDirection w:val="lrTb"/>
            <w:noWrap w:val="false"/>
          </w:tcPr>
          <w:p>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849" w:type="dxa"/>
            <w:vAlign w:val="top"/>
            <w:textDirection w:val="lrTb"/>
            <w:noWrap w:val="false"/>
          </w:tcPr>
          <w:p>
            <w:pPr>
              <w:pStyle w:val="1135"/>
              <w:jc w:val="center"/>
              <w:spacing w:before="40" w:after="40"/>
              <w:rPr>
                <w:rFonts w:eastAsia="Arial Unicode MS"/>
                <w:bCs/>
                <w:sz w:val="20"/>
                <w:szCs w:val="20"/>
              </w:rPr>
            </w:pPr>
            <w:r>
              <w:rPr>
                <w:bCs/>
                <w:sz w:val="20"/>
                <w:szCs w:val="20"/>
                <w:lang w:val="en-US"/>
              </w:rPr>
              <w:t xml:space="preserve">14</w:t>
            </w:r>
            <w:r>
              <w:rPr>
                <w:bCs/>
                <w:sz w:val="20"/>
                <w:szCs w:val="20"/>
              </w:rPr>
              <w:t xml:space="preserve">.8.5.</w:t>
            </w:r>
            <w:r>
              <w:rPr>
                <w:rFonts w:eastAsia="Arial Unicode MS"/>
                <w:bCs/>
                <w:sz w:val="20"/>
                <w:szCs w:val="20"/>
              </w:rPr>
            </w:r>
            <w:r>
              <w:rPr>
                <w:rFonts w:eastAsia="Arial Unicode MS"/>
                <w:bCs/>
                <w:sz w:val="20"/>
                <w:szCs w:val="20"/>
              </w:rPr>
            </w:r>
          </w:p>
        </w:tc>
        <w:tc>
          <w:tcPr>
            <w:tcW w:w="3970" w:type="dxa"/>
            <w:vAlign w:val="top"/>
            <w:textDirection w:val="lrTb"/>
            <w:noWrap w:val="false"/>
          </w:tcPr>
          <w:p>
            <w:pPr>
              <w:pStyle w:val="1135"/>
              <w:jc w:val="both"/>
              <w:spacing w:before="40" w:after="40"/>
              <w:rPr>
                <w:bCs/>
                <w:sz w:val="20"/>
                <w:szCs w:val="20"/>
              </w:rPr>
            </w:pPr>
            <w:r>
              <w:rPr>
                <w:bCs/>
                <w:sz w:val="20"/>
                <w:szCs w:val="20"/>
              </w:rPr>
              <w:t xml:space="preserve">Ответ на аудиторский запрос по счету депо Депонента</w:t>
            </w:r>
            <w:r>
              <w:rPr>
                <w:bCs/>
                <w:sz w:val="20"/>
                <w:szCs w:val="20"/>
              </w:rPr>
            </w:r>
            <w:r>
              <w:rPr>
                <w:bCs/>
                <w:sz w:val="20"/>
                <w:szCs w:val="20"/>
              </w:rPr>
            </w:r>
          </w:p>
        </w:tc>
        <w:tc>
          <w:tcPr>
            <w:gridSpan w:val="2"/>
            <w:tcW w:w="2836" w:type="dxa"/>
            <w:vAlign w:val="top"/>
            <w:textDirection w:val="lrTb"/>
            <w:noWrap w:val="false"/>
          </w:tcPr>
          <w:p>
            <w:pPr>
              <w:pStyle w:val="1135"/>
              <w:jc w:val="center"/>
              <w:spacing w:before="40" w:after="40"/>
              <w:rPr>
                <w:sz w:val="20"/>
                <w:szCs w:val="20"/>
              </w:rPr>
            </w:pPr>
            <w:r>
              <w:rPr>
                <w:sz w:val="20"/>
                <w:szCs w:val="20"/>
                <w:lang w:val="en-US"/>
              </w:rPr>
              <w:t xml:space="preserve">3</w:t>
            </w:r>
            <w:r>
              <w:rPr>
                <w:sz w:val="20"/>
                <w:szCs w:val="20"/>
              </w:rPr>
              <w:t xml:space="preserve"> </w:t>
            </w:r>
            <w:r>
              <w:rPr>
                <w:sz w:val="20"/>
                <w:szCs w:val="20"/>
                <w:lang w:val="en-US"/>
              </w:rPr>
              <w:t xml:space="preserve">0</w:t>
            </w:r>
            <w:r>
              <w:rPr>
                <w:sz w:val="20"/>
                <w:szCs w:val="20"/>
              </w:rPr>
              <w:t xml:space="preserve">00 руб.</w:t>
            </w:r>
            <w:r>
              <w:rPr>
                <w:sz w:val="20"/>
                <w:szCs w:val="20"/>
              </w:rPr>
            </w:r>
            <w:r>
              <w:rPr>
                <w:sz w:val="20"/>
                <w:szCs w:val="20"/>
              </w:rPr>
            </w:r>
          </w:p>
        </w:tc>
        <w:tc>
          <w:tcPr>
            <w:tcW w:w="2693" w:type="dxa"/>
            <w:vAlign w:val="top"/>
            <w:textDirection w:val="lrTb"/>
            <w:noWrap w:val="false"/>
          </w:tcPr>
          <w:p>
            <w:pPr>
              <w:pStyle w:val="1135"/>
              <w:ind w:left="-2" w:right="-18"/>
              <w:jc w:val="both"/>
              <w:spacing w:before="40" w:after="40"/>
              <w:tabs>
                <w:tab w:val="left" w:pos="4464" w:leader="none"/>
                <w:tab w:val="left" w:pos="5760" w:leader="none"/>
              </w:tabs>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849" w:type="dxa"/>
            <w:vAlign w:val="top"/>
            <w:textDirection w:val="lrTb"/>
            <w:noWrap w:val="false"/>
          </w:tcPr>
          <w:p>
            <w:pPr>
              <w:pStyle w:val="1135"/>
              <w:jc w:val="center"/>
              <w:spacing w:before="40" w:after="40"/>
              <w:rPr>
                <w:bCs/>
                <w:sz w:val="20"/>
                <w:szCs w:val="20"/>
                <w:lang w:val="en-US"/>
              </w:rPr>
            </w:pPr>
            <w:r>
              <w:rPr>
                <w:bCs/>
                <w:sz w:val="20"/>
                <w:szCs w:val="20"/>
              </w:rPr>
              <w:t xml:space="preserve">14.8.6.</w:t>
            </w:r>
            <w:r>
              <w:rPr>
                <w:bCs/>
                <w:sz w:val="20"/>
                <w:szCs w:val="20"/>
                <w:lang w:val="en-US"/>
              </w:rPr>
            </w:r>
            <w:r>
              <w:rPr>
                <w:bCs/>
                <w:sz w:val="20"/>
                <w:szCs w:val="20"/>
                <w:lang w:val="en-US"/>
              </w:rPr>
            </w:r>
          </w:p>
        </w:tc>
        <w:tc>
          <w:tcPr>
            <w:tcW w:w="3970" w:type="dxa"/>
            <w:vAlign w:val="top"/>
            <w:textDirection w:val="lrTb"/>
            <w:noWrap w:val="false"/>
          </w:tcPr>
          <w:p>
            <w:pPr>
              <w:pStyle w:val="975"/>
              <w:contextualSpacing w:val="0"/>
              <w:ind w:left="-6"/>
              <w:jc w:val="both"/>
              <w:spacing w:before="40" w:after="40"/>
              <w:tabs>
                <w:tab w:val="left" w:pos="1134" w:leader="none"/>
              </w:tabs>
              <w:rPr>
                <w:bCs/>
                <w:iCs/>
                <w:sz w:val="20"/>
                <w:szCs w:val="20"/>
              </w:rPr>
            </w:pPr>
            <w:r>
              <w:rPr>
                <w:bCs/>
                <w:iCs/>
                <w:sz w:val="20"/>
                <w:szCs w:val="20"/>
              </w:rPr>
              <w:t xml:space="preserve">Предоставление копий поручений,</w:t>
            </w:r>
            <w:r>
              <w:rPr>
                <w:bCs/>
                <w:iCs/>
                <w:sz w:val="20"/>
                <w:szCs w:val="20"/>
              </w:rPr>
            </w:r>
            <w:r>
              <w:rPr>
                <w:bCs/>
                <w:iCs/>
                <w:sz w:val="20"/>
                <w:szCs w:val="20"/>
              </w:rPr>
            </w:r>
          </w:p>
          <w:p>
            <w:pPr>
              <w:pStyle w:val="975"/>
              <w:ind w:left="-6"/>
              <w:jc w:val="both"/>
              <w:spacing w:before="40" w:after="40"/>
              <w:tabs>
                <w:tab w:val="left" w:pos="1134" w:leader="none"/>
              </w:tabs>
              <w:rPr>
                <w:bCs/>
                <w:iCs/>
                <w:sz w:val="20"/>
                <w:szCs w:val="20"/>
              </w:rPr>
            </w:pPr>
            <w:r>
              <w:rPr>
                <w:bCs/>
                <w:iCs/>
                <w:sz w:val="20"/>
                <w:szCs w:val="20"/>
              </w:rPr>
              <w:t xml:space="preserve">приложений, договоров и других документов (за исключением документов, указанных в п. 14.8.7 Тарифов) по запросу Депонента</w:t>
            </w:r>
            <w:r>
              <w:rPr>
                <w:bCs/>
                <w:iCs/>
                <w:sz w:val="20"/>
                <w:szCs w:val="20"/>
              </w:rPr>
            </w:r>
            <w:r>
              <w:rPr>
                <w:bCs/>
                <w:iCs/>
                <w:sz w:val="20"/>
                <w:szCs w:val="20"/>
              </w:rPr>
            </w:r>
          </w:p>
        </w:tc>
        <w:tc>
          <w:tcPr>
            <w:gridSpan w:val="2"/>
            <w:tcW w:w="2836" w:type="dxa"/>
            <w:vAlign w:val="top"/>
            <w:textDirection w:val="lrTb"/>
            <w:noWrap w:val="false"/>
          </w:tcPr>
          <w:p>
            <w:pPr>
              <w:pStyle w:val="975"/>
              <w:contextualSpacing w:val="0"/>
              <w:ind w:left="39"/>
              <w:jc w:val="center"/>
              <w:spacing w:before="40" w:after="40"/>
              <w:tabs>
                <w:tab w:val="left" w:pos="1134" w:leader="none"/>
              </w:tabs>
              <w:rPr>
                <w:b/>
                <w:bCs/>
                <w:iCs/>
                <w:sz w:val="20"/>
                <w:szCs w:val="20"/>
              </w:rPr>
            </w:pPr>
            <w:r>
              <w:rPr>
                <w:bCs/>
                <w:iCs/>
                <w:sz w:val="20"/>
                <w:szCs w:val="20"/>
              </w:rPr>
              <w:t xml:space="preserve">На бумажном носителе - </w:t>
            </w:r>
            <w:r>
              <w:rPr>
                <w:bCs/>
                <w:iCs/>
                <w:sz w:val="20"/>
                <w:szCs w:val="20"/>
              </w:rPr>
              <w:t xml:space="preserve">100 руб. за лист</w:t>
            </w:r>
            <w:r>
              <w:rPr>
                <w:b/>
                <w:bCs/>
                <w:iCs/>
                <w:sz w:val="20"/>
                <w:szCs w:val="20"/>
              </w:rPr>
            </w:r>
            <w:r>
              <w:rPr>
                <w:b/>
                <w:bCs/>
                <w:iCs/>
                <w:sz w:val="20"/>
                <w:szCs w:val="20"/>
              </w:rPr>
            </w:r>
          </w:p>
        </w:tc>
        <w:tc>
          <w:tcPr>
            <w:tcW w:w="2693" w:type="dxa"/>
            <w:vAlign w:val="top"/>
            <w:textDirection w:val="lrTb"/>
            <w:noWrap w:val="false"/>
          </w:tcPr>
          <w:p>
            <w:pPr>
              <w:pStyle w:val="1135"/>
              <w:ind w:left="-2" w:right="-18"/>
              <w:jc w:val="both"/>
              <w:spacing w:before="40" w:after="40"/>
              <w:tabs>
                <w:tab w:val="left" w:pos="4464" w:leader="none"/>
                <w:tab w:val="left" w:pos="5760" w:leader="none"/>
              </w:tabs>
              <w:rPr>
                <w:iCs/>
                <w:sz w:val="20"/>
                <w:szCs w:val="20"/>
              </w:rPr>
            </w:pPr>
            <w:r>
              <w:rPr>
                <w:iCs/>
                <w:sz w:val="20"/>
                <w:szCs w:val="20"/>
              </w:rPr>
            </w:r>
            <w:r>
              <w:rPr>
                <w:iCs/>
                <w:sz w:val="20"/>
                <w:szCs w:val="20"/>
              </w:rPr>
            </w:r>
            <w:r>
              <w:rPr>
                <w:iCs/>
                <w:sz w:val="20"/>
                <w:szCs w:val="20"/>
              </w:rPr>
            </w:r>
          </w:p>
        </w:tc>
      </w:tr>
      <w:tr>
        <w:tblPrEx/>
        <w:trPr/>
        <w:tc>
          <w:tcPr>
            <w:gridSpan w:val="2"/>
            <w:tcW w:w="849" w:type="dxa"/>
            <w:vAlign w:val="top"/>
            <w:vMerge w:val="restart"/>
            <w:textDirection w:val="lrTb"/>
            <w:noWrap w:val="false"/>
          </w:tcPr>
          <w:p>
            <w:pPr>
              <w:pStyle w:val="975"/>
              <w:contextualSpacing w:val="0"/>
              <w:ind w:left="0"/>
              <w:spacing w:before="40" w:after="40"/>
              <w:tabs>
                <w:tab w:val="left" w:pos="1134" w:leader="none"/>
              </w:tabs>
              <w:rPr>
                <w:bCs/>
                <w:iCs/>
                <w:sz w:val="20"/>
                <w:szCs w:val="20"/>
              </w:rPr>
            </w:pPr>
            <w:r>
              <w:rPr>
                <w:bCs/>
                <w:iCs/>
                <w:sz w:val="20"/>
                <w:szCs w:val="20"/>
              </w:rPr>
              <w:t xml:space="preserve">1</w:t>
            </w:r>
            <w:r>
              <w:rPr>
                <w:bCs/>
                <w:iCs/>
                <w:sz w:val="20"/>
                <w:szCs w:val="20"/>
                <w:lang w:val="en-US"/>
              </w:rPr>
              <w:t xml:space="preserve">4</w:t>
            </w:r>
            <w:r>
              <w:rPr>
                <w:bCs/>
                <w:iCs/>
                <w:sz w:val="20"/>
                <w:szCs w:val="20"/>
              </w:rPr>
              <w:t xml:space="preserve">.8.7.</w:t>
            </w:r>
            <w:r>
              <w:rPr>
                <w:bCs/>
                <w:iCs/>
                <w:sz w:val="20"/>
                <w:szCs w:val="20"/>
              </w:rPr>
            </w:r>
            <w:r>
              <w:rPr>
                <w:bCs/>
                <w:iCs/>
                <w:sz w:val="20"/>
                <w:szCs w:val="20"/>
              </w:rPr>
            </w:r>
          </w:p>
        </w:tc>
        <w:tc>
          <w:tcPr>
            <w:tcW w:w="3970" w:type="dxa"/>
            <w:vAlign w:val="top"/>
            <w:vMerge w:val="restart"/>
            <w:textDirection w:val="lrTb"/>
            <w:noWrap w:val="false"/>
          </w:tcPr>
          <w:p>
            <w:pPr>
              <w:pStyle w:val="975"/>
              <w:contextualSpacing w:val="0"/>
              <w:ind w:left="-6"/>
              <w:jc w:val="both"/>
              <w:spacing w:before="40" w:after="40"/>
              <w:tabs>
                <w:tab w:val="left" w:pos="0" w:leader="none"/>
              </w:tabs>
              <w:rPr>
                <w:bCs/>
                <w:iCs/>
                <w:sz w:val="20"/>
                <w:szCs w:val="20"/>
              </w:rPr>
            </w:pPr>
            <w:r>
              <w:rPr>
                <w:bCs/>
                <w:iCs/>
                <w:sz w:val="20"/>
                <w:szCs w:val="20"/>
              </w:rPr>
              <w:t xml:space="preserve">Предоставление отчетов и выписок со счета депо по запросу Депонента </w:t>
            </w:r>
            <w:r>
              <w:rPr>
                <w:bCs/>
                <w:iCs/>
                <w:sz w:val="20"/>
                <w:szCs w:val="20"/>
              </w:rPr>
              <w:t xml:space="preserve">(за исключением документов, указанных в </w:t>
            </w:r>
            <w:r>
              <w:rPr>
                <w:bCs/>
                <w:iCs/>
                <w:sz w:val="20"/>
                <w:szCs w:val="20"/>
              </w:rPr>
              <w:t xml:space="preserve">п.</w:t>
            </w:r>
            <w:r>
              <w:rPr>
                <w:bCs/>
                <w:iCs/>
                <w:sz w:val="20"/>
                <w:szCs w:val="20"/>
              </w:rPr>
              <w:t xml:space="preserve">п</w:t>
            </w:r>
            <w:r>
              <w:rPr>
                <w:bCs/>
                <w:iCs/>
                <w:sz w:val="20"/>
                <w:szCs w:val="20"/>
              </w:rPr>
              <w:t xml:space="preserve">.</w:t>
            </w:r>
            <w:r>
              <w:rPr>
                <w:bCs/>
                <w:iCs/>
                <w:sz w:val="20"/>
                <w:szCs w:val="20"/>
              </w:rPr>
              <w:t xml:space="preserve"> 14.8.1</w:t>
            </w:r>
            <w:r>
              <w:rPr>
                <w:bCs/>
                <w:iCs/>
                <w:sz w:val="20"/>
                <w:szCs w:val="20"/>
              </w:rPr>
              <w:t xml:space="preserve">, 14.8.4 </w:t>
            </w:r>
            <w:r>
              <w:rPr>
                <w:bCs/>
                <w:iCs/>
                <w:sz w:val="20"/>
                <w:szCs w:val="20"/>
              </w:rPr>
              <w:t xml:space="preserve"> Тарифов)</w:t>
            </w:r>
            <w:r>
              <w:rPr>
                <w:bCs/>
                <w:iCs/>
                <w:sz w:val="20"/>
                <w:szCs w:val="20"/>
              </w:rPr>
            </w:r>
            <w:r>
              <w:rPr>
                <w:bCs/>
                <w:iCs/>
                <w:sz w:val="20"/>
                <w:szCs w:val="20"/>
              </w:rPr>
            </w:r>
          </w:p>
        </w:tc>
        <w:tc>
          <w:tcPr>
            <w:gridSpan w:val="2"/>
            <w:tcW w:w="2836" w:type="dxa"/>
            <w:vAlign w:val="top"/>
            <w:vMerge w:val="restart"/>
            <w:textDirection w:val="lrTb"/>
            <w:noWrap w:val="false"/>
          </w:tcPr>
          <w:p>
            <w:pPr>
              <w:pStyle w:val="975"/>
              <w:contextualSpacing w:val="0"/>
              <w:ind w:left="39"/>
              <w:jc w:val="center"/>
              <w:spacing w:before="40" w:after="40"/>
              <w:tabs>
                <w:tab w:val="left" w:pos="1134" w:leader="none"/>
              </w:tabs>
              <w:rPr>
                <w:b/>
                <w:bCs/>
                <w:iCs/>
                <w:sz w:val="20"/>
                <w:szCs w:val="20"/>
              </w:rPr>
            </w:pPr>
            <w:r>
              <w:rPr>
                <w:bCs/>
                <w:iCs/>
                <w:sz w:val="20"/>
                <w:szCs w:val="20"/>
              </w:rPr>
              <w:t xml:space="preserve">На бумажном носителе - 15</w:t>
            </w:r>
            <w:r>
              <w:rPr>
                <w:bCs/>
                <w:iCs/>
                <w:sz w:val="20"/>
                <w:szCs w:val="20"/>
              </w:rPr>
              <w:t xml:space="preserve">0 руб.</w:t>
            </w:r>
            <w:r>
              <w:rPr>
                <w:bCs/>
                <w:iCs/>
                <w:sz w:val="20"/>
                <w:szCs w:val="20"/>
              </w:rPr>
              <w:t xml:space="preserve"> </w:t>
            </w:r>
            <w:r>
              <w:rPr>
                <w:bCs/>
                <w:iCs/>
                <w:sz w:val="20"/>
                <w:szCs w:val="20"/>
              </w:rPr>
              <w:t xml:space="preserve">за документ (без учета количества листов)</w:t>
            </w:r>
            <w:r>
              <w:rPr>
                <w:b/>
                <w:bCs/>
                <w:iCs/>
                <w:sz w:val="20"/>
                <w:szCs w:val="20"/>
              </w:rPr>
            </w:r>
            <w:r>
              <w:rPr>
                <w:b/>
                <w:bCs/>
                <w:iCs/>
                <w:sz w:val="20"/>
                <w:szCs w:val="20"/>
              </w:rPr>
            </w:r>
          </w:p>
        </w:tc>
        <w:tc>
          <w:tcPr>
            <w:tcW w:w="2693" w:type="dxa"/>
            <w:vAlign w:val="top"/>
            <w:vMerge w:val="restart"/>
            <w:textDirection w:val="lrTb"/>
            <w:noWrap w:val="false"/>
          </w:tcPr>
          <w:p>
            <w:pPr>
              <w:pStyle w:val="1135"/>
              <w:ind w:left="-2" w:right="-18"/>
              <w:jc w:val="both"/>
              <w:spacing w:before="40" w:after="40"/>
              <w:tabs>
                <w:tab w:val="left" w:pos="4464" w:leader="none"/>
                <w:tab w:val="left" w:pos="5760" w:leader="none"/>
              </w:tabs>
              <w:rPr>
                <w:iCs/>
                <w:sz w:val="20"/>
                <w:szCs w:val="20"/>
              </w:rPr>
            </w:pPr>
            <w:r>
              <w:rPr>
                <w:iCs/>
                <w:sz w:val="20"/>
                <w:szCs w:val="20"/>
              </w:rPr>
            </w:r>
            <w:r>
              <w:rPr>
                <w:iCs/>
                <w:sz w:val="20"/>
                <w:szCs w:val="20"/>
              </w:rPr>
            </w:r>
            <w:r>
              <w:rPr>
                <w:iCs/>
                <w:sz w:val="20"/>
                <w:szCs w:val="20"/>
              </w:rPr>
            </w:r>
          </w:p>
        </w:tc>
      </w:tr>
    </w:tbl>
    <w:p>
      <w:pPr>
        <w:pStyle w:val="1135"/>
        <w:rPr>
          <w:i/>
          <w:sz w:val="16"/>
          <w:szCs w:val="16"/>
        </w:rPr>
      </w:pPr>
      <w:r>
        <w:rPr>
          <w:i/>
          <w:sz w:val="16"/>
          <w:szCs w:val="16"/>
        </w:rPr>
        <w:t xml:space="preserve">** Порядок расчета и взимания комиссии осуществляется на основании Условий осуществления депозитарной деятельности.</w:t>
      </w:r>
      <w:r>
        <w:rPr>
          <w:i/>
          <w:sz w:val="16"/>
          <w:szCs w:val="16"/>
        </w:rPr>
      </w:r>
      <w:r>
        <w:rPr>
          <w:i/>
          <w:sz w:val="16"/>
          <w:szCs w:val="16"/>
        </w:rPr>
      </w:r>
    </w:p>
    <w:p>
      <w:pPr>
        <w:pStyle w:val="1135"/>
      </w:pPr>
      <w:r/>
      <w:r/>
    </w:p>
    <w:p>
      <w:pPr>
        <w:pStyle w:val="1139"/>
      </w:pPr>
      <w:r>
        <w:t xml:space="preserve">15.</w:t>
      </w:r>
      <w:r>
        <w:t xml:space="preserve"> </w:t>
      </w:r>
      <w:r>
        <w:t xml:space="preserve">Операции</w:t>
      </w:r>
      <w:r>
        <w:t xml:space="preserve"> </w:t>
      </w:r>
      <w:r>
        <w:t xml:space="preserve">с</w:t>
      </w:r>
      <w:r>
        <w:t xml:space="preserve"> </w:t>
      </w:r>
      <w:r>
        <w:t xml:space="preserve">монетами</w:t>
      </w:r>
      <w:r>
        <w:t xml:space="preserve"> </w:t>
      </w:r>
      <w:r>
        <w:t xml:space="preserve">из</w:t>
      </w:r>
      <w:r>
        <w:t xml:space="preserve"> </w:t>
      </w:r>
      <w:r>
        <w:t xml:space="preserve">драгоценных</w:t>
      </w:r>
      <w:r>
        <w:t xml:space="preserve"> </w:t>
      </w:r>
      <w:r>
        <w:t xml:space="preserve">металлов</w:t>
      </w:r>
      <w:r/>
    </w:p>
    <w:p>
      <w:pPr>
        <w:pStyle w:val="1135"/>
      </w:pPr>
      <w: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0"/>
        <w:gridCol w:w="3969"/>
        <w:gridCol w:w="1985"/>
        <w:gridCol w:w="35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35"/>
              <w:jc w:val="center"/>
              <w:rPr>
                <w:b/>
                <w:sz w:val="20"/>
                <w:szCs w:val="20"/>
              </w:rPr>
            </w:pPr>
            <w:r>
              <w:rPr>
                <w:b/>
                <w:sz w:val="20"/>
                <w:szCs w:val="20"/>
              </w:rPr>
              <w:t xml:space="preserve">№ п/п</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35"/>
              <w:jc w:val="center"/>
              <w:rPr>
                <w:b/>
                <w:sz w:val="20"/>
                <w:szCs w:val="20"/>
              </w:rPr>
            </w:pPr>
            <w:r>
              <w:rPr>
                <w:b/>
                <w:sz w:val="20"/>
                <w:szCs w:val="20"/>
              </w:rPr>
              <w:t xml:space="preserve">Наименование услуги</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35"/>
              <w:jc w:val="center"/>
              <w:rPr>
                <w:b/>
                <w:sz w:val="20"/>
                <w:szCs w:val="20"/>
              </w:rPr>
            </w:pPr>
            <w:r>
              <w:rPr>
                <w:b/>
                <w:sz w:val="20"/>
                <w:szCs w:val="20"/>
              </w:rPr>
              <w:t xml:space="preserve">Тариф</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35"/>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35"/>
              <w:jc w:val="center"/>
              <w:rPr>
                <w:sz w:val="20"/>
                <w:szCs w:val="20"/>
              </w:rPr>
            </w:pPr>
            <w:r>
              <w:rPr>
                <w:sz w:val="20"/>
                <w:szCs w:val="20"/>
              </w:rPr>
              <w:t xml:space="preserve">15.1.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35"/>
              <w:jc w:val="both"/>
              <w:spacing w:before="40"/>
              <w:tabs>
                <w:tab w:val="center" w:pos="1260" w:leader="none"/>
                <w:tab w:val="right" w:pos="9355" w:leader="none"/>
              </w:tabs>
              <w:rPr>
                <w:sz w:val="20"/>
                <w:szCs w:val="20"/>
              </w:rPr>
            </w:pPr>
            <w:r>
              <w:rPr>
                <w:sz w:val="20"/>
                <w:szCs w:val="20"/>
              </w:rPr>
              <w:t xml:space="preserve">Покупка монет Банка России из драгоценных металлов по договору комиссии в территориальном учреждении Банка России/у других контрагентов</w:t>
            </w:r>
            <w:r>
              <w:rPr>
                <w:sz w:val="20"/>
                <w:szCs w:val="20"/>
              </w:rPr>
            </w:r>
            <w:r>
              <w:rPr>
                <w:sz w:val="20"/>
                <w:szCs w:val="20"/>
              </w:rPr>
            </w:r>
          </w:p>
          <w:p>
            <w:pPr>
              <w:pStyle w:val="1135"/>
              <w:ind w:firstLine="176"/>
              <w:tabs>
                <w:tab w:val="right" w:pos="9355" w:leader="none"/>
              </w:tabs>
              <w:rPr>
                <w:sz w:val="20"/>
                <w:szCs w:val="20"/>
              </w:rPr>
            </w:pPr>
            <w:r>
              <w:rPr>
                <w:sz w:val="20"/>
                <w:szCs w:val="20"/>
              </w:rPr>
              <w:t xml:space="preserve">Характеристика и количество монет:</w:t>
            </w:r>
            <w:r>
              <w:rPr>
                <w:sz w:val="20"/>
                <w:szCs w:val="20"/>
              </w:rPr>
            </w:r>
            <w:r>
              <w:rPr>
                <w:sz w:val="20"/>
                <w:szCs w:val="20"/>
              </w:rPr>
            </w:r>
          </w:p>
          <w:p>
            <w:pPr>
              <w:pStyle w:val="1135"/>
              <w:ind w:left="34"/>
              <w:tabs>
                <w:tab w:val="center" w:pos="34" w:leader="none"/>
                <w:tab w:val="right" w:pos="9355" w:leader="none"/>
              </w:tabs>
              <w:rPr>
                <w:sz w:val="20"/>
                <w:szCs w:val="20"/>
              </w:rPr>
            </w:pPr>
            <w:r>
              <w:rPr>
                <w:sz w:val="20"/>
                <w:szCs w:val="20"/>
              </w:rPr>
              <w:t xml:space="preserve">- золото, качество чеканки «анциркулейтед», 7,78 г</w:t>
            </w:r>
            <w:r>
              <w:rPr>
                <w:sz w:val="20"/>
                <w:szCs w:val="20"/>
              </w:rPr>
            </w:r>
            <w:r>
              <w:rPr>
                <w:sz w:val="20"/>
                <w:szCs w:val="20"/>
              </w:rPr>
            </w:r>
          </w:p>
          <w:p>
            <w:pPr>
              <w:pStyle w:val="1135"/>
              <w:ind w:left="317"/>
              <w:jc w:val="both"/>
              <w:tabs>
                <w:tab w:val="center" w:pos="317" w:leader="none"/>
                <w:tab w:val="center" w:pos="1260" w:leader="none"/>
                <w:tab w:val="right" w:pos="9355" w:leader="none"/>
              </w:tabs>
              <w:rPr>
                <w:sz w:val="20"/>
                <w:szCs w:val="20"/>
              </w:rPr>
            </w:pPr>
            <w:r>
              <w:rPr>
                <w:sz w:val="20"/>
                <w:szCs w:val="20"/>
              </w:rPr>
              <w:t xml:space="preserve">от 300 до 499 шт.</w:t>
            </w:r>
            <w:r>
              <w:rPr>
                <w:sz w:val="20"/>
                <w:szCs w:val="20"/>
              </w:rPr>
            </w:r>
            <w:r>
              <w:rPr>
                <w:sz w:val="20"/>
                <w:szCs w:val="20"/>
              </w:rPr>
            </w:r>
          </w:p>
          <w:p>
            <w:pPr>
              <w:pStyle w:val="1135"/>
              <w:ind w:left="317"/>
              <w:jc w:val="both"/>
              <w:tabs>
                <w:tab w:val="center" w:pos="317" w:leader="none"/>
                <w:tab w:val="center" w:pos="1260" w:leader="none"/>
                <w:tab w:val="right" w:pos="9355" w:leader="none"/>
              </w:tabs>
              <w:rPr>
                <w:sz w:val="20"/>
                <w:szCs w:val="20"/>
              </w:rPr>
            </w:pPr>
            <w:r>
              <w:rPr>
                <w:sz w:val="20"/>
                <w:szCs w:val="20"/>
              </w:rPr>
              <w:t xml:space="preserve">от 500 до 999 шт.</w:t>
            </w:r>
            <w:r>
              <w:rPr>
                <w:sz w:val="20"/>
                <w:szCs w:val="20"/>
              </w:rPr>
            </w:r>
            <w:r>
              <w:rPr>
                <w:sz w:val="20"/>
                <w:szCs w:val="20"/>
              </w:rPr>
            </w:r>
          </w:p>
          <w:p>
            <w:pPr>
              <w:pStyle w:val="1135"/>
              <w:ind w:left="317"/>
              <w:jc w:val="both"/>
              <w:tabs>
                <w:tab w:val="center" w:pos="317" w:leader="none"/>
                <w:tab w:val="center" w:pos="1260" w:leader="none"/>
                <w:tab w:val="right" w:pos="9355" w:leader="none"/>
              </w:tabs>
              <w:rPr>
                <w:sz w:val="20"/>
                <w:szCs w:val="20"/>
              </w:rPr>
            </w:pPr>
            <w:r>
              <w:rPr>
                <w:sz w:val="20"/>
                <w:szCs w:val="20"/>
              </w:rPr>
              <w:t xml:space="preserve">от 1000 до 1499 шт.</w:t>
            </w:r>
            <w:r>
              <w:rPr>
                <w:sz w:val="20"/>
                <w:szCs w:val="20"/>
              </w:rPr>
            </w:r>
            <w:r>
              <w:rPr>
                <w:sz w:val="20"/>
                <w:szCs w:val="20"/>
              </w:rPr>
            </w:r>
          </w:p>
          <w:p>
            <w:pPr>
              <w:pStyle w:val="1135"/>
              <w:ind w:left="317"/>
              <w:jc w:val="both"/>
              <w:tabs>
                <w:tab w:val="center" w:pos="317" w:leader="none"/>
                <w:tab w:val="center" w:pos="1260" w:leader="none"/>
                <w:tab w:val="right" w:pos="9355" w:leader="none"/>
              </w:tabs>
              <w:rPr>
                <w:sz w:val="20"/>
                <w:szCs w:val="20"/>
              </w:rPr>
            </w:pPr>
            <w:r>
              <w:rPr>
                <w:sz w:val="20"/>
                <w:szCs w:val="20"/>
              </w:rPr>
              <w:t xml:space="preserve">от 1500 и более шт.</w:t>
            </w:r>
            <w:r>
              <w:rPr>
                <w:sz w:val="20"/>
                <w:szCs w:val="20"/>
              </w:rPr>
            </w:r>
            <w:r>
              <w:rPr>
                <w:sz w:val="20"/>
                <w:szCs w:val="20"/>
              </w:rPr>
            </w:r>
          </w:p>
          <w:p>
            <w:pPr>
              <w:pStyle w:val="1135"/>
              <w:tabs>
                <w:tab w:val="center" w:pos="34" w:leader="none"/>
                <w:tab w:val="right" w:pos="9355" w:leader="none"/>
              </w:tabs>
              <w:rPr>
                <w:sz w:val="20"/>
                <w:szCs w:val="20"/>
              </w:rPr>
            </w:pPr>
            <w:r>
              <w:rPr>
                <w:sz w:val="20"/>
                <w:szCs w:val="20"/>
              </w:rPr>
              <w:t xml:space="preserve">- серебро, качество чеканки «анциркулейтед», 31,1 г</w:t>
            </w:r>
            <w:r>
              <w:rPr>
                <w:sz w:val="20"/>
                <w:szCs w:val="20"/>
              </w:rPr>
            </w:r>
            <w:r>
              <w:rPr>
                <w:sz w:val="20"/>
                <w:szCs w:val="20"/>
              </w:rPr>
            </w:r>
          </w:p>
          <w:p>
            <w:pPr>
              <w:pStyle w:val="1135"/>
              <w:rPr>
                <w:sz w:val="20"/>
                <w:szCs w:val="20"/>
              </w:rPr>
            </w:pPr>
            <w:r>
              <w:rPr>
                <w:sz w:val="20"/>
                <w:szCs w:val="20"/>
              </w:rPr>
              <w:t xml:space="preserve">от 500 и более шт.</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35"/>
              <w:jc w:val="center"/>
              <w:rPr>
                <w:sz w:val="20"/>
                <w:szCs w:val="20"/>
              </w:rPr>
            </w:pPr>
            <w:r>
              <w:rPr>
                <w:sz w:val="20"/>
                <w:szCs w:val="20"/>
              </w:rPr>
            </w:r>
            <w:r>
              <w:rPr>
                <w:sz w:val="20"/>
                <w:szCs w:val="20"/>
              </w:rPr>
            </w:r>
            <w:r>
              <w:rPr>
                <w:sz w:val="20"/>
                <w:szCs w:val="20"/>
              </w:rPr>
            </w:r>
          </w:p>
          <w:p>
            <w:pPr>
              <w:pStyle w:val="1135"/>
              <w:jc w:val="center"/>
              <w:rPr>
                <w:sz w:val="20"/>
                <w:szCs w:val="20"/>
              </w:rPr>
            </w:pPr>
            <w:r>
              <w:rPr>
                <w:sz w:val="20"/>
                <w:szCs w:val="20"/>
              </w:rPr>
            </w:r>
            <w:r>
              <w:rPr>
                <w:sz w:val="20"/>
                <w:szCs w:val="20"/>
              </w:rPr>
            </w:r>
            <w:r>
              <w:rPr>
                <w:sz w:val="20"/>
                <w:szCs w:val="20"/>
              </w:rPr>
            </w:r>
          </w:p>
          <w:p>
            <w:pPr>
              <w:pStyle w:val="1135"/>
              <w:jc w:val="center"/>
              <w:rPr>
                <w:sz w:val="20"/>
                <w:szCs w:val="20"/>
              </w:rPr>
            </w:pPr>
            <w:r>
              <w:rPr>
                <w:sz w:val="20"/>
                <w:szCs w:val="20"/>
              </w:rPr>
            </w:r>
            <w:r>
              <w:rPr>
                <w:sz w:val="20"/>
                <w:szCs w:val="20"/>
              </w:rPr>
            </w:r>
            <w:r>
              <w:rPr>
                <w:sz w:val="20"/>
                <w:szCs w:val="20"/>
              </w:rPr>
            </w:r>
          </w:p>
          <w:p>
            <w:pPr>
              <w:pStyle w:val="1135"/>
              <w:jc w:val="center"/>
              <w:rPr>
                <w:sz w:val="20"/>
                <w:szCs w:val="20"/>
              </w:rPr>
            </w:pPr>
            <w:r>
              <w:rPr>
                <w:sz w:val="20"/>
                <w:szCs w:val="20"/>
              </w:rPr>
            </w:r>
            <w:r>
              <w:rPr>
                <w:sz w:val="20"/>
                <w:szCs w:val="20"/>
              </w:rPr>
            </w:r>
            <w:r>
              <w:rPr>
                <w:sz w:val="20"/>
                <w:szCs w:val="20"/>
              </w:rPr>
            </w:r>
          </w:p>
          <w:p>
            <w:pPr>
              <w:pStyle w:val="1135"/>
              <w:jc w:val="center"/>
              <w:rPr>
                <w:sz w:val="20"/>
                <w:szCs w:val="20"/>
              </w:rPr>
            </w:pPr>
            <w:r>
              <w:rPr>
                <w:sz w:val="20"/>
                <w:szCs w:val="20"/>
              </w:rPr>
            </w:r>
            <w:r>
              <w:rPr>
                <w:sz w:val="20"/>
                <w:szCs w:val="20"/>
              </w:rPr>
            </w:r>
            <w:r>
              <w:rPr>
                <w:sz w:val="20"/>
                <w:szCs w:val="20"/>
              </w:rPr>
            </w:r>
          </w:p>
          <w:p>
            <w:pPr>
              <w:pStyle w:val="1135"/>
              <w:jc w:val="center"/>
              <w:rPr>
                <w:sz w:val="20"/>
                <w:szCs w:val="20"/>
              </w:rPr>
            </w:pPr>
            <w:r>
              <w:rPr>
                <w:sz w:val="20"/>
                <w:szCs w:val="20"/>
              </w:rPr>
            </w:r>
            <w:r>
              <w:rPr>
                <w:sz w:val="20"/>
                <w:szCs w:val="20"/>
              </w:rPr>
            </w:r>
            <w:r>
              <w:rPr>
                <w:sz w:val="20"/>
                <w:szCs w:val="20"/>
              </w:rPr>
            </w:r>
          </w:p>
          <w:p>
            <w:pPr>
              <w:pStyle w:val="1135"/>
              <w:jc w:val="center"/>
              <w:rPr>
                <w:sz w:val="20"/>
                <w:szCs w:val="20"/>
              </w:rPr>
            </w:pPr>
            <w:r>
              <w:rPr>
                <w:sz w:val="20"/>
                <w:szCs w:val="20"/>
              </w:rPr>
            </w:r>
            <w:r>
              <w:rPr>
                <w:sz w:val="20"/>
                <w:szCs w:val="20"/>
              </w:rPr>
            </w:r>
            <w:r>
              <w:rPr>
                <w:sz w:val="20"/>
                <w:szCs w:val="20"/>
              </w:rPr>
            </w:r>
          </w:p>
          <w:p>
            <w:pPr>
              <w:pStyle w:val="1135"/>
              <w:jc w:val="center"/>
              <w:rPr>
                <w:sz w:val="20"/>
                <w:szCs w:val="20"/>
              </w:rPr>
            </w:pPr>
            <w:r>
              <w:rPr>
                <w:sz w:val="20"/>
                <w:szCs w:val="20"/>
              </w:rPr>
              <w:t xml:space="preserve">305 руб./шт.</w:t>
            </w:r>
            <w:r>
              <w:rPr>
                <w:sz w:val="20"/>
                <w:szCs w:val="20"/>
              </w:rPr>
            </w:r>
            <w:r>
              <w:rPr>
                <w:sz w:val="20"/>
                <w:szCs w:val="20"/>
              </w:rPr>
            </w:r>
          </w:p>
          <w:p>
            <w:pPr>
              <w:pStyle w:val="1135"/>
              <w:jc w:val="center"/>
              <w:rPr>
                <w:sz w:val="20"/>
                <w:szCs w:val="20"/>
              </w:rPr>
            </w:pPr>
            <w:r>
              <w:rPr>
                <w:sz w:val="20"/>
                <w:szCs w:val="20"/>
              </w:rPr>
              <w:t xml:space="preserve">285 руб./шт.</w:t>
            </w:r>
            <w:r>
              <w:rPr>
                <w:sz w:val="20"/>
                <w:szCs w:val="20"/>
              </w:rPr>
            </w:r>
            <w:r>
              <w:rPr>
                <w:sz w:val="20"/>
                <w:szCs w:val="20"/>
              </w:rPr>
            </w:r>
          </w:p>
          <w:p>
            <w:pPr>
              <w:pStyle w:val="1135"/>
              <w:jc w:val="center"/>
              <w:rPr>
                <w:sz w:val="20"/>
                <w:szCs w:val="20"/>
              </w:rPr>
            </w:pPr>
            <w:r>
              <w:rPr>
                <w:sz w:val="20"/>
                <w:szCs w:val="20"/>
              </w:rPr>
              <w:t xml:space="preserve">265 руб./шт.</w:t>
            </w:r>
            <w:r>
              <w:rPr>
                <w:sz w:val="20"/>
                <w:szCs w:val="20"/>
              </w:rPr>
            </w:r>
            <w:r>
              <w:rPr>
                <w:sz w:val="20"/>
                <w:szCs w:val="20"/>
              </w:rPr>
            </w:r>
          </w:p>
          <w:p>
            <w:pPr>
              <w:pStyle w:val="1135"/>
              <w:jc w:val="center"/>
              <w:rPr>
                <w:sz w:val="20"/>
                <w:szCs w:val="20"/>
              </w:rPr>
            </w:pPr>
            <w:r>
              <w:rPr>
                <w:sz w:val="20"/>
                <w:szCs w:val="20"/>
              </w:rPr>
              <w:t xml:space="preserve">245 руб./шт.</w:t>
            </w:r>
            <w:r>
              <w:rPr>
                <w:sz w:val="20"/>
                <w:szCs w:val="20"/>
              </w:rPr>
            </w:r>
            <w:r>
              <w:rPr>
                <w:sz w:val="20"/>
                <w:szCs w:val="20"/>
              </w:rPr>
            </w:r>
          </w:p>
          <w:p>
            <w:pPr>
              <w:pStyle w:val="1135"/>
              <w:jc w:val="center"/>
              <w:rPr>
                <w:sz w:val="20"/>
                <w:szCs w:val="20"/>
              </w:rPr>
            </w:pPr>
            <w:r>
              <w:rPr>
                <w:sz w:val="20"/>
                <w:szCs w:val="20"/>
              </w:rPr>
            </w:r>
            <w:r>
              <w:rPr>
                <w:sz w:val="20"/>
                <w:szCs w:val="20"/>
              </w:rPr>
            </w:r>
            <w:r>
              <w:rPr>
                <w:sz w:val="20"/>
                <w:szCs w:val="20"/>
              </w:rPr>
            </w:r>
          </w:p>
          <w:p>
            <w:pPr>
              <w:pStyle w:val="1135"/>
              <w:jc w:val="center"/>
              <w:rPr>
                <w:sz w:val="20"/>
                <w:szCs w:val="20"/>
              </w:rPr>
            </w:pPr>
            <w:r>
              <w:rPr>
                <w:sz w:val="20"/>
                <w:szCs w:val="20"/>
              </w:rPr>
            </w:r>
            <w:r>
              <w:rPr>
                <w:sz w:val="20"/>
                <w:szCs w:val="20"/>
              </w:rPr>
            </w:r>
            <w:r>
              <w:rPr>
                <w:sz w:val="20"/>
                <w:szCs w:val="20"/>
              </w:rPr>
            </w:r>
          </w:p>
          <w:p>
            <w:pPr>
              <w:pStyle w:val="1135"/>
              <w:jc w:val="center"/>
              <w:rPr>
                <w:sz w:val="20"/>
                <w:szCs w:val="20"/>
              </w:rPr>
            </w:pPr>
            <w:r>
              <w:rPr>
                <w:sz w:val="20"/>
                <w:szCs w:val="20"/>
              </w:rPr>
              <w:t xml:space="preserve">155 руб./шт.</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35"/>
              <w:rPr>
                <w:sz w:val="20"/>
                <w:szCs w:val="20"/>
              </w:rPr>
            </w:pPr>
            <w:r>
              <w:rPr>
                <w:sz w:val="20"/>
                <w:szCs w:val="20"/>
              </w:rPr>
              <w:t xml:space="preserve">Комиссия включает НДС</w:t>
            </w:r>
            <w:r>
              <w:rPr>
                <w:sz w:val="20"/>
                <w:szCs w:val="20"/>
              </w:rPr>
            </w:r>
            <w:r>
              <w:rPr>
                <w:sz w:val="20"/>
                <w:szCs w:val="20"/>
              </w:rPr>
            </w:r>
          </w:p>
        </w:tc>
      </w:tr>
    </w:tbl>
    <w:p>
      <w:pPr>
        <w:pStyle w:val="1139"/>
      </w:pPr>
      <w:r/>
      <w:r/>
    </w:p>
    <w:p>
      <w:pPr>
        <w:pStyle w:val="1139"/>
      </w:pPr>
      <w:r>
        <w:rPr>
          <w:highlight w:val="none"/>
        </w:rPr>
      </w:r>
      <w:r>
        <w:rPr>
          <w:highlight w:val="none"/>
        </w:rPr>
      </w:r>
      <w:r/>
    </w:p>
    <w:p>
      <w:pPr>
        <w:pStyle w:val="1139"/>
        <w:rPr>
          <w:highlight w:val="none"/>
        </w:rPr>
      </w:pPr>
      <w:r>
        <w:t xml:space="preserve">16. Операции с драгоценными металлами</w:t>
      </w:r>
      <w:r>
        <w:rPr>
          <w:highlight w:val="none"/>
        </w:rPr>
      </w:r>
      <w:r>
        <w:rPr>
          <w:highlight w:val="none"/>
        </w:rPr>
      </w:r>
    </w:p>
    <w:p>
      <w:pPr>
        <w:pStyle w:val="1135"/>
        <w:rPr>
          <w:lang w:eastAsia="en-US"/>
        </w:rPr>
      </w:pPr>
      <w:r>
        <w:rPr>
          <w:lang w:eastAsia="en-US"/>
        </w:rPr>
      </w:r>
      <w:r>
        <w:rPr>
          <w:lang w:eastAsia="en-US"/>
        </w:rPr>
      </w:r>
      <w:r>
        <w:rPr>
          <w:lang w:eastAsia="en-US"/>
        </w:rPr>
      </w:r>
    </w:p>
    <w:tbl>
      <w:tblPr>
        <w:tblW w:w="10207"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1242"/>
        <w:gridCol w:w="3828"/>
        <w:gridCol w:w="3010"/>
        <w:gridCol w:w="212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center"/>
            <w:vMerge w:val="restart"/>
            <w:textDirection w:val="lrTb"/>
            <w:noWrap w:val="false"/>
          </w:tcPr>
          <w:p>
            <w:pPr>
              <w:pStyle w:val="1135"/>
              <w:jc w:val="center"/>
              <w:rPr>
                <w:b/>
                <w:sz w:val="20"/>
                <w:szCs w:val="20"/>
              </w:rPr>
            </w:pPr>
            <w:r>
              <w:rPr>
                <w:b/>
                <w:sz w:val="20"/>
                <w:szCs w:val="20"/>
              </w:rPr>
              <w:t xml:space="preserve">№</w:t>
            </w:r>
            <w:r>
              <w:rPr>
                <w:b/>
                <w:sz w:val="20"/>
                <w:szCs w:val="20"/>
              </w:rPr>
            </w:r>
            <w:r>
              <w:rPr>
                <w:b/>
                <w:sz w:val="20"/>
                <w:szCs w:val="20"/>
              </w:rPr>
            </w:r>
          </w:p>
          <w:p>
            <w:pPr>
              <w:pStyle w:val="1135"/>
              <w:jc w:val="center"/>
              <w:rPr>
                <w:b/>
                <w:sz w:val="20"/>
                <w:szCs w:val="20"/>
              </w:rPr>
            </w:pPr>
            <w:r>
              <w:rPr>
                <w:b/>
                <w:sz w:val="20"/>
                <w:szCs w:val="20"/>
              </w:rPr>
              <w:t xml:space="preserve">п/п</w:t>
            </w:r>
            <w:r>
              <w:rPr>
                <w:b/>
                <w:sz w:val="20"/>
                <w:szCs w:val="20"/>
              </w:rPr>
            </w:r>
            <w:r>
              <w:rPr>
                <w:b/>
                <w:sz w:val="20"/>
                <w:szCs w:val="20"/>
              </w:rPr>
            </w:r>
          </w:p>
        </w:tc>
        <w:tc>
          <w:tcPr>
            <w:tcW w:w="3828" w:type="dxa"/>
            <w:vAlign w:val="center"/>
            <w:vMerge w:val="restart"/>
            <w:textDirection w:val="lrTb"/>
            <w:noWrap w:val="false"/>
          </w:tcPr>
          <w:p>
            <w:pPr>
              <w:pStyle w:val="1135"/>
              <w:jc w:val="center"/>
              <w:rPr>
                <w:b/>
                <w:sz w:val="20"/>
                <w:szCs w:val="20"/>
              </w:rPr>
            </w:pPr>
            <w:r>
              <w:rPr>
                <w:b/>
                <w:sz w:val="20"/>
                <w:szCs w:val="20"/>
              </w:rPr>
              <w:t xml:space="preserve">Наименование услуги</w:t>
            </w:r>
            <w:r>
              <w:rPr>
                <w:b/>
                <w:sz w:val="20"/>
                <w:szCs w:val="20"/>
              </w:rPr>
            </w:r>
            <w:r>
              <w:rPr>
                <w:b/>
                <w:sz w:val="20"/>
                <w:szCs w:val="20"/>
              </w:rPr>
            </w:r>
          </w:p>
        </w:tc>
        <w:tc>
          <w:tcPr>
            <w:tcW w:w="3010" w:type="dxa"/>
            <w:vAlign w:val="center"/>
            <w:textDirection w:val="lrTb"/>
            <w:noWrap w:val="false"/>
          </w:tcPr>
          <w:p>
            <w:pPr>
              <w:pStyle w:val="1135"/>
              <w:jc w:val="center"/>
              <w:rPr>
                <w:b/>
                <w:sz w:val="20"/>
                <w:szCs w:val="20"/>
              </w:rPr>
            </w:pPr>
            <w:r>
              <w:rPr>
                <w:b/>
                <w:sz w:val="20"/>
                <w:szCs w:val="20"/>
              </w:rPr>
              <w:t xml:space="preserve">Тариф</w:t>
            </w:r>
            <w:r>
              <w:rPr>
                <w:b/>
                <w:sz w:val="20"/>
                <w:szCs w:val="20"/>
              </w:rPr>
            </w:r>
            <w:r>
              <w:rPr>
                <w:b/>
                <w:sz w:val="20"/>
                <w:szCs w:val="20"/>
              </w:rPr>
            </w:r>
          </w:p>
        </w:tc>
        <w:tc>
          <w:tcPr>
            <w:tcW w:w="2127" w:type="dxa"/>
            <w:vAlign w:val="center"/>
            <w:vMerge w:val="restart"/>
            <w:textDirection w:val="lrTb"/>
            <w:noWrap w:val="false"/>
          </w:tcPr>
          <w:p>
            <w:pPr>
              <w:pStyle w:val="1135"/>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center"/>
            <w:vMerge w:val="continue"/>
            <w:textDirection w:val="lrTb"/>
            <w:noWrap w:val="false"/>
          </w:tcPr>
          <w:p>
            <w:pPr>
              <w:pStyle w:val="1135"/>
              <w:jc w:val="center"/>
              <w:rPr>
                <w:b/>
                <w:sz w:val="20"/>
                <w:szCs w:val="20"/>
              </w:rPr>
            </w:pPr>
            <w:r>
              <w:rPr>
                <w:b/>
                <w:sz w:val="20"/>
                <w:szCs w:val="20"/>
              </w:rPr>
            </w:r>
            <w:r>
              <w:rPr>
                <w:b/>
                <w:sz w:val="20"/>
                <w:szCs w:val="20"/>
              </w:rPr>
            </w:r>
            <w:r>
              <w:rPr>
                <w:b/>
                <w:sz w:val="20"/>
                <w:szCs w:val="20"/>
              </w:rPr>
            </w:r>
          </w:p>
        </w:tc>
        <w:tc>
          <w:tcPr>
            <w:tcW w:w="3828" w:type="dxa"/>
            <w:vAlign w:val="center"/>
            <w:vMerge w:val="continue"/>
            <w:textDirection w:val="lrTb"/>
            <w:noWrap w:val="false"/>
          </w:tcPr>
          <w:p>
            <w:pPr>
              <w:pStyle w:val="1135"/>
              <w:jc w:val="center"/>
              <w:rPr>
                <w:b/>
                <w:sz w:val="20"/>
                <w:szCs w:val="20"/>
              </w:rPr>
            </w:pPr>
            <w:r>
              <w:rPr>
                <w:b/>
                <w:sz w:val="20"/>
                <w:szCs w:val="20"/>
              </w:rPr>
            </w:r>
            <w:r>
              <w:rPr>
                <w:b/>
                <w:sz w:val="20"/>
                <w:szCs w:val="20"/>
              </w:rPr>
            </w:r>
            <w:r>
              <w:rPr>
                <w:b/>
                <w:sz w:val="20"/>
                <w:szCs w:val="20"/>
              </w:rPr>
            </w:r>
          </w:p>
        </w:tc>
        <w:tc>
          <w:tcPr>
            <w:tcW w:w="3010" w:type="dxa"/>
            <w:vAlign w:val="center"/>
            <w:textDirection w:val="lrTb"/>
            <w:noWrap w:val="false"/>
          </w:tcPr>
          <w:p>
            <w:pPr>
              <w:pStyle w:val="1135"/>
              <w:jc w:val="center"/>
              <w:rPr>
                <w:b/>
                <w:sz w:val="20"/>
                <w:szCs w:val="20"/>
              </w:rPr>
            </w:pPr>
            <w:r>
              <w:rPr>
                <w:b/>
                <w:bCs/>
                <w:iCs/>
                <w:sz w:val="20"/>
                <w:szCs w:val="20"/>
              </w:rPr>
              <w:t xml:space="preserve">В российских рублях</w:t>
            </w:r>
            <w:r>
              <w:rPr>
                <w:b/>
                <w:sz w:val="20"/>
                <w:szCs w:val="20"/>
              </w:rPr>
            </w:r>
            <w:r>
              <w:rPr>
                <w:b/>
                <w:sz w:val="20"/>
                <w:szCs w:val="20"/>
              </w:rPr>
            </w:r>
          </w:p>
        </w:tc>
        <w:tc>
          <w:tcPr>
            <w:tcW w:w="2127" w:type="dxa"/>
            <w:vAlign w:val="center"/>
            <w:vMerge w:val="continue"/>
            <w:textDirection w:val="lrTb"/>
            <w:noWrap w:val="false"/>
          </w:tcPr>
          <w:p>
            <w:pPr>
              <w:pStyle w:val="1135"/>
              <w:jc w:val="center"/>
              <w:rPr>
                <w:b/>
                <w:sz w:val="20"/>
                <w:szCs w:val="20"/>
              </w:rPr>
            </w:pPr>
            <w:r>
              <w:rPr>
                <w:b/>
                <w:sz w:val="20"/>
                <w:szCs w:val="20"/>
              </w:rPr>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35"/>
              <w:jc w:val="center"/>
              <w:spacing w:before="40" w:after="40"/>
              <w:tabs>
                <w:tab w:val="left" w:pos="284" w:leader="none"/>
                <w:tab w:val="left" w:pos="993" w:leader="none"/>
              </w:tabs>
              <w:rPr>
                <w:b/>
                <w:sz w:val="20"/>
                <w:szCs w:val="20"/>
              </w:rPr>
            </w:pPr>
            <w:r>
              <w:rPr>
                <w:b/>
                <w:sz w:val="20"/>
                <w:szCs w:val="20"/>
              </w:rPr>
              <w:t xml:space="preserve">16.1</w:t>
            </w:r>
            <w:r>
              <w:rPr>
                <w:b/>
                <w:sz w:val="20"/>
                <w:szCs w:val="20"/>
              </w:rPr>
            </w:r>
            <w:r>
              <w:rPr>
                <w:b/>
                <w:sz w:val="20"/>
                <w:szCs w:val="20"/>
              </w:rPr>
            </w:r>
          </w:p>
        </w:tc>
        <w:tc>
          <w:tcPr>
            <w:gridSpan w:val="3"/>
            <w:tcW w:w="8965" w:type="dxa"/>
            <w:vAlign w:val="top"/>
            <w:textDirection w:val="lrTb"/>
            <w:noWrap w:val="false"/>
          </w:tcPr>
          <w:p>
            <w:pPr>
              <w:pStyle w:val="1135"/>
              <w:spacing w:before="40" w:after="40"/>
              <w:tabs>
                <w:tab w:val="left" w:pos="284" w:leader="none"/>
                <w:tab w:val="left" w:pos="993" w:leader="none"/>
              </w:tabs>
              <w:rPr>
                <w:b/>
                <w:sz w:val="20"/>
                <w:szCs w:val="20"/>
              </w:rPr>
            </w:pPr>
            <w:r>
              <w:rPr>
                <w:b/>
                <w:sz w:val="20"/>
                <w:szCs w:val="20"/>
              </w:rPr>
              <w:t xml:space="preserve">Ведение банковского счета в драгоценных металлах</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35"/>
              <w:jc w:val="center"/>
              <w:tabs>
                <w:tab w:val="left" w:pos="284" w:leader="none"/>
                <w:tab w:val="left" w:pos="993" w:leader="none"/>
              </w:tabs>
              <w:rPr>
                <w:sz w:val="20"/>
                <w:szCs w:val="20"/>
              </w:rPr>
            </w:pPr>
            <w:r>
              <w:rPr>
                <w:sz w:val="20"/>
                <w:szCs w:val="20"/>
              </w:rPr>
              <w:t xml:space="preserve">16.1.1.</w:t>
            </w:r>
            <w:r>
              <w:rPr>
                <w:sz w:val="20"/>
                <w:szCs w:val="20"/>
              </w:rPr>
            </w:r>
            <w:r>
              <w:rPr>
                <w:sz w:val="20"/>
                <w:szCs w:val="20"/>
              </w:rPr>
            </w:r>
          </w:p>
        </w:tc>
        <w:tc>
          <w:tcPr>
            <w:tcW w:w="3828" w:type="dxa"/>
            <w:vAlign w:val="top"/>
            <w:textDirection w:val="lrTb"/>
            <w:noWrap w:val="false"/>
          </w:tcPr>
          <w:p>
            <w:pPr>
              <w:pStyle w:val="1135"/>
              <w:tabs>
                <w:tab w:val="left" w:pos="284" w:leader="none"/>
                <w:tab w:val="left" w:pos="993" w:leader="none"/>
              </w:tabs>
              <w:rPr>
                <w:sz w:val="20"/>
                <w:szCs w:val="20"/>
              </w:rPr>
            </w:pPr>
            <w:r>
              <w:rPr>
                <w:sz w:val="20"/>
                <w:szCs w:val="20"/>
              </w:rPr>
              <w:t xml:space="preserve">Открытие банковского счета в драгоценных металлах</w:t>
            </w:r>
            <w:r>
              <w:rPr>
                <w:sz w:val="20"/>
                <w:szCs w:val="20"/>
              </w:rPr>
            </w:r>
            <w:r>
              <w:rPr>
                <w:sz w:val="20"/>
                <w:szCs w:val="20"/>
              </w:rPr>
            </w:r>
          </w:p>
        </w:tc>
        <w:tc>
          <w:tcPr>
            <w:tcW w:w="3010" w:type="dxa"/>
            <w:vAlign w:val="top"/>
            <w:textDirection w:val="lrTb"/>
            <w:noWrap w:val="false"/>
          </w:tcPr>
          <w:p>
            <w:pPr>
              <w:pStyle w:val="1135"/>
              <w:jc w:val="center"/>
              <w:tabs>
                <w:tab w:val="left" w:pos="284" w:leader="none"/>
                <w:tab w:val="left" w:pos="993" w:leader="none"/>
              </w:tabs>
              <w:rPr>
                <w:sz w:val="20"/>
                <w:szCs w:val="20"/>
              </w:rPr>
            </w:pPr>
            <w:r>
              <w:rPr>
                <w:sz w:val="20"/>
                <w:szCs w:val="20"/>
              </w:rPr>
              <w:t xml:space="preserve">Комиссия не взимается</w:t>
            </w:r>
            <w:r>
              <w:rPr>
                <w:sz w:val="20"/>
                <w:szCs w:val="20"/>
              </w:rPr>
            </w:r>
            <w:r>
              <w:rPr>
                <w:sz w:val="20"/>
                <w:szCs w:val="20"/>
              </w:rPr>
            </w:r>
          </w:p>
        </w:tc>
        <w:tc>
          <w:tcPr>
            <w:tcW w:w="2127" w:type="dxa"/>
            <w:vAlign w:val="top"/>
            <w:textDirection w:val="lrTb"/>
            <w:noWrap w:val="false"/>
          </w:tcPr>
          <w:p>
            <w:pPr>
              <w:pStyle w:val="1135"/>
              <w:jc w:val="both"/>
              <w:tabs>
                <w:tab w:val="left" w:pos="284" w:leader="none"/>
                <w:tab w:val="left" w:pos="993"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35"/>
              <w:jc w:val="center"/>
              <w:tabs>
                <w:tab w:val="left" w:pos="284" w:leader="none"/>
                <w:tab w:val="left" w:pos="993" w:leader="none"/>
              </w:tabs>
              <w:rPr>
                <w:sz w:val="20"/>
                <w:szCs w:val="20"/>
              </w:rPr>
            </w:pPr>
            <w:r>
              <w:rPr>
                <w:sz w:val="20"/>
                <w:szCs w:val="20"/>
              </w:rPr>
              <w:t xml:space="preserve">16.1.2.</w:t>
            </w:r>
            <w:r>
              <w:rPr>
                <w:sz w:val="20"/>
                <w:szCs w:val="20"/>
              </w:rPr>
            </w:r>
            <w:r>
              <w:rPr>
                <w:sz w:val="20"/>
                <w:szCs w:val="20"/>
              </w:rPr>
            </w:r>
          </w:p>
        </w:tc>
        <w:tc>
          <w:tcPr>
            <w:tcW w:w="3828" w:type="dxa"/>
            <w:vAlign w:val="top"/>
            <w:textDirection w:val="lrTb"/>
            <w:noWrap w:val="false"/>
          </w:tcPr>
          <w:p>
            <w:pPr>
              <w:pStyle w:val="1135"/>
              <w:tabs>
                <w:tab w:val="left" w:pos="284" w:leader="none"/>
                <w:tab w:val="left" w:pos="993" w:leader="none"/>
              </w:tabs>
              <w:rPr>
                <w:sz w:val="20"/>
                <w:szCs w:val="20"/>
              </w:rPr>
            </w:pPr>
            <w:r>
              <w:rPr>
                <w:sz w:val="20"/>
                <w:szCs w:val="20"/>
              </w:rPr>
              <w:t xml:space="preserve">Закрытие банковского счета в драгоценных металлах</w:t>
            </w:r>
            <w:r>
              <w:rPr>
                <w:sz w:val="20"/>
                <w:szCs w:val="20"/>
              </w:rPr>
            </w:r>
            <w:r>
              <w:rPr>
                <w:sz w:val="20"/>
                <w:szCs w:val="20"/>
              </w:rPr>
            </w:r>
          </w:p>
        </w:tc>
        <w:tc>
          <w:tcPr>
            <w:tcW w:w="3010" w:type="dxa"/>
            <w:vAlign w:val="top"/>
            <w:textDirection w:val="lrTb"/>
            <w:noWrap w:val="false"/>
          </w:tcPr>
          <w:p>
            <w:pPr>
              <w:pStyle w:val="1135"/>
              <w:jc w:val="center"/>
              <w:tabs>
                <w:tab w:val="left" w:pos="284" w:leader="none"/>
                <w:tab w:val="left" w:pos="993" w:leader="none"/>
              </w:tabs>
              <w:rPr>
                <w:sz w:val="20"/>
                <w:szCs w:val="20"/>
              </w:rPr>
            </w:pPr>
            <w:r>
              <w:rPr>
                <w:sz w:val="20"/>
                <w:szCs w:val="20"/>
              </w:rPr>
              <w:t xml:space="preserve">Комиссия не взимается</w:t>
            </w:r>
            <w:r>
              <w:rPr>
                <w:sz w:val="20"/>
                <w:szCs w:val="20"/>
              </w:rPr>
            </w:r>
            <w:r>
              <w:rPr>
                <w:sz w:val="20"/>
                <w:szCs w:val="20"/>
              </w:rPr>
            </w:r>
          </w:p>
        </w:tc>
        <w:tc>
          <w:tcPr>
            <w:tcW w:w="2127" w:type="dxa"/>
            <w:vAlign w:val="top"/>
            <w:textDirection w:val="lrTb"/>
            <w:noWrap w:val="false"/>
          </w:tcPr>
          <w:p>
            <w:pPr>
              <w:pStyle w:val="1135"/>
              <w:jc w:val="both"/>
              <w:tabs>
                <w:tab w:val="left" w:pos="284" w:leader="none"/>
                <w:tab w:val="left" w:pos="993"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35"/>
              <w:jc w:val="center"/>
              <w:tabs>
                <w:tab w:val="left" w:pos="284" w:leader="none"/>
                <w:tab w:val="left" w:pos="993" w:leader="none"/>
              </w:tabs>
              <w:rPr>
                <w:sz w:val="20"/>
                <w:szCs w:val="20"/>
              </w:rPr>
            </w:pPr>
            <w:r>
              <w:rPr>
                <w:sz w:val="20"/>
                <w:szCs w:val="20"/>
              </w:rPr>
              <w:t xml:space="preserve">16.1.3.</w:t>
            </w:r>
            <w:r>
              <w:rPr>
                <w:sz w:val="20"/>
                <w:szCs w:val="20"/>
              </w:rPr>
            </w:r>
            <w:r>
              <w:rPr>
                <w:sz w:val="20"/>
                <w:szCs w:val="20"/>
              </w:rPr>
            </w:r>
          </w:p>
        </w:tc>
        <w:tc>
          <w:tcPr>
            <w:tcW w:w="3828" w:type="dxa"/>
            <w:vAlign w:val="top"/>
            <w:textDirection w:val="lrTb"/>
            <w:noWrap w:val="false"/>
          </w:tcPr>
          <w:p>
            <w:pPr>
              <w:pStyle w:val="1135"/>
              <w:tabs>
                <w:tab w:val="left" w:pos="284" w:leader="none"/>
                <w:tab w:val="left" w:pos="993" w:leader="none"/>
              </w:tabs>
              <w:rPr>
                <w:sz w:val="20"/>
                <w:szCs w:val="20"/>
              </w:rPr>
            </w:pPr>
            <w:r>
              <w:rPr>
                <w:sz w:val="20"/>
                <w:szCs w:val="20"/>
              </w:rPr>
              <w:t xml:space="preserve">Ежемесячное обслуживание банковского счета в драгоценных металлах</w:t>
            </w:r>
            <w:r>
              <w:rPr>
                <w:sz w:val="20"/>
                <w:szCs w:val="20"/>
              </w:rPr>
            </w:r>
            <w:r>
              <w:rPr>
                <w:sz w:val="20"/>
                <w:szCs w:val="20"/>
              </w:rPr>
            </w:r>
          </w:p>
        </w:tc>
        <w:tc>
          <w:tcPr>
            <w:tcW w:w="3010" w:type="dxa"/>
            <w:vAlign w:val="top"/>
            <w:textDirection w:val="lrTb"/>
            <w:noWrap w:val="false"/>
          </w:tcPr>
          <w:p>
            <w:pPr>
              <w:pStyle w:val="1135"/>
              <w:jc w:val="center"/>
              <w:tabs>
                <w:tab w:val="left" w:pos="284" w:leader="none"/>
                <w:tab w:val="left" w:pos="993" w:leader="none"/>
              </w:tabs>
              <w:rPr>
                <w:sz w:val="20"/>
                <w:szCs w:val="20"/>
              </w:rPr>
            </w:pPr>
            <w:r>
              <w:rPr>
                <w:sz w:val="20"/>
                <w:szCs w:val="20"/>
              </w:rPr>
              <w:t xml:space="preserve">Комиссия не взимается</w:t>
            </w:r>
            <w:r>
              <w:rPr>
                <w:sz w:val="20"/>
                <w:szCs w:val="20"/>
              </w:rPr>
            </w:r>
            <w:r>
              <w:rPr>
                <w:sz w:val="20"/>
                <w:szCs w:val="20"/>
              </w:rPr>
            </w:r>
          </w:p>
        </w:tc>
        <w:tc>
          <w:tcPr>
            <w:tcW w:w="2127" w:type="dxa"/>
            <w:vAlign w:val="top"/>
            <w:textDirection w:val="lrTb"/>
            <w:noWrap w:val="false"/>
          </w:tcPr>
          <w:p>
            <w:pPr>
              <w:pStyle w:val="1135"/>
              <w:jc w:val="both"/>
              <w:tabs>
                <w:tab w:val="left" w:pos="284" w:leader="none"/>
                <w:tab w:val="left" w:pos="993"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35"/>
              <w:jc w:val="center"/>
              <w:tabs>
                <w:tab w:val="left" w:pos="284" w:leader="none"/>
                <w:tab w:val="left" w:pos="993" w:leader="none"/>
              </w:tabs>
              <w:rPr>
                <w:sz w:val="20"/>
                <w:szCs w:val="20"/>
              </w:rPr>
            </w:pPr>
            <w:r>
              <w:rPr>
                <w:sz w:val="20"/>
                <w:szCs w:val="20"/>
              </w:rPr>
              <w:t xml:space="preserve">16.1.4.</w:t>
            </w:r>
            <w:r>
              <w:rPr>
                <w:sz w:val="20"/>
                <w:szCs w:val="20"/>
              </w:rPr>
            </w:r>
            <w:r>
              <w:rPr>
                <w:sz w:val="20"/>
                <w:szCs w:val="20"/>
              </w:rPr>
            </w:r>
          </w:p>
        </w:tc>
        <w:tc>
          <w:tcPr>
            <w:tcW w:w="3828" w:type="dxa"/>
            <w:vAlign w:val="top"/>
            <w:textDirection w:val="lrTb"/>
            <w:noWrap w:val="false"/>
          </w:tcPr>
          <w:p>
            <w:pPr>
              <w:pStyle w:val="1135"/>
              <w:tabs>
                <w:tab w:val="left" w:pos="284" w:leader="none"/>
                <w:tab w:val="left" w:pos="993" w:leader="none"/>
              </w:tabs>
              <w:rPr>
                <w:sz w:val="20"/>
                <w:szCs w:val="20"/>
              </w:rPr>
            </w:pPr>
            <w:r>
              <w:rPr>
                <w:sz w:val="20"/>
                <w:szCs w:val="20"/>
              </w:rPr>
              <w:t xml:space="preserve">Предоставление выписки по банковскому счету в драгоценных металлах</w:t>
            </w:r>
            <w:r>
              <w:rPr>
                <w:sz w:val="20"/>
                <w:szCs w:val="20"/>
              </w:rPr>
            </w:r>
            <w:r>
              <w:rPr>
                <w:sz w:val="20"/>
                <w:szCs w:val="20"/>
              </w:rPr>
            </w:r>
          </w:p>
        </w:tc>
        <w:tc>
          <w:tcPr>
            <w:tcW w:w="3010" w:type="dxa"/>
            <w:vAlign w:val="top"/>
            <w:textDirection w:val="lrTb"/>
            <w:noWrap w:val="false"/>
          </w:tcPr>
          <w:p>
            <w:pPr>
              <w:pStyle w:val="1135"/>
              <w:jc w:val="center"/>
              <w:tabs>
                <w:tab w:val="left" w:pos="284" w:leader="none"/>
                <w:tab w:val="left" w:pos="993" w:leader="none"/>
              </w:tabs>
              <w:rPr>
                <w:sz w:val="20"/>
                <w:szCs w:val="20"/>
              </w:rPr>
            </w:pPr>
            <w:r>
              <w:rPr>
                <w:sz w:val="20"/>
                <w:szCs w:val="20"/>
              </w:rPr>
              <w:t xml:space="preserve">Комиссия не взимается</w:t>
            </w:r>
            <w:r>
              <w:rPr>
                <w:sz w:val="20"/>
                <w:szCs w:val="20"/>
              </w:rPr>
            </w:r>
            <w:r>
              <w:rPr>
                <w:sz w:val="20"/>
                <w:szCs w:val="20"/>
              </w:rPr>
            </w:r>
          </w:p>
        </w:tc>
        <w:tc>
          <w:tcPr>
            <w:tcW w:w="2127" w:type="dxa"/>
            <w:vAlign w:val="top"/>
            <w:textDirection w:val="lrTb"/>
            <w:noWrap w:val="false"/>
          </w:tcPr>
          <w:p>
            <w:pPr>
              <w:pStyle w:val="1135"/>
              <w:jc w:val="both"/>
              <w:tabs>
                <w:tab w:val="left" w:pos="284" w:leader="none"/>
                <w:tab w:val="left" w:pos="993"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35"/>
              <w:jc w:val="center"/>
              <w:tabs>
                <w:tab w:val="left" w:pos="284" w:leader="none"/>
                <w:tab w:val="left" w:pos="993" w:leader="none"/>
              </w:tabs>
              <w:rPr>
                <w:sz w:val="20"/>
                <w:szCs w:val="20"/>
              </w:rPr>
            </w:pPr>
            <w:r>
              <w:rPr>
                <w:sz w:val="20"/>
                <w:szCs w:val="20"/>
              </w:rPr>
              <w:t xml:space="preserve">16.1.4.1.</w:t>
            </w:r>
            <w:r>
              <w:rPr>
                <w:sz w:val="20"/>
                <w:szCs w:val="20"/>
              </w:rPr>
            </w:r>
            <w:r>
              <w:rPr>
                <w:sz w:val="20"/>
                <w:szCs w:val="20"/>
              </w:rPr>
            </w:r>
          </w:p>
        </w:tc>
        <w:tc>
          <w:tcPr>
            <w:tcW w:w="3828" w:type="dxa"/>
            <w:vAlign w:val="top"/>
            <w:textDirection w:val="lrTb"/>
            <w:noWrap w:val="false"/>
          </w:tcPr>
          <w:p>
            <w:pPr>
              <w:pStyle w:val="1135"/>
              <w:tabs>
                <w:tab w:val="left" w:pos="284" w:leader="none"/>
                <w:tab w:val="left" w:pos="993" w:leader="none"/>
              </w:tabs>
              <w:rPr>
                <w:sz w:val="20"/>
                <w:szCs w:val="20"/>
              </w:rPr>
            </w:pPr>
            <w:r>
              <w:rPr>
                <w:sz w:val="20"/>
                <w:szCs w:val="20"/>
              </w:rPr>
              <w:t xml:space="preserve">Предоставление дубликата выписки по банковскому счету в драгоценных металлах по запросу клиента</w:t>
            </w:r>
            <w:r>
              <w:rPr>
                <w:sz w:val="20"/>
                <w:szCs w:val="20"/>
              </w:rPr>
            </w:r>
            <w:r>
              <w:rPr>
                <w:sz w:val="20"/>
                <w:szCs w:val="20"/>
              </w:rPr>
            </w:r>
          </w:p>
        </w:tc>
        <w:tc>
          <w:tcPr>
            <w:tcW w:w="3010" w:type="dxa"/>
            <w:vAlign w:val="top"/>
            <w:textDirection w:val="lrTb"/>
            <w:noWrap w:val="false"/>
          </w:tcPr>
          <w:p>
            <w:pPr>
              <w:pStyle w:val="1135"/>
              <w:jc w:val="center"/>
              <w:tabs>
                <w:tab w:val="left" w:pos="284" w:leader="none"/>
                <w:tab w:val="left" w:pos="993" w:leader="none"/>
              </w:tabs>
              <w:rPr>
                <w:sz w:val="20"/>
                <w:szCs w:val="20"/>
              </w:rPr>
            </w:pPr>
            <w:r>
              <w:rPr>
                <w:sz w:val="20"/>
                <w:szCs w:val="20"/>
              </w:rPr>
              <w:t xml:space="preserve">30 руб. за лист</w:t>
            </w:r>
            <w:r>
              <w:rPr>
                <w:sz w:val="20"/>
                <w:szCs w:val="20"/>
              </w:rPr>
            </w:r>
            <w:r>
              <w:rPr>
                <w:sz w:val="20"/>
                <w:szCs w:val="20"/>
              </w:rPr>
            </w:r>
          </w:p>
        </w:tc>
        <w:tc>
          <w:tcPr>
            <w:tcW w:w="2127" w:type="dxa"/>
            <w:vAlign w:val="top"/>
            <w:textDirection w:val="lrTb"/>
            <w:noWrap w:val="false"/>
          </w:tcPr>
          <w:p>
            <w:pPr>
              <w:pStyle w:val="1135"/>
              <w:jc w:val="both"/>
              <w:tabs>
                <w:tab w:val="left" w:pos="284" w:leader="none"/>
                <w:tab w:val="left" w:pos="993"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35"/>
              <w:jc w:val="center"/>
              <w:tabs>
                <w:tab w:val="left" w:pos="284" w:leader="none"/>
                <w:tab w:val="left" w:pos="993" w:leader="none"/>
              </w:tabs>
              <w:rPr>
                <w:sz w:val="20"/>
                <w:szCs w:val="20"/>
              </w:rPr>
            </w:pPr>
            <w:r>
              <w:rPr>
                <w:sz w:val="20"/>
                <w:szCs w:val="20"/>
              </w:rPr>
              <w:t xml:space="preserve">16.1.5</w:t>
            </w:r>
            <w:r>
              <w:rPr>
                <w:sz w:val="20"/>
                <w:szCs w:val="20"/>
              </w:rPr>
            </w:r>
            <w:r>
              <w:rPr>
                <w:sz w:val="20"/>
                <w:szCs w:val="20"/>
              </w:rPr>
            </w:r>
          </w:p>
        </w:tc>
        <w:tc>
          <w:tcPr>
            <w:tcW w:w="3828" w:type="dxa"/>
            <w:vAlign w:val="top"/>
            <w:textDirection w:val="lrTb"/>
            <w:noWrap w:val="false"/>
          </w:tcPr>
          <w:p>
            <w:pPr>
              <w:pStyle w:val="1135"/>
              <w:tabs>
                <w:tab w:val="left" w:pos="284" w:leader="none"/>
                <w:tab w:val="left" w:pos="993" w:leader="none"/>
              </w:tabs>
              <w:rPr>
                <w:sz w:val="20"/>
                <w:szCs w:val="20"/>
              </w:rPr>
            </w:pPr>
            <w:r>
              <w:rPr>
                <w:sz w:val="20"/>
                <w:szCs w:val="20"/>
              </w:rPr>
              <w:t xml:space="preserve">Предоставление справки по банковскому счету в драгоценных металлах по запросу клиента</w:t>
            </w:r>
            <w:r>
              <w:rPr>
                <w:sz w:val="20"/>
                <w:szCs w:val="20"/>
              </w:rPr>
            </w:r>
            <w:r>
              <w:rPr>
                <w:sz w:val="20"/>
                <w:szCs w:val="20"/>
              </w:rPr>
            </w:r>
          </w:p>
        </w:tc>
        <w:tc>
          <w:tcPr>
            <w:tcW w:w="3010" w:type="dxa"/>
            <w:vAlign w:val="top"/>
            <w:textDirection w:val="lrTb"/>
            <w:noWrap w:val="false"/>
          </w:tcPr>
          <w:p>
            <w:pPr>
              <w:pStyle w:val="1135"/>
              <w:jc w:val="center"/>
              <w:tabs>
                <w:tab w:val="left" w:pos="284" w:leader="none"/>
                <w:tab w:val="left" w:pos="993" w:leader="none"/>
              </w:tabs>
              <w:rPr>
                <w:sz w:val="20"/>
                <w:szCs w:val="20"/>
              </w:rPr>
            </w:pPr>
            <w:r>
              <w:rPr>
                <w:sz w:val="20"/>
                <w:szCs w:val="20"/>
              </w:rPr>
              <w:t xml:space="preserve">30 руб. за лист</w:t>
            </w:r>
            <w:r>
              <w:rPr>
                <w:sz w:val="20"/>
                <w:szCs w:val="20"/>
              </w:rPr>
            </w:r>
            <w:r>
              <w:rPr>
                <w:sz w:val="20"/>
                <w:szCs w:val="20"/>
              </w:rPr>
            </w:r>
          </w:p>
        </w:tc>
        <w:tc>
          <w:tcPr>
            <w:tcW w:w="2127" w:type="dxa"/>
            <w:vAlign w:val="top"/>
            <w:textDirection w:val="lrTb"/>
            <w:noWrap w:val="false"/>
          </w:tcPr>
          <w:p>
            <w:pPr>
              <w:pStyle w:val="1135"/>
              <w:jc w:val="both"/>
              <w:tabs>
                <w:tab w:val="left" w:pos="284" w:leader="none"/>
                <w:tab w:val="left" w:pos="993"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35"/>
              <w:jc w:val="center"/>
              <w:spacing w:before="40" w:after="40"/>
              <w:tabs>
                <w:tab w:val="left" w:pos="284" w:leader="none"/>
                <w:tab w:val="left" w:pos="993" w:leader="none"/>
              </w:tabs>
              <w:rPr>
                <w:b/>
                <w:sz w:val="20"/>
                <w:szCs w:val="20"/>
              </w:rPr>
            </w:pPr>
            <w:r>
              <w:rPr>
                <w:b/>
                <w:sz w:val="20"/>
                <w:szCs w:val="20"/>
              </w:rPr>
              <w:t xml:space="preserve">16.2.</w:t>
            </w:r>
            <w:r>
              <w:rPr>
                <w:b/>
                <w:sz w:val="20"/>
                <w:szCs w:val="20"/>
              </w:rPr>
            </w:r>
            <w:r>
              <w:rPr>
                <w:b/>
                <w:sz w:val="20"/>
                <w:szCs w:val="20"/>
              </w:rPr>
            </w:r>
          </w:p>
        </w:tc>
        <w:tc>
          <w:tcPr>
            <w:gridSpan w:val="3"/>
            <w:tcW w:w="8965" w:type="dxa"/>
            <w:vAlign w:val="top"/>
            <w:textDirection w:val="lrTb"/>
            <w:noWrap w:val="false"/>
          </w:tcPr>
          <w:p>
            <w:pPr>
              <w:pStyle w:val="1135"/>
              <w:jc w:val="both"/>
              <w:spacing w:before="40" w:after="40"/>
              <w:tabs>
                <w:tab w:val="left" w:pos="284" w:leader="none"/>
                <w:tab w:val="left" w:pos="993" w:leader="none"/>
              </w:tabs>
              <w:rPr>
                <w:sz w:val="20"/>
                <w:szCs w:val="20"/>
              </w:rPr>
            </w:pPr>
            <w:r>
              <w:rPr>
                <w:b/>
                <w:sz w:val="20"/>
                <w:szCs w:val="20"/>
              </w:rPr>
              <w:t xml:space="preserve">Операции по банковским счет</w:t>
            </w:r>
            <w:r>
              <w:rPr>
                <w:b/>
                <w:sz w:val="20"/>
                <w:szCs w:val="20"/>
              </w:rPr>
              <w:t xml:space="preserve">а</w:t>
            </w:r>
            <w:r>
              <w:rPr>
                <w:b/>
                <w:sz w:val="20"/>
                <w:szCs w:val="20"/>
              </w:rPr>
              <w:t xml:space="preserve">м в драгоценных металлах </w:t>
            </w:r>
            <w:r>
              <w:rPr>
                <w:b/>
                <w:sz w:val="20"/>
                <w:szCs w:val="20"/>
                <w:vertAlign w:val="superscript"/>
              </w:rPr>
              <w:footnoteReference w:id="8"/>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35"/>
              <w:jc w:val="center"/>
              <w:tabs>
                <w:tab w:val="left" w:pos="284" w:leader="none"/>
                <w:tab w:val="left" w:pos="993" w:leader="none"/>
              </w:tabs>
              <w:rPr>
                <w:sz w:val="20"/>
                <w:szCs w:val="20"/>
              </w:rPr>
            </w:pPr>
            <w:r>
              <w:rPr>
                <w:sz w:val="20"/>
                <w:szCs w:val="20"/>
              </w:rPr>
              <w:t xml:space="preserve">16.2.1.</w:t>
            </w:r>
            <w:r>
              <w:rPr>
                <w:sz w:val="20"/>
                <w:szCs w:val="20"/>
              </w:rPr>
            </w:r>
            <w:r>
              <w:rPr>
                <w:sz w:val="20"/>
                <w:szCs w:val="20"/>
              </w:rPr>
            </w:r>
          </w:p>
        </w:tc>
        <w:tc>
          <w:tcPr>
            <w:tcW w:w="3828" w:type="dxa"/>
            <w:vAlign w:val="top"/>
            <w:textDirection w:val="lrTb"/>
            <w:noWrap w:val="false"/>
          </w:tcPr>
          <w:p>
            <w:pPr>
              <w:pStyle w:val="1135"/>
              <w:tabs>
                <w:tab w:val="left" w:pos="284" w:leader="none"/>
                <w:tab w:val="left" w:pos="993" w:leader="none"/>
              </w:tabs>
              <w:rPr>
                <w:sz w:val="20"/>
                <w:szCs w:val="20"/>
              </w:rPr>
            </w:pPr>
            <w:r>
              <w:rPr>
                <w:sz w:val="20"/>
                <w:szCs w:val="20"/>
              </w:rPr>
              <w:t xml:space="preserve">Прием слитков драгоценных металлов для зачисления на банковский счет в драгоценных металлах:</w:t>
            </w:r>
            <w:r>
              <w:rPr>
                <w:sz w:val="20"/>
                <w:szCs w:val="20"/>
              </w:rPr>
            </w:r>
            <w:r>
              <w:rPr>
                <w:sz w:val="20"/>
                <w:szCs w:val="20"/>
              </w:rPr>
            </w:r>
          </w:p>
        </w:tc>
        <w:tc>
          <w:tcPr>
            <w:tcW w:w="3010" w:type="dxa"/>
            <w:vAlign w:val="top"/>
            <w:textDirection w:val="lrTb"/>
            <w:noWrap w:val="false"/>
          </w:tcPr>
          <w:p>
            <w:pPr>
              <w:pStyle w:val="1135"/>
              <w:jc w:val="both"/>
              <w:tabs>
                <w:tab w:val="left" w:pos="284" w:leader="none"/>
                <w:tab w:val="left" w:pos="993" w:leader="none"/>
              </w:tabs>
              <w:rPr>
                <w:sz w:val="20"/>
                <w:szCs w:val="20"/>
              </w:rPr>
            </w:pPr>
            <w:r>
              <w:rPr>
                <w:sz w:val="20"/>
                <w:szCs w:val="20"/>
              </w:rPr>
            </w:r>
            <w:r>
              <w:rPr>
                <w:sz w:val="20"/>
                <w:szCs w:val="20"/>
              </w:rPr>
            </w:r>
            <w:r>
              <w:rPr>
                <w:sz w:val="20"/>
                <w:szCs w:val="20"/>
              </w:rPr>
            </w:r>
          </w:p>
        </w:tc>
        <w:tc>
          <w:tcPr>
            <w:tcW w:w="2127" w:type="dxa"/>
            <w:vAlign w:val="top"/>
            <w:textDirection w:val="lrTb"/>
            <w:noWrap w:val="false"/>
          </w:tcPr>
          <w:p>
            <w:pPr>
              <w:pStyle w:val="1135"/>
              <w:jc w:val="both"/>
              <w:tabs>
                <w:tab w:val="left" w:pos="284" w:leader="none"/>
                <w:tab w:val="left" w:pos="993"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35"/>
              <w:jc w:val="center"/>
              <w:tabs>
                <w:tab w:val="left" w:pos="284" w:leader="none"/>
                <w:tab w:val="left" w:pos="993" w:leader="none"/>
              </w:tabs>
              <w:rPr>
                <w:sz w:val="20"/>
                <w:szCs w:val="20"/>
              </w:rPr>
            </w:pPr>
            <w:r>
              <w:rPr>
                <w:sz w:val="20"/>
                <w:szCs w:val="20"/>
              </w:rPr>
              <w:t xml:space="preserve">16.2.1.1.</w:t>
            </w:r>
            <w:r>
              <w:rPr>
                <w:sz w:val="20"/>
                <w:szCs w:val="20"/>
              </w:rPr>
            </w:r>
            <w:r>
              <w:rPr>
                <w:sz w:val="20"/>
                <w:szCs w:val="20"/>
              </w:rPr>
            </w:r>
          </w:p>
        </w:tc>
        <w:tc>
          <w:tcPr>
            <w:tcW w:w="3828" w:type="dxa"/>
            <w:vAlign w:val="top"/>
            <w:textDirection w:val="lrTb"/>
            <w:noWrap w:val="false"/>
          </w:tcPr>
          <w:p>
            <w:pPr>
              <w:pStyle w:val="1135"/>
              <w:tabs>
                <w:tab w:val="left" w:pos="284" w:leader="none"/>
                <w:tab w:val="left" w:pos="993" w:leader="none"/>
              </w:tabs>
              <w:rPr>
                <w:sz w:val="20"/>
                <w:szCs w:val="20"/>
              </w:rPr>
            </w:pPr>
            <w:r>
              <w:rPr>
                <w:sz w:val="20"/>
                <w:szCs w:val="20"/>
              </w:rPr>
              <w:t xml:space="preserve">Золото</w:t>
            </w:r>
            <w:r>
              <w:rPr>
                <w:sz w:val="20"/>
                <w:szCs w:val="20"/>
              </w:rPr>
            </w:r>
            <w:r>
              <w:rPr>
                <w:sz w:val="20"/>
                <w:szCs w:val="20"/>
              </w:rPr>
            </w:r>
          </w:p>
        </w:tc>
        <w:tc>
          <w:tcPr>
            <w:tcW w:w="3010" w:type="dxa"/>
            <w:vAlign w:val="top"/>
            <w:textDirection w:val="lrTb"/>
            <w:noWrap w:val="false"/>
          </w:tcPr>
          <w:p>
            <w:pPr>
              <w:pStyle w:val="1135"/>
              <w:jc w:val="both"/>
              <w:tabs>
                <w:tab w:val="left" w:pos="284" w:leader="none"/>
                <w:tab w:val="left" w:pos="993" w:leader="none"/>
              </w:tabs>
              <w:rPr>
                <w:sz w:val="20"/>
                <w:szCs w:val="20"/>
              </w:rPr>
            </w:pPr>
            <w:r>
              <w:rPr>
                <w:sz w:val="20"/>
                <w:szCs w:val="20"/>
              </w:rPr>
            </w:r>
            <w:r>
              <w:rPr>
                <w:sz w:val="20"/>
                <w:szCs w:val="20"/>
              </w:rPr>
            </w:r>
            <w:r>
              <w:rPr>
                <w:sz w:val="20"/>
                <w:szCs w:val="20"/>
              </w:rPr>
            </w:r>
          </w:p>
        </w:tc>
        <w:tc>
          <w:tcPr>
            <w:tcW w:w="2127" w:type="dxa"/>
            <w:vAlign w:val="top"/>
            <w:textDirection w:val="lrTb"/>
            <w:noWrap w:val="false"/>
          </w:tcPr>
          <w:p>
            <w:pPr>
              <w:pStyle w:val="1135"/>
              <w:jc w:val="both"/>
              <w:tabs>
                <w:tab w:val="left" w:pos="284" w:leader="none"/>
                <w:tab w:val="left" w:pos="993"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35"/>
              <w:jc w:val="center"/>
              <w:tabs>
                <w:tab w:val="left" w:pos="284" w:leader="none"/>
                <w:tab w:val="left" w:pos="993" w:leader="none"/>
              </w:tabs>
              <w:rPr>
                <w:sz w:val="20"/>
                <w:szCs w:val="20"/>
              </w:rPr>
            </w:pPr>
            <w:r>
              <w:rPr>
                <w:sz w:val="20"/>
                <w:szCs w:val="20"/>
              </w:rPr>
              <w:t xml:space="preserve">16.2.1.1.1.</w:t>
            </w:r>
            <w:r>
              <w:rPr>
                <w:sz w:val="20"/>
                <w:szCs w:val="20"/>
              </w:rPr>
            </w:r>
            <w:r>
              <w:rPr>
                <w:sz w:val="20"/>
                <w:szCs w:val="20"/>
              </w:rPr>
            </w:r>
          </w:p>
        </w:tc>
        <w:tc>
          <w:tcPr>
            <w:tcW w:w="3828" w:type="dxa"/>
            <w:vAlign w:val="top"/>
            <w:textDirection w:val="lrTb"/>
            <w:noWrap w:val="false"/>
          </w:tcPr>
          <w:p>
            <w:pPr>
              <w:pStyle w:val="1188"/>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 стандартных слитках</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3010" w:type="dxa"/>
            <w:vAlign w:val="top"/>
            <w:textDirection w:val="lrTb"/>
            <w:noWrap w:val="false"/>
          </w:tcPr>
          <w:p>
            <w:pPr>
              <w:pStyle w:val="1188"/>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Комиссия не взимается</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127" w:type="dxa"/>
            <w:vAlign w:val="top"/>
            <w:textDirection w:val="lrTb"/>
            <w:noWrap w:val="false"/>
          </w:tcPr>
          <w:p>
            <w:pPr>
              <w:pStyle w:val="1188"/>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 стандартных слитках</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35"/>
              <w:jc w:val="center"/>
              <w:tabs>
                <w:tab w:val="left" w:pos="284" w:leader="none"/>
                <w:tab w:val="left" w:pos="993" w:leader="none"/>
              </w:tabs>
              <w:rPr>
                <w:sz w:val="20"/>
                <w:szCs w:val="20"/>
              </w:rPr>
            </w:pPr>
            <w:r>
              <w:rPr>
                <w:sz w:val="20"/>
                <w:szCs w:val="20"/>
              </w:rPr>
              <w:t xml:space="preserve">16.2.1.1.2.</w:t>
            </w:r>
            <w:r>
              <w:rPr>
                <w:sz w:val="20"/>
                <w:szCs w:val="20"/>
              </w:rPr>
            </w:r>
            <w:r>
              <w:rPr>
                <w:sz w:val="20"/>
                <w:szCs w:val="20"/>
              </w:rPr>
            </w:r>
          </w:p>
        </w:tc>
        <w:tc>
          <w:tcPr>
            <w:tcW w:w="3828" w:type="dxa"/>
            <w:vAlign w:val="top"/>
            <w:textDirection w:val="lrTb"/>
            <w:noWrap w:val="false"/>
          </w:tcPr>
          <w:p>
            <w:pPr>
              <w:pStyle w:val="1188"/>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 мерных слитках</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3010" w:type="dxa"/>
            <w:vAlign w:val="top"/>
            <w:textDirection w:val="lrTb"/>
            <w:noWrap w:val="false"/>
          </w:tcPr>
          <w:p>
            <w:pPr>
              <w:pStyle w:val="1165"/>
              <w:jc w:val="center"/>
              <w:tabs>
                <w:tab w:val="left" w:pos="284" w:leader="none"/>
                <w:tab w:val="left" w:pos="993" w:leader="none"/>
              </w:tabs>
              <w:rPr>
                <w:b w:val="0"/>
                <w:bCs w:val="0"/>
                <w:i/>
                <w:iCs/>
                <w:smallCaps/>
                <w:sz w:val="20"/>
                <w:szCs w:val="20"/>
              </w:rPr>
            </w:pPr>
            <w:r>
              <w:rPr>
                <w:sz w:val="20"/>
                <w:szCs w:val="20"/>
              </w:rPr>
              <w:t xml:space="preserve">Комиссия не взимается</w:t>
            </w:r>
            <w:r>
              <w:rPr>
                <w:b w:val="0"/>
                <w:bCs w:val="0"/>
                <w:i/>
                <w:iCs/>
                <w:smallCaps/>
                <w:sz w:val="20"/>
                <w:szCs w:val="20"/>
              </w:rPr>
            </w:r>
            <w:r>
              <w:rPr>
                <w:b w:val="0"/>
                <w:bCs w:val="0"/>
                <w:i/>
                <w:iCs/>
                <w:smallCaps/>
                <w:sz w:val="20"/>
                <w:szCs w:val="20"/>
              </w:rPr>
            </w:r>
          </w:p>
        </w:tc>
        <w:tc>
          <w:tcPr>
            <w:tcW w:w="2127" w:type="dxa"/>
            <w:vAlign w:val="top"/>
            <w:textDirection w:val="lrTb"/>
            <w:noWrap w:val="false"/>
          </w:tcPr>
          <w:p>
            <w:pPr>
              <w:pStyle w:val="1188"/>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 мерных слитках</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35"/>
              <w:jc w:val="center"/>
              <w:tabs>
                <w:tab w:val="left" w:pos="284" w:leader="none"/>
                <w:tab w:val="left" w:pos="993" w:leader="none"/>
              </w:tabs>
              <w:rPr>
                <w:sz w:val="20"/>
                <w:szCs w:val="20"/>
              </w:rPr>
            </w:pPr>
            <w:r>
              <w:rPr>
                <w:sz w:val="20"/>
                <w:szCs w:val="20"/>
              </w:rPr>
              <w:t xml:space="preserve">16.2.1.2.</w:t>
            </w:r>
            <w:r>
              <w:rPr>
                <w:sz w:val="20"/>
                <w:szCs w:val="20"/>
              </w:rPr>
            </w:r>
            <w:r>
              <w:rPr>
                <w:sz w:val="20"/>
                <w:szCs w:val="20"/>
              </w:rPr>
            </w:r>
          </w:p>
        </w:tc>
        <w:tc>
          <w:tcPr>
            <w:tcW w:w="3828" w:type="dxa"/>
            <w:vAlign w:val="top"/>
            <w:textDirection w:val="lrTb"/>
            <w:noWrap w:val="false"/>
          </w:tcPr>
          <w:p>
            <w:pPr>
              <w:pStyle w:val="1135"/>
              <w:jc w:val="both"/>
              <w:tabs>
                <w:tab w:val="left" w:pos="284" w:leader="none"/>
                <w:tab w:val="left" w:pos="993" w:leader="none"/>
              </w:tabs>
              <w:rPr>
                <w:sz w:val="20"/>
                <w:szCs w:val="20"/>
              </w:rPr>
            </w:pPr>
            <w:r>
              <w:rPr>
                <w:sz w:val="20"/>
                <w:szCs w:val="20"/>
              </w:rPr>
              <w:t xml:space="preserve">Серебро</w:t>
            </w:r>
            <w:r>
              <w:rPr>
                <w:sz w:val="20"/>
                <w:szCs w:val="20"/>
              </w:rPr>
            </w:r>
            <w:r>
              <w:rPr>
                <w:sz w:val="20"/>
                <w:szCs w:val="20"/>
              </w:rPr>
            </w:r>
          </w:p>
        </w:tc>
        <w:tc>
          <w:tcPr>
            <w:tcW w:w="3010" w:type="dxa"/>
            <w:vAlign w:val="top"/>
            <w:textDirection w:val="lrTb"/>
            <w:noWrap w:val="false"/>
          </w:tcPr>
          <w:p>
            <w:pPr>
              <w:pStyle w:val="1135"/>
              <w:jc w:val="both"/>
              <w:tabs>
                <w:tab w:val="left" w:pos="284" w:leader="none"/>
                <w:tab w:val="left" w:pos="993" w:leader="none"/>
              </w:tabs>
              <w:rPr>
                <w:sz w:val="20"/>
                <w:szCs w:val="20"/>
              </w:rPr>
            </w:pPr>
            <w:r>
              <w:rPr>
                <w:sz w:val="20"/>
                <w:szCs w:val="20"/>
              </w:rPr>
            </w:r>
            <w:r>
              <w:rPr>
                <w:sz w:val="20"/>
                <w:szCs w:val="20"/>
              </w:rPr>
            </w:r>
            <w:r>
              <w:rPr>
                <w:sz w:val="20"/>
                <w:szCs w:val="20"/>
              </w:rPr>
            </w:r>
          </w:p>
        </w:tc>
        <w:tc>
          <w:tcPr>
            <w:tcW w:w="2127" w:type="dxa"/>
            <w:vAlign w:val="top"/>
            <w:textDirection w:val="lrTb"/>
            <w:noWrap w:val="false"/>
          </w:tcPr>
          <w:p>
            <w:pPr>
              <w:pStyle w:val="1135"/>
              <w:jc w:val="both"/>
              <w:tabs>
                <w:tab w:val="left" w:pos="284" w:leader="none"/>
                <w:tab w:val="left" w:pos="993"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35"/>
              <w:jc w:val="center"/>
              <w:tabs>
                <w:tab w:val="left" w:pos="284" w:leader="none"/>
                <w:tab w:val="left" w:pos="993" w:leader="none"/>
              </w:tabs>
              <w:rPr>
                <w:sz w:val="20"/>
                <w:szCs w:val="20"/>
              </w:rPr>
            </w:pPr>
            <w:r>
              <w:rPr>
                <w:sz w:val="20"/>
                <w:szCs w:val="20"/>
              </w:rPr>
              <w:t xml:space="preserve">16.2.1.2.1.</w:t>
            </w:r>
            <w:r>
              <w:rPr>
                <w:sz w:val="20"/>
                <w:szCs w:val="20"/>
              </w:rPr>
            </w:r>
            <w:r>
              <w:rPr>
                <w:sz w:val="20"/>
                <w:szCs w:val="20"/>
              </w:rPr>
            </w:r>
          </w:p>
        </w:tc>
        <w:tc>
          <w:tcPr>
            <w:tcW w:w="3828" w:type="dxa"/>
            <w:vAlign w:val="top"/>
            <w:textDirection w:val="lrTb"/>
            <w:noWrap w:val="false"/>
          </w:tcPr>
          <w:p>
            <w:pPr>
              <w:pStyle w:val="1188"/>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 стандартных слитках</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3010" w:type="dxa"/>
            <w:vAlign w:val="top"/>
            <w:textDirection w:val="lrTb"/>
            <w:noWrap w:val="false"/>
          </w:tcPr>
          <w:p>
            <w:pPr>
              <w:pStyle w:val="1188"/>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Комиссия не взимается</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127" w:type="dxa"/>
            <w:vAlign w:val="top"/>
            <w:textDirection w:val="lrTb"/>
            <w:noWrap w:val="false"/>
          </w:tcPr>
          <w:p>
            <w:pPr>
              <w:pStyle w:val="1188"/>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 стандартных слитках</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35"/>
              <w:jc w:val="center"/>
              <w:tabs>
                <w:tab w:val="left" w:pos="284" w:leader="none"/>
                <w:tab w:val="left" w:pos="993" w:leader="none"/>
              </w:tabs>
              <w:rPr>
                <w:sz w:val="20"/>
                <w:szCs w:val="20"/>
              </w:rPr>
            </w:pPr>
            <w:r>
              <w:rPr>
                <w:sz w:val="20"/>
                <w:szCs w:val="20"/>
              </w:rPr>
              <w:t xml:space="preserve">16.2.1.2.2.</w:t>
            </w:r>
            <w:r>
              <w:rPr>
                <w:sz w:val="20"/>
                <w:szCs w:val="20"/>
              </w:rPr>
            </w:r>
            <w:r>
              <w:rPr>
                <w:sz w:val="20"/>
                <w:szCs w:val="20"/>
              </w:rPr>
            </w:r>
          </w:p>
        </w:tc>
        <w:tc>
          <w:tcPr>
            <w:tcW w:w="3828" w:type="dxa"/>
            <w:vAlign w:val="top"/>
            <w:textDirection w:val="lrTb"/>
            <w:noWrap w:val="false"/>
          </w:tcPr>
          <w:p>
            <w:pPr>
              <w:pStyle w:val="1188"/>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 мерных слитках</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3010" w:type="dxa"/>
            <w:vAlign w:val="top"/>
            <w:textDirection w:val="lrTb"/>
            <w:noWrap w:val="false"/>
          </w:tcPr>
          <w:p>
            <w:pPr>
              <w:pStyle w:val="1165"/>
              <w:jc w:val="center"/>
              <w:tabs>
                <w:tab w:val="left" w:pos="284" w:leader="none"/>
                <w:tab w:val="left" w:pos="993" w:leader="none"/>
              </w:tabs>
              <w:rPr>
                <w:b w:val="0"/>
                <w:bCs w:val="0"/>
                <w:i/>
                <w:iCs/>
                <w:smallCaps/>
                <w:sz w:val="20"/>
                <w:szCs w:val="20"/>
              </w:rPr>
            </w:pPr>
            <w:r>
              <w:rPr>
                <w:sz w:val="20"/>
                <w:szCs w:val="20"/>
              </w:rPr>
              <w:t xml:space="preserve">Комиссия не взимается</w:t>
            </w:r>
            <w:r>
              <w:rPr>
                <w:b w:val="0"/>
                <w:bCs w:val="0"/>
                <w:i/>
                <w:iCs/>
                <w:smallCaps/>
                <w:sz w:val="20"/>
                <w:szCs w:val="20"/>
              </w:rPr>
            </w:r>
            <w:r>
              <w:rPr>
                <w:b w:val="0"/>
                <w:bCs w:val="0"/>
                <w:i/>
                <w:iCs/>
                <w:smallCaps/>
                <w:sz w:val="20"/>
                <w:szCs w:val="20"/>
              </w:rPr>
            </w:r>
          </w:p>
        </w:tc>
        <w:tc>
          <w:tcPr>
            <w:tcW w:w="2127" w:type="dxa"/>
            <w:vAlign w:val="top"/>
            <w:textDirection w:val="lrTb"/>
            <w:noWrap w:val="false"/>
          </w:tcPr>
          <w:p>
            <w:pPr>
              <w:pStyle w:val="1188"/>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 мерных слитках</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35"/>
              <w:jc w:val="center"/>
              <w:tabs>
                <w:tab w:val="left" w:pos="284" w:leader="none"/>
                <w:tab w:val="left" w:pos="993" w:leader="none"/>
              </w:tabs>
              <w:rPr>
                <w:sz w:val="20"/>
                <w:szCs w:val="20"/>
              </w:rPr>
            </w:pPr>
            <w:r>
              <w:rPr>
                <w:sz w:val="20"/>
                <w:szCs w:val="20"/>
              </w:rPr>
              <w:t xml:space="preserve">16.2.2.</w:t>
            </w:r>
            <w:r>
              <w:rPr>
                <w:sz w:val="20"/>
                <w:szCs w:val="20"/>
              </w:rPr>
            </w:r>
            <w:r>
              <w:rPr>
                <w:sz w:val="20"/>
                <w:szCs w:val="20"/>
              </w:rPr>
            </w:r>
          </w:p>
        </w:tc>
        <w:tc>
          <w:tcPr>
            <w:tcW w:w="3828" w:type="dxa"/>
            <w:vAlign w:val="top"/>
            <w:textDirection w:val="lrTb"/>
            <w:noWrap w:val="false"/>
          </w:tcPr>
          <w:p>
            <w:pPr>
              <w:pStyle w:val="1135"/>
              <w:jc w:val="both"/>
              <w:tabs>
                <w:tab w:val="left" w:pos="284" w:leader="none"/>
                <w:tab w:val="left" w:pos="993" w:leader="none"/>
              </w:tabs>
              <w:rPr>
                <w:sz w:val="20"/>
                <w:szCs w:val="20"/>
              </w:rPr>
            </w:pPr>
            <w:r>
              <w:rPr>
                <w:sz w:val="20"/>
                <w:szCs w:val="20"/>
              </w:rPr>
              <w:t xml:space="preserve">Выдача слитков драгоценных металлов со списанием с банковского счета в драгоценных металлах:</w:t>
            </w:r>
            <w:r>
              <w:rPr>
                <w:sz w:val="20"/>
                <w:szCs w:val="20"/>
              </w:rPr>
            </w:r>
            <w:r>
              <w:rPr>
                <w:sz w:val="20"/>
                <w:szCs w:val="20"/>
              </w:rPr>
            </w:r>
          </w:p>
        </w:tc>
        <w:tc>
          <w:tcPr>
            <w:tcW w:w="3010" w:type="dxa"/>
            <w:vAlign w:val="top"/>
            <w:textDirection w:val="lrTb"/>
            <w:noWrap w:val="false"/>
          </w:tcPr>
          <w:p>
            <w:pPr>
              <w:pStyle w:val="1135"/>
              <w:jc w:val="both"/>
              <w:tabs>
                <w:tab w:val="left" w:pos="284" w:leader="none"/>
                <w:tab w:val="left" w:pos="993" w:leader="none"/>
              </w:tabs>
              <w:rPr>
                <w:sz w:val="20"/>
                <w:szCs w:val="20"/>
              </w:rPr>
            </w:pPr>
            <w:r>
              <w:rPr>
                <w:sz w:val="20"/>
                <w:szCs w:val="20"/>
              </w:rPr>
            </w:r>
            <w:r>
              <w:rPr>
                <w:sz w:val="20"/>
                <w:szCs w:val="20"/>
              </w:rPr>
            </w:r>
            <w:r>
              <w:rPr>
                <w:sz w:val="20"/>
                <w:szCs w:val="20"/>
              </w:rPr>
            </w:r>
          </w:p>
        </w:tc>
        <w:tc>
          <w:tcPr>
            <w:tcW w:w="2127" w:type="dxa"/>
            <w:vAlign w:val="top"/>
            <w:textDirection w:val="lrTb"/>
            <w:noWrap w:val="false"/>
          </w:tcPr>
          <w:p>
            <w:pPr>
              <w:pStyle w:val="1135"/>
              <w:jc w:val="both"/>
              <w:tabs>
                <w:tab w:val="left" w:pos="284" w:leader="none"/>
                <w:tab w:val="left" w:pos="993"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35"/>
              <w:jc w:val="center"/>
              <w:tabs>
                <w:tab w:val="left" w:pos="284" w:leader="none"/>
                <w:tab w:val="left" w:pos="993" w:leader="none"/>
              </w:tabs>
              <w:rPr>
                <w:sz w:val="20"/>
                <w:szCs w:val="20"/>
              </w:rPr>
            </w:pPr>
            <w:r>
              <w:rPr>
                <w:sz w:val="20"/>
                <w:szCs w:val="20"/>
              </w:rPr>
              <w:t xml:space="preserve">16.2.2.1.</w:t>
            </w:r>
            <w:r>
              <w:rPr>
                <w:sz w:val="20"/>
                <w:szCs w:val="20"/>
              </w:rPr>
            </w:r>
            <w:r>
              <w:rPr>
                <w:sz w:val="20"/>
                <w:szCs w:val="20"/>
              </w:rPr>
            </w:r>
          </w:p>
        </w:tc>
        <w:tc>
          <w:tcPr>
            <w:tcW w:w="3828" w:type="dxa"/>
            <w:vAlign w:val="top"/>
            <w:textDirection w:val="lrTb"/>
            <w:noWrap w:val="false"/>
          </w:tcPr>
          <w:p>
            <w:pPr>
              <w:pStyle w:val="1135"/>
              <w:jc w:val="both"/>
              <w:tabs>
                <w:tab w:val="left" w:pos="284" w:leader="none"/>
                <w:tab w:val="left" w:pos="993" w:leader="none"/>
              </w:tabs>
              <w:rPr>
                <w:sz w:val="20"/>
                <w:szCs w:val="20"/>
              </w:rPr>
            </w:pPr>
            <w:r>
              <w:rPr>
                <w:sz w:val="20"/>
                <w:szCs w:val="20"/>
              </w:rPr>
              <w:t xml:space="preserve">Золото</w:t>
            </w:r>
            <w:r>
              <w:rPr>
                <w:sz w:val="20"/>
                <w:szCs w:val="20"/>
              </w:rPr>
            </w:r>
            <w:r>
              <w:rPr>
                <w:sz w:val="20"/>
                <w:szCs w:val="20"/>
              </w:rPr>
            </w:r>
          </w:p>
        </w:tc>
        <w:tc>
          <w:tcPr>
            <w:tcW w:w="3010" w:type="dxa"/>
            <w:vAlign w:val="top"/>
            <w:textDirection w:val="lrTb"/>
            <w:noWrap w:val="false"/>
          </w:tcPr>
          <w:p>
            <w:pPr>
              <w:pStyle w:val="1135"/>
              <w:jc w:val="both"/>
              <w:tabs>
                <w:tab w:val="left" w:pos="284" w:leader="none"/>
                <w:tab w:val="left" w:pos="993" w:leader="none"/>
              </w:tabs>
              <w:rPr>
                <w:sz w:val="20"/>
                <w:szCs w:val="20"/>
              </w:rPr>
            </w:pPr>
            <w:r>
              <w:rPr>
                <w:sz w:val="20"/>
                <w:szCs w:val="20"/>
              </w:rPr>
            </w:r>
            <w:r>
              <w:rPr>
                <w:sz w:val="20"/>
                <w:szCs w:val="20"/>
              </w:rPr>
            </w:r>
            <w:r>
              <w:rPr>
                <w:sz w:val="20"/>
                <w:szCs w:val="20"/>
              </w:rPr>
            </w:r>
          </w:p>
        </w:tc>
        <w:tc>
          <w:tcPr>
            <w:tcW w:w="2127" w:type="dxa"/>
            <w:vAlign w:val="top"/>
            <w:textDirection w:val="lrTb"/>
            <w:noWrap w:val="false"/>
          </w:tcPr>
          <w:p>
            <w:pPr>
              <w:pStyle w:val="1135"/>
              <w:jc w:val="both"/>
              <w:tabs>
                <w:tab w:val="left" w:pos="284" w:leader="none"/>
                <w:tab w:val="left" w:pos="993"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35"/>
              <w:jc w:val="center"/>
              <w:tabs>
                <w:tab w:val="left" w:pos="284" w:leader="none"/>
                <w:tab w:val="left" w:pos="993" w:leader="none"/>
              </w:tabs>
              <w:rPr>
                <w:sz w:val="20"/>
                <w:szCs w:val="20"/>
              </w:rPr>
            </w:pPr>
            <w:r>
              <w:rPr>
                <w:sz w:val="20"/>
                <w:szCs w:val="20"/>
              </w:rPr>
              <w:t xml:space="preserve">16.2.2.1.1.</w:t>
            </w:r>
            <w:r>
              <w:rPr>
                <w:sz w:val="20"/>
                <w:szCs w:val="20"/>
              </w:rPr>
            </w:r>
            <w:r>
              <w:rPr>
                <w:sz w:val="20"/>
                <w:szCs w:val="20"/>
              </w:rPr>
            </w:r>
          </w:p>
        </w:tc>
        <w:tc>
          <w:tcPr>
            <w:tcW w:w="3828" w:type="dxa"/>
            <w:vAlign w:val="top"/>
            <w:textDirection w:val="lrTb"/>
            <w:noWrap w:val="false"/>
          </w:tcPr>
          <w:p>
            <w:pPr>
              <w:pStyle w:val="1188"/>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 стандартных слитках</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3010" w:type="dxa"/>
            <w:vAlign w:val="top"/>
            <w:textDirection w:val="lrTb"/>
            <w:noWrap w:val="false"/>
          </w:tcPr>
          <w:p>
            <w:pPr>
              <w:pStyle w:val="1188"/>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0,2 % от стоимости драгоценного металла</w:t>
            </w:r>
            <w:r>
              <w:rPr>
                <w:rStyle w:val="1180"/>
                <w:rFonts w:ascii="Times New Roman" w:hAnsi="Times New Roman" w:cs="Times New Roman"/>
                <w:b/>
                <w:bCs/>
                <w:i/>
                <w:iCs/>
                <w:smallCaps/>
                <w:sz w:val="20"/>
                <w:szCs w:val="20"/>
              </w:rPr>
              <w:footnoteReference w:id="9"/>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127" w:type="dxa"/>
            <w:vAlign w:val="top"/>
            <w:textDirection w:val="lrTb"/>
            <w:noWrap w:val="false"/>
          </w:tcPr>
          <w:p>
            <w:pPr>
              <w:pStyle w:val="1188"/>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Взимается в день составления акта приема-передачи драгоценных металлов</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35"/>
              <w:jc w:val="center"/>
              <w:tabs>
                <w:tab w:val="left" w:pos="284" w:leader="none"/>
                <w:tab w:val="left" w:pos="993" w:leader="none"/>
              </w:tabs>
              <w:rPr>
                <w:sz w:val="20"/>
                <w:szCs w:val="20"/>
              </w:rPr>
            </w:pPr>
            <w:r>
              <w:rPr>
                <w:sz w:val="20"/>
                <w:szCs w:val="20"/>
              </w:rPr>
              <w:t xml:space="preserve">16.2.2.1.2.</w:t>
            </w:r>
            <w:r>
              <w:rPr>
                <w:sz w:val="20"/>
                <w:szCs w:val="20"/>
              </w:rPr>
            </w:r>
            <w:r>
              <w:rPr>
                <w:sz w:val="20"/>
                <w:szCs w:val="20"/>
              </w:rPr>
            </w:r>
          </w:p>
        </w:tc>
        <w:tc>
          <w:tcPr>
            <w:tcW w:w="3828" w:type="dxa"/>
            <w:vAlign w:val="top"/>
            <w:textDirection w:val="lrTb"/>
            <w:noWrap w:val="false"/>
          </w:tcPr>
          <w:p>
            <w:pPr>
              <w:pStyle w:val="1188"/>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 мерных слитках</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3010" w:type="dxa"/>
            <w:vAlign w:val="top"/>
            <w:textDirection w:val="lrTb"/>
            <w:noWrap w:val="false"/>
          </w:tcPr>
          <w:tbl>
            <w:tblPr>
              <w:tblW w:w="2977" w:type="dxa"/>
              <w:tblInd w:w="0" w:type="dxa"/>
              <w:tblLayout w:type="fixed"/>
              <w:tblCellMar>
                <w:left w:w="108" w:type="dxa"/>
                <w:top w:w="0" w:type="dxa"/>
                <w:right w:w="108" w:type="dxa"/>
                <w:bottom w:w="0" w:type="dxa"/>
              </w:tblCellMar>
              <w:tblLook w:val="04A0" w:firstRow="1" w:lastRow="0" w:firstColumn="1" w:lastColumn="0" w:noHBand="0" w:noVBand="1"/>
            </w:tblPr>
            <w:tblGrid>
              <w:gridCol w:w="1559"/>
              <w:gridCol w:w="1418"/>
            </w:tblGrid>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88"/>
                    <w:ind w:right="-108"/>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Весовая номенклатура (грамм)</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88"/>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Тариф за слиток (руб.)</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88"/>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88"/>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lang w:val="en-US"/>
                    </w:rPr>
                    <w:t xml:space="preserve">650</w:t>
                  </w:r>
                  <w:r>
                    <w:rPr>
                      <w:rFonts w:ascii="Times New Roman" w:hAnsi="Times New Roman" w:cs="Times New Roman"/>
                      <w:b w:val="0"/>
                      <w:bCs w:val="0"/>
                      <w:i w:val="0"/>
                      <w:iCs w:val="0"/>
                      <w:smallCaps w:val="0"/>
                      <w:sz w:val="20"/>
                      <w:szCs w:val="20"/>
                    </w:rPr>
                    <w:t xml:space="preserve">,00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88"/>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5</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88"/>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lang w:val="en-US"/>
                    </w:rPr>
                    <w:t xml:space="preserve">700</w:t>
                  </w:r>
                  <w:r>
                    <w:rPr>
                      <w:rFonts w:ascii="Times New Roman" w:hAnsi="Times New Roman" w:cs="Times New Roman"/>
                      <w:b w:val="0"/>
                      <w:bCs w:val="0"/>
                      <w:i w:val="0"/>
                      <w:iCs w:val="0"/>
                      <w:smallCaps w:val="0"/>
                      <w:sz w:val="20"/>
                      <w:szCs w:val="20"/>
                    </w:rPr>
                    <w:t xml:space="preserve">,00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88"/>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88"/>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lang w:val="en-US"/>
                    </w:rPr>
                    <w:t xml:space="preserve">750</w:t>
                  </w:r>
                  <w:r>
                    <w:rPr>
                      <w:rFonts w:ascii="Times New Roman" w:hAnsi="Times New Roman" w:cs="Times New Roman"/>
                      <w:b w:val="0"/>
                      <w:bCs w:val="0"/>
                      <w:i w:val="0"/>
                      <w:iCs w:val="0"/>
                      <w:smallCaps w:val="0"/>
                      <w:sz w:val="20"/>
                      <w:szCs w:val="20"/>
                    </w:rPr>
                    <w:t xml:space="preserve">,00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88"/>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20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88"/>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lang w:val="en-US"/>
                    </w:rPr>
                    <w:t xml:space="preserve">1</w:t>
                  </w:r>
                  <w:r>
                    <w:rPr>
                      <w:rFonts w:ascii="Times New Roman" w:hAnsi="Times New Roman" w:cs="Times New Roman"/>
                      <w:b w:val="0"/>
                      <w:bCs w:val="0"/>
                      <w:i w:val="0"/>
                      <w:iCs w:val="0"/>
                      <w:smallCaps w:val="0"/>
                      <w:sz w:val="20"/>
                      <w:szCs w:val="20"/>
                    </w:rPr>
                    <w:t xml:space="preserve"> 000,00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88"/>
                    <w:spacing w:before="20"/>
                    <w:tabs>
                      <w:tab w:val="left" w:pos="284" w:leader="none"/>
                      <w:tab w:val="left" w:pos="993" w:leader="none"/>
                    </w:tabs>
                    <w:rPr>
                      <w:rFonts w:ascii="Times New Roman" w:hAnsi="Times New Roman" w:cs="Times New Roman"/>
                      <w:b w:val="0"/>
                      <w:bCs w:val="0"/>
                      <w:i w:val="0"/>
                      <w:iCs w:val="0"/>
                      <w:smallCaps w:val="0"/>
                      <w:sz w:val="20"/>
                      <w:szCs w:val="20"/>
                      <w:lang w:val="en-US"/>
                    </w:rPr>
                  </w:pPr>
                  <w:r>
                    <w:rPr>
                      <w:rFonts w:ascii="Times New Roman" w:hAnsi="Times New Roman" w:cs="Times New Roman"/>
                      <w:b w:val="0"/>
                      <w:bCs w:val="0"/>
                      <w:i w:val="0"/>
                      <w:iCs w:val="0"/>
                      <w:smallCaps w:val="0"/>
                      <w:sz w:val="20"/>
                      <w:szCs w:val="20"/>
                    </w:rPr>
                    <w:t xml:space="preserve">50</w:t>
                  </w:r>
                  <w:r>
                    <w:rPr>
                      <w:rFonts w:ascii="Times New Roman" w:hAnsi="Times New Roman" w:cs="Times New Roman"/>
                      <w:b w:val="0"/>
                      <w:bCs w:val="0"/>
                      <w:i w:val="0"/>
                      <w:iCs w:val="0"/>
                      <w:smallCaps w:val="0"/>
                      <w:sz w:val="20"/>
                      <w:szCs w:val="20"/>
                      <w:lang w:val="en-US"/>
                    </w:rPr>
                  </w:r>
                  <w:r>
                    <w:rPr>
                      <w:rFonts w:ascii="Times New Roman" w:hAnsi="Times New Roman" w:cs="Times New Roman"/>
                      <w:b w:val="0"/>
                      <w:bCs w:val="0"/>
                      <w:i w:val="0"/>
                      <w:iCs w:val="0"/>
                      <w:smallCaps w:val="0"/>
                      <w:sz w:val="20"/>
                      <w:szCs w:val="20"/>
                      <w:lang w:val="en-US"/>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88"/>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lang w:val="en-US"/>
                    </w:rPr>
                    <w:t xml:space="preserve">1</w:t>
                  </w:r>
                  <w:r>
                    <w:rPr>
                      <w:rFonts w:ascii="Times New Roman" w:hAnsi="Times New Roman" w:cs="Times New Roman"/>
                      <w:b w:val="0"/>
                      <w:bCs w:val="0"/>
                      <w:i w:val="0"/>
                      <w:iCs w:val="0"/>
                      <w:smallCaps w:val="0"/>
                      <w:sz w:val="20"/>
                      <w:szCs w:val="20"/>
                    </w:rPr>
                    <w:t xml:space="preserve"> 500,00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88"/>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88"/>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lang w:val="en-US"/>
                    </w:rPr>
                    <w:t xml:space="preserve">2</w:t>
                  </w:r>
                  <w:r>
                    <w:rPr>
                      <w:rFonts w:ascii="Times New Roman" w:hAnsi="Times New Roman" w:cs="Times New Roman"/>
                      <w:b w:val="0"/>
                      <w:bCs w:val="0"/>
                      <w:i w:val="0"/>
                      <w:iCs w:val="0"/>
                      <w:smallCaps w:val="0"/>
                      <w:sz w:val="20"/>
                      <w:szCs w:val="20"/>
                    </w:rPr>
                    <w:t xml:space="preserve"> 000,00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88"/>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250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88"/>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5 </w:t>
                  </w:r>
                  <w:r>
                    <w:rPr>
                      <w:rFonts w:ascii="Times New Roman" w:hAnsi="Times New Roman" w:cs="Times New Roman"/>
                      <w:b w:val="0"/>
                      <w:bCs w:val="0"/>
                      <w:i w:val="0"/>
                      <w:iCs w:val="0"/>
                      <w:smallCaps w:val="0"/>
                      <w:sz w:val="20"/>
                      <w:szCs w:val="20"/>
                      <w:lang w:val="en-US"/>
                    </w:rPr>
                    <w:t xml:space="preserve">0</w:t>
                  </w:r>
                  <w:r>
                    <w:rPr>
                      <w:rFonts w:ascii="Times New Roman" w:hAnsi="Times New Roman" w:cs="Times New Roman"/>
                      <w:b w:val="0"/>
                      <w:bCs w:val="0"/>
                      <w:i w:val="0"/>
                      <w:iCs w:val="0"/>
                      <w:smallCaps w:val="0"/>
                      <w:sz w:val="20"/>
                      <w:szCs w:val="20"/>
                    </w:rPr>
                    <w:t xml:space="preserve">00,00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88"/>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500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88"/>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9 </w:t>
                  </w:r>
                  <w:r>
                    <w:rPr>
                      <w:rFonts w:ascii="Times New Roman" w:hAnsi="Times New Roman" w:cs="Times New Roman"/>
                      <w:b w:val="0"/>
                      <w:bCs w:val="0"/>
                      <w:i w:val="0"/>
                      <w:iCs w:val="0"/>
                      <w:smallCaps w:val="0"/>
                      <w:sz w:val="20"/>
                      <w:szCs w:val="20"/>
                      <w:lang w:val="en-US"/>
                    </w:rPr>
                    <w:t xml:space="preserve">0</w:t>
                  </w:r>
                  <w:r>
                    <w:rPr>
                      <w:rFonts w:ascii="Times New Roman" w:hAnsi="Times New Roman" w:cs="Times New Roman"/>
                      <w:b w:val="0"/>
                      <w:bCs w:val="0"/>
                      <w:i w:val="0"/>
                      <w:iCs w:val="0"/>
                      <w:smallCaps w:val="0"/>
                      <w:sz w:val="20"/>
                      <w:szCs w:val="20"/>
                    </w:rPr>
                    <w:t xml:space="preserve">00,00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88"/>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1000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88"/>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lang w:val="en-US"/>
                    </w:rPr>
                    <w:t xml:space="preserve">1</w:t>
                  </w:r>
                  <w:r>
                    <w:rPr>
                      <w:rFonts w:ascii="Times New Roman" w:hAnsi="Times New Roman" w:cs="Times New Roman"/>
                      <w:b w:val="0"/>
                      <w:bCs w:val="0"/>
                      <w:i w:val="0"/>
                      <w:iCs w:val="0"/>
                      <w:smallCaps w:val="0"/>
                      <w:sz w:val="20"/>
                      <w:szCs w:val="20"/>
                    </w:rPr>
                    <w:t xml:space="preserve">7 000,00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bl>
          <w:p>
            <w:pPr>
              <w:pStyle w:val="1188"/>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127" w:type="dxa"/>
            <w:vAlign w:val="top"/>
            <w:textDirection w:val="lrTb"/>
            <w:noWrap w:val="false"/>
          </w:tcPr>
          <w:p>
            <w:pPr>
              <w:pStyle w:val="1188"/>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Взимается в день составления акта приема-передачи драгоценных металлов</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35"/>
              <w:jc w:val="center"/>
              <w:tabs>
                <w:tab w:val="left" w:pos="284" w:leader="none"/>
                <w:tab w:val="left" w:pos="993" w:leader="none"/>
              </w:tabs>
              <w:rPr>
                <w:sz w:val="20"/>
                <w:szCs w:val="20"/>
              </w:rPr>
            </w:pPr>
            <w:r>
              <w:rPr>
                <w:sz w:val="20"/>
                <w:szCs w:val="20"/>
              </w:rPr>
              <w:t xml:space="preserve">16.2.2.2.</w:t>
            </w:r>
            <w:r>
              <w:rPr>
                <w:sz w:val="20"/>
                <w:szCs w:val="20"/>
              </w:rPr>
            </w:r>
            <w:r>
              <w:rPr>
                <w:sz w:val="20"/>
                <w:szCs w:val="20"/>
              </w:rPr>
            </w:r>
          </w:p>
        </w:tc>
        <w:tc>
          <w:tcPr>
            <w:tcW w:w="3828" w:type="dxa"/>
            <w:vAlign w:val="top"/>
            <w:textDirection w:val="lrTb"/>
            <w:noWrap w:val="false"/>
          </w:tcPr>
          <w:p>
            <w:pPr>
              <w:pStyle w:val="1135"/>
              <w:jc w:val="both"/>
              <w:tabs>
                <w:tab w:val="left" w:pos="284" w:leader="none"/>
                <w:tab w:val="left" w:pos="993" w:leader="none"/>
              </w:tabs>
              <w:rPr>
                <w:sz w:val="20"/>
                <w:szCs w:val="20"/>
              </w:rPr>
            </w:pPr>
            <w:r>
              <w:rPr>
                <w:sz w:val="20"/>
                <w:szCs w:val="20"/>
              </w:rPr>
              <w:t xml:space="preserve">Серебро</w:t>
            </w:r>
            <w:r>
              <w:rPr>
                <w:sz w:val="20"/>
                <w:szCs w:val="20"/>
              </w:rPr>
            </w:r>
            <w:r>
              <w:rPr>
                <w:sz w:val="20"/>
                <w:szCs w:val="20"/>
              </w:rPr>
            </w:r>
          </w:p>
        </w:tc>
        <w:tc>
          <w:tcPr>
            <w:tcW w:w="3010" w:type="dxa"/>
            <w:vAlign w:val="top"/>
            <w:textDirection w:val="lrTb"/>
            <w:noWrap w:val="false"/>
          </w:tcPr>
          <w:p>
            <w:pPr>
              <w:pStyle w:val="1135"/>
              <w:jc w:val="both"/>
              <w:tabs>
                <w:tab w:val="left" w:pos="284" w:leader="none"/>
                <w:tab w:val="left" w:pos="993" w:leader="none"/>
              </w:tabs>
              <w:rPr>
                <w:sz w:val="20"/>
                <w:szCs w:val="20"/>
              </w:rPr>
            </w:pPr>
            <w:r>
              <w:rPr>
                <w:sz w:val="20"/>
                <w:szCs w:val="20"/>
              </w:rPr>
            </w:r>
            <w:r>
              <w:rPr>
                <w:sz w:val="20"/>
                <w:szCs w:val="20"/>
              </w:rPr>
            </w:r>
            <w:r>
              <w:rPr>
                <w:sz w:val="20"/>
                <w:szCs w:val="20"/>
              </w:rPr>
            </w:r>
          </w:p>
        </w:tc>
        <w:tc>
          <w:tcPr>
            <w:tcW w:w="2127" w:type="dxa"/>
            <w:vAlign w:val="top"/>
            <w:textDirection w:val="lrTb"/>
            <w:noWrap w:val="false"/>
          </w:tcPr>
          <w:p>
            <w:pPr>
              <w:pStyle w:val="1135"/>
              <w:jc w:val="both"/>
              <w:tabs>
                <w:tab w:val="left" w:pos="284" w:leader="none"/>
                <w:tab w:val="left" w:pos="993"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35"/>
              <w:jc w:val="center"/>
              <w:tabs>
                <w:tab w:val="left" w:pos="284" w:leader="none"/>
                <w:tab w:val="left" w:pos="993" w:leader="none"/>
              </w:tabs>
              <w:rPr>
                <w:sz w:val="20"/>
                <w:szCs w:val="20"/>
              </w:rPr>
            </w:pPr>
            <w:r>
              <w:rPr>
                <w:sz w:val="20"/>
                <w:szCs w:val="20"/>
              </w:rPr>
              <w:t xml:space="preserve">16.2.2.2.1.</w:t>
            </w:r>
            <w:r>
              <w:rPr>
                <w:sz w:val="20"/>
                <w:szCs w:val="20"/>
              </w:rPr>
            </w:r>
            <w:r>
              <w:rPr>
                <w:sz w:val="20"/>
                <w:szCs w:val="20"/>
              </w:rPr>
            </w:r>
          </w:p>
        </w:tc>
        <w:tc>
          <w:tcPr>
            <w:tcW w:w="3828" w:type="dxa"/>
            <w:vAlign w:val="top"/>
            <w:textDirection w:val="lrTb"/>
            <w:noWrap w:val="false"/>
          </w:tcPr>
          <w:p>
            <w:pPr>
              <w:pStyle w:val="1188"/>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 стандартных слитках</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3010" w:type="dxa"/>
            <w:vAlign w:val="top"/>
            <w:textDirection w:val="lrTb"/>
            <w:noWrap w:val="false"/>
          </w:tcPr>
          <w:p>
            <w:pPr>
              <w:pStyle w:val="1188"/>
              <w:jc w:val="center"/>
              <w:tabs>
                <w:tab w:val="left" w:pos="284"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0,2 % от стоимости драгоценного металла</w:t>
            </w:r>
            <w:r>
              <w:rPr>
                <w:rStyle w:val="1180"/>
                <w:rFonts w:ascii="Times New Roman" w:hAnsi="Times New Roman" w:cs="Times New Roman"/>
                <w:b/>
                <w:bCs/>
                <w:i/>
                <w:iCs/>
                <w:smallCaps/>
                <w:sz w:val="20"/>
                <w:szCs w:val="20"/>
              </w:rPr>
              <w:footnoteReference w:id="10"/>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127" w:type="dxa"/>
            <w:vAlign w:val="top"/>
            <w:textDirection w:val="lrTb"/>
            <w:noWrap w:val="false"/>
          </w:tcPr>
          <w:p>
            <w:pPr>
              <w:pStyle w:val="1188"/>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Взимается в день составления акта приема-передачи драгоценных металлов</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35"/>
              <w:jc w:val="center"/>
              <w:tabs>
                <w:tab w:val="left" w:pos="284" w:leader="none"/>
                <w:tab w:val="left" w:pos="993" w:leader="none"/>
              </w:tabs>
              <w:rPr>
                <w:sz w:val="20"/>
                <w:szCs w:val="20"/>
              </w:rPr>
            </w:pPr>
            <w:r>
              <w:rPr>
                <w:sz w:val="20"/>
                <w:szCs w:val="20"/>
              </w:rPr>
              <w:t xml:space="preserve">16.2.2.2.2.</w:t>
            </w:r>
            <w:r>
              <w:rPr>
                <w:sz w:val="20"/>
                <w:szCs w:val="20"/>
              </w:rPr>
            </w:r>
            <w:r>
              <w:rPr>
                <w:sz w:val="20"/>
                <w:szCs w:val="20"/>
              </w:rPr>
            </w:r>
          </w:p>
        </w:tc>
        <w:tc>
          <w:tcPr>
            <w:tcW w:w="3828" w:type="dxa"/>
            <w:vAlign w:val="top"/>
            <w:textDirection w:val="lrTb"/>
            <w:noWrap w:val="false"/>
          </w:tcPr>
          <w:p>
            <w:pPr>
              <w:pStyle w:val="1188"/>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 мерных слитках</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3010" w:type="dxa"/>
            <w:vAlign w:val="top"/>
            <w:textDirection w:val="lrTb"/>
            <w:noWrap w:val="false"/>
          </w:tcPr>
          <w:tbl>
            <w:tblPr>
              <w:tblW w:w="2977" w:type="dxa"/>
              <w:tblInd w:w="0" w:type="dxa"/>
              <w:tblLayout w:type="fixed"/>
              <w:tblCellMar>
                <w:left w:w="108" w:type="dxa"/>
                <w:top w:w="0" w:type="dxa"/>
                <w:right w:w="108" w:type="dxa"/>
                <w:bottom w:w="0" w:type="dxa"/>
              </w:tblCellMar>
              <w:tblLook w:val="04A0" w:firstRow="1" w:lastRow="0" w:firstColumn="1" w:lastColumn="0" w:noHBand="0" w:noVBand="1"/>
            </w:tblPr>
            <w:tblGrid>
              <w:gridCol w:w="1559"/>
              <w:gridCol w:w="1418"/>
            </w:tblGrid>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88"/>
                    <w:ind w:right="-108"/>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Весовая номенклатура (грамм)</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88"/>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Цена за слиток (руб.)</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88"/>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50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88"/>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1 100,00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88"/>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88"/>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1 2</w:t>
                  </w:r>
                  <w:r>
                    <w:rPr>
                      <w:rFonts w:ascii="Times New Roman" w:hAnsi="Times New Roman" w:cs="Times New Roman"/>
                      <w:b w:val="0"/>
                      <w:bCs w:val="0"/>
                      <w:i w:val="0"/>
                      <w:iCs w:val="0"/>
                      <w:smallCaps w:val="0"/>
                      <w:sz w:val="20"/>
                      <w:szCs w:val="20"/>
                      <w:lang w:val="en-US"/>
                    </w:rPr>
                    <w:t xml:space="preserve">00</w:t>
                  </w:r>
                  <w:r>
                    <w:rPr>
                      <w:rFonts w:ascii="Times New Roman" w:hAnsi="Times New Roman" w:cs="Times New Roman"/>
                      <w:b w:val="0"/>
                      <w:bCs w:val="0"/>
                      <w:i w:val="0"/>
                      <w:iCs w:val="0"/>
                      <w:smallCaps w:val="0"/>
                      <w:sz w:val="20"/>
                      <w:szCs w:val="20"/>
                    </w:rPr>
                    <w:t xml:space="preserve">,00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88"/>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250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88"/>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lang w:val="en-US"/>
                    </w:rPr>
                    <w:t xml:space="preserve">1</w:t>
                  </w:r>
                  <w:r>
                    <w:rPr>
                      <w:rFonts w:ascii="Times New Roman" w:hAnsi="Times New Roman" w:cs="Times New Roman"/>
                      <w:b w:val="0"/>
                      <w:bCs w:val="0"/>
                      <w:i w:val="0"/>
                      <w:iCs w:val="0"/>
                      <w:smallCaps w:val="0"/>
                      <w:sz w:val="20"/>
                      <w:szCs w:val="20"/>
                    </w:rPr>
                    <w:t xml:space="preserve"> </w:t>
                  </w:r>
                  <w:r>
                    <w:rPr>
                      <w:rFonts w:ascii="Times New Roman" w:hAnsi="Times New Roman" w:cs="Times New Roman"/>
                      <w:b w:val="0"/>
                      <w:bCs w:val="0"/>
                      <w:i w:val="0"/>
                      <w:iCs w:val="0"/>
                      <w:smallCaps w:val="0"/>
                      <w:sz w:val="20"/>
                      <w:szCs w:val="20"/>
                      <w:lang w:val="en-US"/>
                    </w:rPr>
                    <w:t xml:space="preserve">9</w:t>
                  </w:r>
                  <w:r>
                    <w:rPr>
                      <w:rFonts w:ascii="Times New Roman" w:hAnsi="Times New Roman" w:cs="Times New Roman"/>
                      <w:b w:val="0"/>
                      <w:bCs w:val="0"/>
                      <w:i w:val="0"/>
                      <w:iCs w:val="0"/>
                      <w:smallCaps w:val="0"/>
                      <w:sz w:val="20"/>
                      <w:szCs w:val="20"/>
                    </w:rPr>
                    <w:t xml:space="preserve">00,00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88"/>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500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88"/>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lang w:val="en-US"/>
                    </w:rPr>
                    <w:t xml:space="preserve">2</w:t>
                  </w:r>
                  <w:r>
                    <w:rPr>
                      <w:rFonts w:ascii="Times New Roman" w:hAnsi="Times New Roman" w:cs="Times New Roman"/>
                      <w:b w:val="0"/>
                      <w:bCs w:val="0"/>
                      <w:i w:val="0"/>
                      <w:iCs w:val="0"/>
                      <w:smallCaps w:val="0"/>
                      <w:sz w:val="20"/>
                      <w:szCs w:val="20"/>
                    </w:rPr>
                    <w:t xml:space="preserve"> </w:t>
                  </w:r>
                  <w:r>
                    <w:rPr>
                      <w:rFonts w:ascii="Times New Roman" w:hAnsi="Times New Roman" w:cs="Times New Roman"/>
                      <w:b w:val="0"/>
                      <w:bCs w:val="0"/>
                      <w:i w:val="0"/>
                      <w:iCs w:val="0"/>
                      <w:smallCaps w:val="0"/>
                      <w:sz w:val="20"/>
                      <w:szCs w:val="20"/>
                      <w:lang w:val="en-US"/>
                    </w:rPr>
                    <w:t xml:space="preserve">3</w:t>
                  </w:r>
                  <w:r>
                    <w:rPr>
                      <w:rFonts w:ascii="Times New Roman" w:hAnsi="Times New Roman" w:cs="Times New Roman"/>
                      <w:b w:val="0"/>
                      <w:bCs w:val="0"/>
                      <w:i w:val="0"/>
                      <w:iCs w:val="0"/>
                      <w:smallCaps w:val="0"/>
                      <w:sz w:val="20"/>
                      <w:szCs w:val="20"/>
                    </w:rPr>
                    <w:t xml:space="preserve">00,00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88"/>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1000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88"/>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lang w:val="en-US"/>
                    </w:rPr>
                    <w:t xml:space="preserve">2</w:t>
                  </w:r>
                  <w:r>
                    <w:rPr>
                      <w:rFonts w:ascii="Times New Roman" w:hAnsi="Times New Roman" w:cs="Times New Roman"/>
                      <w:b w:val="0"/>
                      <w:bCs w:val="0"/>
                      <w:i w:val="0"/>
                      <w:iCs w:val="0"/>
                      <w:smallCaps w:val="0"/>
                      <w:sz w:val="20"/>
                      <w:szCs w:val="20"/>
                    </w:rPr>
                    <w:t xml:space="preserve"> 500,00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bl>
          <w:p>
            <w:pPr>
              <w:pStyle w:val="1188"/>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127" w:type="dxa"/>
            <w:vAlign w:val="top"/>
            <w:textDirection w:val="lrTb"/>
            <w:noWrap w:val="false"/>
          </w:tcPr>
          <w:p>
            <w:pPr>
              <w:pStyle w:val="1188"/>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Взимается в день составления акта приема-передачи драгоценных металлов</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bl>
    <w:p>
      <w:pPr>
        <w:pStyle w:val="1135"/>
        <w:ind w:left="720"/>
        <w:jc w:val="center"/>
        <w:keepNext/>
        <w:spacing w:after="40"/>
        <w:rPr>
          <w:b/>
          <w:bCs/>
        </w:rPr>
        <w:outlineLvl w:val="1"/>
      </w:pPr>
      <w:r>
        <w:rPr>
          <w:b/>
          <w:bCs/>
        </w:rPr>
      </w:r>
      <w:r>
        <w:rPr>
          <w:b/>
          <w:bCs/>
        </w:rPr>
      </w:r>
      <w:r>
        <w:rPr>
          <w:b/>
          <w:bCs/>
        </w:rPr>
      </w:r>
    </w:p>
    <w:p>
      <w:pPr>
        <w:pStyle w:val="1135"/>
        <w:ind w:left="720"/>
        <w:jc w:val="center"/>
        <w:keepNext/>
        <w:spacing w:after="40"/>
        <w:rPr>
          <w:b/>
          <w:bCs/>
        </w:rPr>
        <w:outlineLvl w:val="1"/>
      </w:pPr>
      <w:r>
        <w:rPr>
          <w:b/>
          <w:bCs/>
        </w:rPr>
        <w:t xml:space="preserve"> </w:t>
      </w:r>
      <w:r>
        <w:rPr>
          <w:b/>
          <w:bCs/>
        </w:rPr>
        <w:t xml:space="preserve">17. Обслуживание с использованием Торговой системы</w:t>
        <w:br w:type="textWrapping" w:clear="all"/>
        <w:t xml:space="preserve"> РСХБ-Дилинг АО «Россельхозбанк», Торговой системы РСХБ-Дилинг 2.0</w:t>
      </w:r>
      <w:r>
        <w:rPr>
          <w:b/>
          <w:bCs/>
        </w:rPr>
      </w:r>
      <w:r>
        <w:rPr>
          <w:b/>
          <w:bCs/>
        </w:rPr>
      </w:r>
    </w:p>
    <w:p>
      <w:pPr>
        <w:pStyle w:val="1135"/>
        <w:ind w:left="720"/>
        <w:jc w:val="center"/>
        <w:keepNext/>
        <w:spacing w:after="40"/>
        <w:rPr>
          <w:b/>
          <w:bCs/>
        </w:rPr>
        <w:outlineLvl w:val="1"/>
      </w:pPr>
      <w:r>
        <w:rPr>
          <w:b/>
          <w:bCs/>
        </w:rPr>
      </w:r>
      <w:r>
        <w:rPr>
          <w:b/>
          <w:bCs/>
        </w:rPr>
      </w:r>
      <w:r>
        <w:rPr>
          <w:b/>
          <w:bCs/>
        </w:rPr>
      </w:r>
    </w:p>
    <w:tbl>
      <w:tblPr>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1124"/>
        <w:gridCol w:w="2950"/>
        <w:gridCol w:w="1827"/>
        <w:gridCol w:w="421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center"/>
            <w:textDirection w:val="lrTb"/>
            <w:noWrap w:val="false"/>
          </w:tcPr>
          <w:p>
            <w:pPr>
              <w:pStyle w:val="1135"/>
              <w:jc w:val="center"/>
              <w:spacing w:before="40" w:after="40"/>
              <w:rPr>
                <w:b/>
                <w:bCs/>
                <w:sz w:val="20"/>
                <w:szCs w:val="20"/>
              </w:rPr>
            </w:pPr>
            <w:r>
              <w:rPr>
                <w:b/>
                <w:bCs/>
                <w:sz w:val="20"/>
                <w:szCs w:val="20"/>
              </w:rPr>
              <w:t xml:space="preserve">№  </w:t>
              <w:br w:type="textWrapping" w:clear="all"/>
              <w:t xml:space="preserve"> п/п</w:t>
            </w:r>
            <w:r>
              <w:rPr>
                <w:b/>
                <w:bCs/>
                <w:sz w:val="20"/>
                <w:szCs w:val="20"/>
              </w:rPr>
            </w:r>
            <w:r>
              <w:rPr>
                <w:b/>
                <w:bCs/>
                <w:sz w:val="20"/>
                <w:szCs w:val="20"/>
              </w:rPr>
            </w:r>
          </w:p>
        </w:tc>
        <w:tc>
          <w:tcPr>
            <w:tcW w:w="1458" w:type="pct"/>
            <w:vAlign w:val="center"/>
            <w:textDirection w:val="lrTb"/>
            <w:noWrap w:val="false"/>
          </w:tcPr>
          <w:p>
            <w:pPr>
              <w:pStyle w:val="1135"/>
              <w:jc w:val="center"/>
              <w:spacing w:before="40" w:after="40"/>
              <w:rPr>
                <w:b/>
                <w:bCs/>
                <w:sz w:val="20"/>
                <w:szCs w:val="20"/>
              </w:rPr>
            </w:pPr>
            <w:r>
              <w:rPr>
                <w:b/>
                <w:bCs/>
                <w:sz w:val="20"/>
                <w:szCs w:val="20"/>
              </w:rPr>
              <w:t xml:space="preserve">Наименование услуги</w:t>
            </w:r>
            <w:r>
              <w:rPr>
                <w:b/>
                <w:bCs/>
                <w:sz w:val="20"/>
                <w:szCs w:val="20"/>
              </w:rPr>
            </w:r>
            <w:r>
              <w:rPr>
                <w:b/>
                <w:bCs/>
                <w:sz w:val="20"/>
                <w:szCs w:val="20"/>
              </w:rPr>
            </w:r>
          </w:p>
        </w:tc>
        <w:tc>
          <w:tcPr>
            <w:tcW w:w="903" w:type="pct"/>
            <w:vAlign w:val="center"/>
            <w:textDirection w:val="lrTb"/>
            <w:noWrap w:val="false"/>
          </w:tcPr>
          <w:p>
            <w:pPr>
              <w:pStyle w:val="1135"/>
              <w:jc w:val="center"/>
              <w:spacing w:before="40" w:after="40"/>
              <w:rPr>
                <w:b/>
                <w:bCs/>
                <w:sz w:val="20"/>
                <w:szCs w:val="20"/>
              </w:rPr>
            </w:pPr>
            <w:r>
              <w:rPr>
                <w:b/>
                <w:bCs/>
                <w:sz w:val="20"/>
                <w:szCs w:val="20"/>
              </w:rPr>
              <w:t xml:space="preserve">Тариф</w:t>
            </w:r>
            <w:r>
              <w:rPr>
                <w:b/>
                <w:bCs/>
                <w:sz w:val="20"/>
                <w:szCs w:val="20"/>
              </w:rPr>
            </w:r>
            <w:r>
              <w:rPr>
                <w:b/>
                <w:bCs/>
                <w:sz w:val="20"/>
                <w:szCs w:val="20"/>
              </w:rPr>
            </w:r>
          </w:p>
        </w:tc>
        <w:tc>
          <w:tcPr>
            <w:tcW w:w="2083" w:type="pct"/>
            <w:vAlign w:val="center"/>
            <w:textDirection w:val="lrTb"/>
            <w:noWrap w:val="false"/>
          </w:tcPr>
          <w:p>
            <w:pPr>
              <w:pStyle w:val="1135"/>
              <w:jc w:val="center"/>
              <w:spacing w:before="40" w:after="40"/>
              <w:rPr>
                <w:b/>
                <w:bCs/>
                <w:sz w:val="20"/>
                <w:szCs w:val="20"/>
              </w:rPr>
            </w:pPr>
            <w:r>
              <w:rPr>
                <w:b/>
                <w:bCs/>
                <w:sz w:val="20"/>
                <w:szCs w:val="20"/>
              </w:rPr>
              <w:t xml:space="preserve">Примечание</w:t>
            </w:r>
            <w:r>
              <w:rPr>
                <w:b/>
                <w:bCs/>
                <w:sz w:val="20"/>
                <w:szCs w:val="20"/>
              </w:rPr>
            </w:r>
            <w:r>
              <w:rPr>
                <w:b/>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35"/>
              <w:spacing w:before="40"/>
              <w:rPr>
                <w:bCs/>
                <w:sz w:val="20"/>
                <w:szCs w:val="20"/>
              </w:rPr>
            </w:pPr>
            <w:r>
              <w:rPr>
                <w:bCs/>
                <w:sz w:val="20"/>
                <w:szCs w:val="20"/>
              </w:rPr>
              <w:t xml:space="preserve">17.1. </w:t>
            </w:r>
            <w:r>
              <w:rPr>
                <w:bCs/>
                <w:sz w:val="20"/>
                <w:szCs w:val="20"/>
              </w:rPr>
            </w:r>
            <w:r>
              <w:rPr>
                <w:bCs/>
                <w:sz w:val="20"/>
                <w:szCs w:val="20"/>
              </w:rPr>
            </w:r>
          </w:p>
        </w:tc>
        <w:tc>
          <w:tcPr>
            <w:gridSpan w:val="3"/>
            <w:tcW w:w="4444" w:type="pct"/>
            <w:vAlign w:val="top"/>
            <w:textDirection w:val="lrTb"/>
            <w:noWrap w:val="false"/>
          </w:tcPr>
          <w:p>
            <w:pPr>
              <w:pStyle w:val="1135"/>
              <w:jc w:val="both"/>
              <w:spacing w:before="40"/>
              <w:rPr>
                <w:bCs/>
                <w:sz w:val="20"/>
                <w:szCs w:val="20"/>
              </w:rPr>
            </w:pPr>
            <w:r>
              <w:rPr>
                <w:bCs/>
                <w:sz w:val="20"/>
                <w:szCs w:val="20"/>
              </w:rPr>
              <w:t xml:space="preserve">Обслуживание с использованием Торговой системы</w:t>
            </w:r>
            <w:r>
              <w:rPr>
                <w:bCs/>
                <w:sz w:val="20"/>
                <w:szCs w:val="20"/>
              </w:rPr>
              <w:t xml:space="preserve"> </w:t>
            </w:r>
            <w:r>
              <w:rPr>
                <w:bCs/>
                <w:sz w:val="20"/>
                <w:szCs w:val="20"/>
              </w:rPr>
              <w:t xml:space="preserve">РСХБ-Дилинг</w:t>
              <w:br w:type="textWrapping" w:clear="all"/>
              <w:t xml:space="preserve"> АО «Россельхозбанк»</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35"/>
              <w:spacing w:before="40"/>
              <w:rPr>
                <w:bCs/>
                <w:sz w:val="20"/>
                <w:szCs w:val="20"/>
              </w:rPr>
            </w:pPr>
            <w:r>
              <w:rPr>
                <w:bCs/>
                <w:sz w:val="20"/>
                <w:szCs w:val="20"/>
              </w:rPr>
              <w:t xml:space="preserve">17.1.1. </w:t>
            </w:r>
            <w:r>
              <w:rPr>
                <w:bCs/>
                <w:sz w:val="20"/>
                <w:szCs w:val="20"/>
              </w:rPr>
            </w:r>
            <w:r>
              <w:rPr>
                <w:bCs/>
                <w:sz w:val="20"/>
                <w:szCs w:val="20"/>
              </w:rPr>
            </w:r>
          </w:p>
        </w:tc>
        <w:tc>
          <w:tcPr>
            <w:tcW w:w="1458" w:type="pct"/>
            <w:vAlign w:val="top"/>
            <w:textDirection w:val="lrTb"/>
            <w:noWrap w:val="false"/>
          </w:tcPr>
          <w:p>
            <w:pPr>
              <w:pStyle w:val="1135"/>
              <w:spacing w:before="40"/>
              <w:rPr>
                <w:bCs/>
                <w:sz w:val="20"/>
                <w:szCs w:val="20"/>
              </w:rPr>
            </w:pPr>
            <w:r>
              <w:rPr>
                <w:bCs/>
                <w:sz w:val="20"/>
                <w:szCs w:val="20"/>
              </w:rPr>
              <w:t xml:space="preserve">Сопровождение Торговой системы РСХБ-Дилинг</w:t>
              <w:br w:type="textWrapping" w:clear="all"/>
              <w:t xml:space="preserve"> АО «Россельхозбанк» </w:t>
            </w:r>
            <w:r>
              <w:rPr>
                <w:bCs/>
                <w:sz w:val="20"/>
                <w:szCs w:val="20"/>
              </w:rPr>
            </w:r>
            <w:r>
              <w:rPr>
                <w:bCs/>
                <w:sz w:val="20"/>
                <w:szCs w:val="20"/>
              </w:rPr>
            </w:r>
          </w:p>
        </w:tc>
        <w:tc>
          <w:tcPr>
            <w:tcW w:w="903" w:type="pct"/>
            <w:vAlign w:val="top"/>
            <w:textDirection w:val="lrTb"/>
            <w:noWrap w:val="false"/>
          </w:tcPr>
          <w:p>
            <w:pPr>
              <w:pStyle w:val="1135"/>
              <w:jc w:val="center"/>
              <w:spacing w:before="40"/>
              <w:rPr>
                <w:bCs/>
                <w:sz w:val="20"/>
                <w:szCs w:val="20"/>
              </w:rPr>
            </w:pPr>
            <w:r>
              <w:rPr>
                <w:bCs/>
                <w:sz w:val="20"/>
                <w:szCs w:val="20"/>
              </w:rPr>
              <w:t xml:space="preserve">Не взимается</w:t>
            </w:r>
            <w:r>
              <w:rPr>
                <w:bCs/>
                <w:sz w:val="20"/>
                <w:szCs w:val="20"/>
              </w:rPr>
            </w:r>
            <w:r>
              <w:rPr>
                <w:bCs/>
                <w:sz w:val="20"/>
                <w:szCs w:val="20"/>
              </w:rPr>
            </w:r>
          </w:p>
        </w:tc>
        <w:tc>
          <w:tcPr>
            <w:tcW w:w="2083" w:type="pct"/>
            <w:vAlign w:val="top"/>
            <w:textDirection w:val="lrTb"/>
            <w:noWrap w:val="false"/>
          </w:tcPr>
          <w:p>
            <w:pPr>
              <w:pStyle w:val="1135"/>
              <w:jc w:val="both"/>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35"/>
              <w:spacing w:before="40"/>
              <w:rPr>
                <w:bCs/>
                <w:sz w:val="20"/>
                <w:szCs w:val="20"/>
              </w:rPr>
            </w:pPr>
            <w:r>
              <w:rPr>
                <w:bCs/>
                <w:sz w:val="20"/>
                <w:szCs w:val="20"/>
              </w:rPr>
              <w:t xml:space="preserve">17.1.2.</w:t>
            </w:r>
            <w:r>
              <w:rPr>
                <w:bCs/>
                <w:sz w:val="20"/>
                <w:szCs w:val="20"/>
              </w:rPr>
            </w:r>
            <w:r>
              <w:rPr>
                <w:bCs/>
                <w:sz w:val="20"/>
                <w:szCs w:val="20"/>
              </w:rPr>
            </w:r>
          </w:p>
        </w:tc>
        <w:tc>
          <w:tcPr>
            <w:gridSpan w:val="3"/>
            <w:tcW w:w="4444" w:type="pct"/>
            <w:vAlign w:val="top"/>
            <w:textDirection w:val="lrTb"/>
            <w:noWrap w:val="false"/>
          </w:tcPr>
          <w:p>
            <w:pPr>
              <w:pStyle w:val="1135"/>
              <w:spacing w:before="40"/>
              <w:rPr>
                <w:bCs/>
                <w:sz w:val="20"/>
                <w:szCs w:val="20"/>
              </w:rPr>
            </w:pPr>
            <w:r>
              <w:rPr>
                <w:bCs/>
                <w:sz w:val="20"/>
                <w:szCs w:val="20"/>
              </w:rPr>
              <w:t xml:space="preserve">Подключение к Торговой системе РСХБ-Дилинг АО «Россельхозбанк»</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35"/>
              <w:spacing w:before="40"/>
              <w:rPr>
                <w:bCs/>
                <w:sz w:val="20"/>
                <w:szCs w:val="20"/>
              </w:rPr>
            </w:pPr>
            <w:r>
              <w:rPr>
                <w:bCs/>
                <w:sz w:val="20"/>
                <w:szCs w:val="20"/>
              </w:rPr>
              <w:t xml:space="preserve">17.1.2.1.</w:t>
            </w:r>
            <w:r>
              <w:rPr>
                <w:bCs/>
                <w:sz w:val="20"/>
                <w:szCs w:val="20"/>
              </w:rPr>
            </w:r>
            <w:r>
              <w:rPr>
                <w:bCs/>
                <w:sz w:val="20"/>
                <w:szCs w:val="20"/>
              </w:rPr>
            </w:r>
          </w:p>
        </w:tc>
        <w:tc>
          <w:tcPr>
            <w:tcW w:w="1458" w:type="pct"/>
            <w:vAlign w:val="top"/>
            <w:textDirection w:val="lrTb"/>
            <w:noWrap w:val="false"/>
          </w:tcPr>
          <w:p>
            <w:pPr>
              <w:pStyle w:val="1135"/>
              <w:spacing w:before="40"/>
              <w:rPr>
                <w:bCs/>
                <w:sz w:val="20"/>
                <w:szCs w:val="20"/>
              </w:rPr>
            </w:pPr>
            <w:r>
              <w:rPr>
                <w:bCs/>
                <w:sz w:val="20"/>
                <w:szCs w:val="20"/>
              </w:rPr>
              <w:t xml:space="preserve">Регистрация в Торговой системе РСХБ-Дилинг </w:t>
              <w:br w:type="textWrapping" w:clear="all"/>
              <w:t xml:space="preserve">АО «Россельхозбанк»</w:t>
            </w:r>
            <w:r>
              <w:rPr>
                <w:bCs/>
                <w:sz w:val="20"/>
                <w:szCs w:val="20"/>
              </w:rPr>
            </w:r>
            <w:r>
              <w:rPr>
                <w:bCs/>
                <w:sz w:val="20"/>
                <w:szCs w:val="20"/>
              </w:rPr>
            </w:r>
          </w:p>
        </w:tc>
        <w:tc>
          <w:tcPr>
            <w:tcW w:w="903" w:type="pct"/>
            <w:vAlign w:val="top"/>
            <w:textDirection w:val="lrTb"/>
            <w:noWrap w:val="false"/>
          </w:tcPr>
          <w:p>
            <w:pPr>
              <w:pStyle w:val="1135"/>
              <w:jc w:val="center"/>
              <w:spacing w:before="40"/>
              <w:rPr>
                <w:bCs/>
                <w:sz w:val="20"/>
                <w:szCs w:val="20"/>
              </w:rPr>
            </w:pPr>
            <w:r>
              <w:rPr>
                <w:bCs/>
                <w:sz w:val="20"/>
                <w:szCs w:val="20"/>
              </w:rPr>
              <w:t xml:space="preserve">Не взимается</w:t>
            </w:r>
            <w:r>
              <w:rPr>
                <w:bCs/>
                <w:sz w:val="20"/>
                <w:szCs w:val="20"/>
              </w:rPr>
            </w:r>
            <w:r>
              <w:rPr>
                <w:bCs/>
                <w:sz w:val="20"/>
                <w:szCs w:val="20"/>
              </w:rPr>
            </w:r>
          </w:p>
        </w:tc>
        <w:tc>
          <w:tcPr>
            <w:tcW w:w="2083" w:type="pct"/>
            <w:vAlign w:val="top"/>
            <w:textDirection w:val="lrTb"/>
            <w:noWrap w:val="false"/>
          </w:tcPr>
          <w:p>
            <w:pPr>
              <w:pStyle w:val="1135"/>
              <w:jc w:val="both"/>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35"/>
              <w:jc w:val="center"/>
              <w:spacing w:before="40"/>
              <w:rPr>
                <w:bCs/>
                <w:sz w:val="20"/>
                <w:szCs w:val="20"/>
              </w:rPr>
            </w:pPr>
            <w:r>
              <w:rPr>
                <w:bCs/>
                <w:sz w:val="20"/>
                <w:szCs w:val="20"/>
              </w:rPr>
              <w:t xml:space="preserve">17.1.2.2.</w:t>
            </w:r>
            <w:r>
              <w:rPr>
                <w:bCs/>
                <w:sz w:val="20"/>
                <w:szCs w:val="20"/>
              </w:rPr>
            </w:r>
            <w:r>
              <w:rPr>
                <w:bCs/>
                <w:sz w:val="20"/>
                <w:szCs w:val="20"/>
              </w:rPr>
            </w:r>
          </w:p>
        </w:tc>
        <w:tc>
          <w:tcPr>
            <w:tcW w:w="1458" w:type="pct"/>
            <w:vAlign w:val="top"/>
            <w:textDirection w:val="lrTb"/>
            <w:noWrap w:val="false"/>
          </w:tcPr>
          <w:p>
            <w:pPr>
              <w:pStyle w:val="1135"/>
              <w:spacing w:before="40"/>
              <w:rPr>
                <w:bCs/>
                <w:sz w:val="20"/>
                <w:szCs w:val="20"/>
              </w:rPr>
            </w:pPr>
            <w:r>
              <w:rPr>
                <w:bCs/>
                <w:sz w:val="20"/>
                <w:szCs w:val="20"/>
              </w:rPr>
              <w:t xml:space="preserve">Подключение дополнительных счетов к Торговой системе РСХБ-Дилинг </w:t>
              <w:br w:type="textWrapping" w:clear="all"/>
              <w:t xml:space="preserve">АО «Россельхозбанк»</w:t>
            </w:r>
            <w:r>
              <w:rPr>
                <w:bCs/>
                <w:sz w:val="20"/>
                <w:szCs w:val="20"/>
              </w:rPr>
            </w:r>
            <w:r>
              <w:rPr>
                <w:bCs/>
                <w:sz w:val="20"/>
                <w:szCs w:val="20"/>
              </w:rPr>
            </w:r>
          </w:p>
        </w:tc>
        <w:tc>
          <w:tcPr>
            <w:tcW w:w="903" w:type="pct"/>
            <w:vAlign w:val="top"/>
            <w:textDirection w:val="lrTb"/>
            <w:noWrap w:val="false"/>
          </w:tcPr>
          <w:p>
            <w:pPr>
              <w:pStyle w:val="1135"/>
              <w:jc w:val="center"/>
              <w:spacing w:before="40"/>
              <w:rPr>
                <w:bCs/>
                <w:sz w:val="20"/>
                <w:szCs w:val="20"/>
              </w:rPr>
            </w:pPr>
            <w:r>
              <w:rPr>
                <w:bCs/>
                <w:sz w:val="20"/>
                <w:szCs w:val="20"/>
              </w:rPr>
              <w:t xml:space="preserve">Не взимается</w:t>
            </w:r>
            <w:r>
              <w:rPr>
                <w:bCs/>
                <w:sz w:val="20"/>
                <w:szCs w:val="20"/>
              </w:rPr>
            </w:r>
            <w:r>
              <w:rPr>
                <w:bCs/>
                <w:sz w:val="20"/>
                <w:szCs w:val="20"/>
              </w:rPr>
            </w:r>
          </w:p>
        </w:tc>
        <w:tc>
          <w:tcPr>
            <w:tcW w:w="2083" w:type="pct"/>
            <w:vAlign w:val="top"/>
            <w:textDirection w:val="lrTb"/>
            <w:noWrap w:val="false"/>
          </w:tcPr>
          <w:p>
            <w:pPr>
              <w:pStyle w:val="1135"/>
              <w:jc w:val="both"/>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35"/>
              <w:spacing w:before="40"/>
              <w:rPr>
                <w:bCs/>
                <w:sz w:val="20"/>
                <w:szCs w:val="20"/>
              </w:rPr>
            </w:pPr>
            <w:r>
              <w:rPr>
                <w:bCs/>
                <w:sz w:val="20"/>
                <w:szCs w:val="20"/>
              </w:rPr>
              <w:t xml:space="preserve">17.1.2.3.</w:t>
            </w:r>
            <w:r>
              <w:rPr>
                <w:bCs/>
                <w:sz w:val="20"/>
                <w:szCs w:val="20"/>
              </w:rPr>
            </w:r>
            <w:r>
              <w:rPr>
                <w:bCs/>
                <w:sz w:val="20"/>
                <w:szCs w:val="20"/>
              </w:rPr>
            </w:r>
          </w:p>
        </w:tc>
        <w:tc>
          <w:tcPr>
            <w:tcW w:w="1458" w:type="pct"/>
            <w:vAlign w:val="top"/>
            <w:textDirection w:val="lrTb"/>
            <w:noWrap w:val="false"/>
          </w:tcPr>
          <w:p>
            <w:pPr>
              <w:pStyle w:val="1135"/>
              <w:spacing w:before="40"/>
              <w:rPr>
                <w:bCs/>
                <w:sz w:val="20"/>
                <w:szCs w:val="20"/>
              </w:rPr>
            </w:pPr>
            <w:r>
              <w:rPr>
                <w:bCs/>
                <w:sz w:val="20"/>
                <w:szCs w:val="20"/>
              </w:rPr>
              <w:t xml:space="preserve">Смена логина</w:t>
            </w:r>
            <w:r>
              <w:rPr>
                <w:bCs/>
                <w:sz w:val="20"/>
                <w:szCs w:val="20"/>
                <w:vertAlign w:val="superscript"/>
              </w:rPr>
              <w:footnoteReference w:id="11"/>
            </w:r>
            <w:r>
              <w:rPr>
                <w:bCs/>
                <w:sz w:val="20"/>
                <w:szCs w:val="20"/>
              </w:rPr>
              <w:t xml:space="preserve"> и/или пароля для доступа к Торговой системе РСХБ-Дилинг АО «Россельхозбанк»</w:t>
            </w:r>
            <w:r>
              <w:rPr>
                <w:bCs/>
                <w:sz w:val="20"/>
                <w:szCs w:val="20"/>
              </w:rPr>
            </w:r>
            <w:r>
              <w:rPr>
                <w:bCs/>
                <w:sz w:val="20"/>
                <w:szCs w:val="20"/>
              </w:rPr>
            </w:r>
          </w:p>
        </w:tc>
        <w:tc>
          <w:tcPr>
            <w:tcW w:w="903" w:type="pct"/>
            <w:vAlign w:val="top"/>
            <w:textDirection w:val="lrTb"/>
            <w:noWrap w:val="false"/>
          </w:tcPr>
          <w:p>
            <w:pPr>
              <w:pStyle w:val="1135"/>
              <w:jc w:val="center"/>
              <w:spacing w:before="40"/>
              <w:rPr>
                <w:bCs/>
                <w:sz w:val="20"/>
                <w:szCs w:val="20"/>
              </w:rPr>
            </w:pPr>
            <w:r>
              <w:rPr>
                <w:bCs/>
                <w:sz w:val="20"/>
                <w:szCs w:val="20"/>
              </w:rPr>
              <w:t xml:space="preserve">Не взимается</w:t>
            </w:r>
            <w:r>
              <w:rPr>
                <w:bCs/>
                <w:sz w:val="20"/>
                <w:szCs w:val="20"/>
              </w:rPr>
            </w:r>
            <w:r>
              <w:rPr>
                <w:bCs/>
                <w:sz w:val="20"/>
                <w:szCs w:val="20"/>
              </w:rPr>
            </w:r>
          </w:p>
        </w:tc>
        <w:tc>
          <w:tcPr>
            <w:tcW w:w="2083" w:type="pct"/>
            <w:vAlign w:val="top"/>
            <w:textDirection w:val="lrTb"/>
            <w:noWrap w:val="false"/>
          </w:tcPr>
          <w:p>
            <w:pPr>
              <w:pStyle w:val="1135"/>
              <w:jc w:val="both"/>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35"/>
              <w:spacing w:before="40"/>
              <w:rPr>
                <w:bCs/>
                <w:sz w:val="20"/>
                <w:szCs w:val="20"/>
              </w:rPr>
            </w:pPr>
            <w:r>
              <w:rPr>
                <w:bCs/>
                <w:sz w:val="20"/>
                <w:szCs w:val="20"/>
              </w:rPr>
              <w:t xml:space="preserve">17.1.2.4.</w:t>
            </w:r>
            <w:r>
              <w:rPr>
                <w:bCs/>
                <w:sz w:val="20"/>
                <w:szCs w:val="20"/>
              </w:rPr>
            </w:r>
            <w:r>
              <w:rPr>
                <w:bCs/>
                <w:sz w:val="20"/>
                <w:szCs w:val="20"/>
              </w:rPr>
            </w:r>
          </w:p>
        </w:tc>
        <w:tc>
          <w:tcPr>
            <w:tcW w:w="1458" w:type="pct"/>
            <w:vAlign w:val="top"/>
            <w:textDirection w:val="lrTb"/>
            <w:noWrap w:val="false"/>
          </w:tcPr>
          <w:p>
            <w:pPr>
              <w:pStyle w:val="1135"/>
              <w:spacing w:before="40"/>
              <w:rPr>
                <w:bCs/>
                <w:sz w:val="20"/>
                <w:szCs w:val="20"/>
              </w:rPr>
            </w:pPr>
            <w:r>
              <w:rPr>
                <w:bCs/>
                <w:sz w:val="20"/>
                <w:szCs w:val="20"/>
              </w:rPr>
              <w:t xml:space="preserve">Предоставление доступа в Торговую систему РСХБ-Дилинг </w:t>
              <w:br w:type="textWrapping" w:clear="all"/>
              <w:t xml:space="preserve">АО «Россельхозбанк» для новых уполномоченных лиц</w:t>
            </w:r>
            <w:r>
              <w:rPr>
                <w:bCs/>
                <w:sz w:val="20"/>
                <w:szCs w:val="20"/>
              </w:rPr>
            </w:r>
            <w:r>
              <w:rPr>
                <w:bCs/>
                <w:sz w:val="20"/>
                <w:szCs w:val="20"/>
              </w:rPr>
            </w:r>
          </w:p>
        </w:tc>
        <w:tc>
          <w:tcPr>
            <w:tcW w:w="903" w:type="pct"/>
            <w:vAlign w:val="top"/>
            <w:textDirection w:val="lrTb"/>
            <w:noWrap w:val="false"/>
          </w:tcPr>
          <w:p>
            <w:pPr>
              <w:pStyle w:val="1135"/>
              <w:jc w:val="center"/>
              <w:spacing w:before="40"/>
              <w:rPr>
                <w:bCs/>
                <w:sz w:val="20"/>
                <w:szCs w:val="20"/>
              </w:rPr>
            </w:pPr>
            <w:r>
              <w:rPr>
                <w:bCs/>
                <w:sz w:val="20"/>
                <w:szCs w:val="20"/>
              </w:rPr>
              <w:t xml:space="preserve">Не взимается</w:t>
            </w:r>
            <w:r>
              <w:rPr>
                <w:bCs/>
                <w:sz w:val="20"/>
                <w:szCs w:val="20"/>
              </w:rPr>
            </w:r>
            <w:r>
              <w:rPr>
                <w:bCs/>
                <w:sz w:val="20"/>
                <w:szCs w:val="20"/>
              </w:rPr>
            </w:r>
          </w:p>
        </w:tc>
        <w:tc>
          <w:tcPr>
            <w:tcW w:w="2083" w:type="pct"/>
            <w:vAlign w:val="top"/>
            <w:textDirection w:val="lrTb"/>
            <w:noWrap w:val="false"/>
          </w:tcPr>
          <w:p>
            <w:pPr>
              <w:pStyle w:val="113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35"/>
              <w:spacing w:before="40"/>
              <w:rPr>
                <w:bCs/>
                <w:sz w:val="20"/>
                <w:szCs w:val="20"/>
              </w:rPr>
            </w:pPr>
            <w:r>
              <w:rPr>
                <w:bCs/>
                <w:sz w:val="20"/>
                <w:szCs w:val="20"/>
              </w:rPr>
              <w:t xml:space="preserve">17.1.2.5.</w:t>
            </w:r>
            <w:r>
              <w:rPr>
                <w:bCs/>
                <w:sz w:val="20"/>
                <w:szCs w:val="20"/>
              </w:rPr>
            </w:r>
            <w:r>
              <w:rPr>
                <w:bCs/>
                <w:sz w:val="20"/>
                <w:szCs w:val="20"/>
              </w:rPr>
            </w:r>
          </w:p>
        </w:tc>
        <w:tc>
          <w:tcPr>
            <w:tcW w:w="1458" w:type="pct"/>
            <w:vAlign w:val="top"/>
            <w:textDirection w:val="lrTb"/>
            <w:noWrap w:val="false"/>
          </w:tcPr>
          <w:p>
            <w:pPr>
              <w:pStyle w:val="1135"/>
              <w:spacing w:before="40"/>
              <w:rPr>
                <w:bCs/>
                <w:sz w:val="20"/>
                <w:szCs w:val="20"/>
              </w:rPr>
            </w:pPr>
            <w:r>
              <w:rPr>
                <w:bCs/>
                <w:sz w:val="20"/>
                <w:szCs w:val="20"/>
              </w:rPr>
              <w:t xml:space="preserve">Блокировка доступа/ возобновление доступа к Торговой системе РСХБ-Дилинг</w:t>
              <w:br w:type="textWrapping" w:clear="all"/>
              <w:t xml:space="preserve"> АО «Россельхозбанк»</w:t>
            </w:r>
            <w:r>
              <w:rPr>
                <w:bCs/>
                <w:sz w:val="20"/>
                <w:szCs w:val="20"/>
              </w:rPr>
            </w:r>
            <w:r>
              <w:rPr>
                <w:bCs/>
                <w:sz w:val="20"/>
                <w:szCs w:val="20"/>
              </w:rPr>
            </w:r>
          </w:p>
        </w:tc>
        <w:tc>
          <w:tcPr>
            <w:tcW w:w="903" w:type="pct"/>
            <w:vAlign w:val="top"/>
            <w:textDirection w:val="lrTb"/>
            <w:noWrap w:val="false"/>
          </w:tcPr>
          <w:p>
            <w:pPr>
              <w:pStyle w:val="1135"/>
              <w:jc w:val="center"/>
              <w:spacing w:before="40"/>
              <w:rPr>
                <w:bCs/>
                <w:sz w:val="20"/>
                <w:szCs w:val="20"/>
              </w:rPr>
            </w:pPr>
            <w:r>
              <w:rPr>
                <w:bCs/>
                <w:sz w:val="20"/>
                <w:szCs w:val="20"/>
              </w:rPr>
              <w:t xml:space="preserve">Не взимается</w:t>
            </w:r>
            <w:r>
              <w:rPr>
                <w:bCs/>
                <w:sz w:val="20"/>
                <w:szCs w:val="20"/>
              </w:rPr>
            </w:r>
            <w:r>
              <w:rPr>
                <w:bCs/>
                <w:sz w:val="20"/>
                <w:szCs w:val="20"/>
              </w:rPr>
            </w:r>
          </w:p>
        </w:tc>
        <w:tc>
          <w:tcPr>
            <w:tcW w:w="2083" w:type="pct"/>
            <w:vAlign w:val="top"/>
            <w:textDirection w:val="lrTb"/>
            <w:noWrap w:val="false"/>
          </w:tcPr>
          <w:p>
            <w:pPr>
              <w:pStyle w:val="1135"/>
              <w:jc w:val="both"/>
              <w:spacing w:before="40"/>
              <w:rPr>
                <w:bCs/>
                <w:sz w:val="20"/>
                <w:szCs w:val="20"/>
              </w:rPr>
            </w:pPr>
            <w:r>
              <w:rPr>
                <w:bCs/>
                <w:sz w:val="20"/>
                <w:szCs w:val="20"/>
              </w:rPr>
            </w:r>
            <w:r>
              <w:rPr>
                <w:bCs/>
                <w:sz w:val="20"/>
                <w:szCs w:val="20"/>
              </w:rPr>
            </w:r>
            <w:r>
              <w:rPr>
                <w:bCs/>
                <w:sz w:val="20"/>
                <w:szCs w:val="20"/>
              </w:rPr>
            </w:r>
          </w:p>
          <w:p>
            <w:pPr>
              <w:pStyle w:val="113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35"/>
              <w:spacing w:before="40"/>
              <w:rPr>
                <w:bCs/>
              </w:rPr>
            </w:pPr>
            <w:r>
              <w:rPr>
                <w:bCs/>
              </w:rPr>
              <w:t xml:space="preserve">17.1.3.</w:t>
            </w:r>
            <w:r>
              <w:rPr>
                <w:bCs/>
              </w:rPr>
            </w:r>
            <w:r>
              <w:rPr>
                <w:bCs/>
              </w:rPr>
            </w:r>
          </w:p>
        </w:tc>
        <w:tc>
          <w:tcPr>
            <w:gridSpan w:val="3"/>
            <w:tcW w:w="4444" w:type="pct"/>
            <w:vAlign w:val="top"/>
            <w:textDirection w:val="lrTb"/>
            <w:noWrap w:val="false"/>
          </w:tcPr>
          <w:p>
            <w:pPr>
              <w:pStyle w:val="1135"/>
              <w:jc w:val="both"/>
              <w:spacing w:before="40"/>
              <w:rPr>
                <w:bCs/>
              </w:rPr>
            </w:pPr>
            <w:r>
              <w:rPr>
                <w:bCs/>
              </w:rPr>
              <w:t xml:space="preserve">Сопровождение криптографической защиты информации</w:t>
            </w:r>
            <w:r>
              <w:rPr>
                <w:bCs/>
              </w:rPr>
            </w:r>
            <w:r>
              <w:rPr>
                <w:bCs/>
              </w:rPr>
            </w:r>
          </w:p>
        </w:tc>
      </w:tr>
      <w:tr>
        <w:tblPrEx/>
        <w:trPr/>
        <w:tc>
          <w:tcPr>
            <w:tcBorders>
              <w:top w:val="single" w:color="000000" w:sz="4" w:space="0"/>
              <w:left w:val="single" w:color="000000" w:sz="4" w:space="0"/>
              <w:right w:val="single" w:color="000000" w:sz="4" w:space="0"/>
            </w:tcBorders>
            <w:tcW w:w="556" w:type="pct"/>
            <w:vAlign w:val="top"/>
            <w:textDirection w:val="lrTb"/>
            <w:noWrap w:val="false"/>
          </w:tcPr>
          <w:p>
            <w:pPr>
              <w:pStyle w:val="1135"/>
              <w:spacing w:before="40"/>
              <w:rPr>
                <w:bCs/>
                <w:sz w:val="20"/>
                <w:szCs w:val="20"/>
              </w:rPr>
            </w:pPr>
            <w:r>
              <w:rPr>
                <w:bCs/>
                <w:sz w:val="20"/>
                <w:szCs w:val="20"/>
              </w:rPr>
              <w:t xml:space="preserve">17.1.3.1.</w:t>
            </w:r>
            <w:r>
              <w:rPr>
                <w:bCs/>
                <w:sz w:val="20"/>
                <w:szCs w:val="20"/>
              </w:rPr>
            </w:r>
            <w:r>
              <w:rPr>
                <w:bCs/>
                <w:sz w:val="20"/>
                <w:szCs w:val="20"/>
              </w:rPr>
            </w:r>
          </w:p>
        </w:tc>
        <w:tc>
          <w:tcPr>
            <w:tcBorders>
              <w:top w:val="single" w:color="000000" w:sz="4" w:space="0"/>
              <w:left w:val="single" w:color="000000" w:sz="4" w:space="0"/>
              <w:right w:val="single" w:color="000000" w:sz="4" w:space="0"/>
            </w:tcBorders>
            <w:tcW w:w="1458" w:type="pct"/>
            <w:vAlign w:val="top"/>
            <w:textDirection w:val="lrTb"/>
            <w:noWrap w:val="false"/>
          </w:tcPr>
          <w:p>
            <w:pPr>
              <w:pStyle w:val="1135"/>
              <w:spacing w:before="40"/>
              <w:rPr>
                <w:sz w:val="20"/>
                <w:szCs w:val="20"/>
              </w:rPr>
            </w:pPr>
            <w:r>
              <w:rPr>
                <w:sz w:val="20"/>
                <w:szCs w:val="20"/>
              </w:rPr>
              <w:t xml:space="preserve">Формирование одной </w:t>
            </w:r>
            <w:r>
              <w:rPr>
                <w:sz w:val="20"/>
                <w:szCs w:val="20"/>
                <w:lang w:val="en-US"/>
              </w:rPr>
              <w:t xml:space="preserve">HTML-</w:t>
            </w:r>
            <w:r>
              <w:rPr>
                <w:sz w:val="20"/>
                <w:szCs w:val="20"/>
              </w:rPr>
              <w:t xml:space="preserve">формы </w:t>
            </w:r>
            <w:r>
              <w:rPr>
                <w:sz w:val="20"/>
                <w:szCs w:val="20"/>
              </w:rPr>
            </w:r>
            <w:r>
              <w:rPr>
                <w:sz w:val="20"/>
                <w:szCs w:val="20"/>
              </w:rPr>
            </w:r>
          </w:p>
        </w:tc>
        <w:tc>
          <w:tcPr>
            <w:tcBorders>
              <w:top w:val="single" w:color="000000" w:sz="4" w:space="0"/>
              <w:left w:val="single" w:color="000000" w:sz="4" w:space="0"/>
              <w:right w:val="single" w:color="000000" w:sz="4" w:space="0"/>
            </w:tcBorders>
            <w:tcW w:w="903" w:type="pct"/>
            <w:vAlign w:val="top"/>
            <w:textDirection w:val="lrTb"/>
            <w:noWrap w:val="false"/>
          </w:tcPr>
          <w:p>
            <w:pPr>
              <w:pStyle w:val="1135"/>
              <w:jc w:val="center"/>
              <w:spacing w:before="40"/>
              <w:rPr>
                <w:sz w:val="20"/>
                <w:szCs w:val="20"/>
              </w:rPr>
            </w:pPr>
            <w:r>
              <w:rPr>
                <w:sz w:val="20"/>
                <w:szCs w:val="20"/>
              </w:rPr>
              <w:t xml:space="preserve">Не взимается </w:t>
            </w:r>
            <w:r>
              <w:rPr>
                <w:sz w:val="20"/>
                <w:szCs w:val="20"/>
              </w:rPr>
            </w:r>
            <w:r>
              <w:rPr>
                <w:sz w:val="20"/>
                <w:szCs w:val="20"/>
              </w:rPr>
            </w:r>
          </w:p>
        </w:tc>
        <w:tc>
          <w:tcPr>
            <w:tcBorders>
              <w:top w:val="single" w:color="000000" w:sz="4" w:space="0"/>
              <w:left w:val="single" w:color="000000" w:sz="4" w:space="0"/>
              <w:right w:val="single" w:color="000000" w:sz="4" w:space="0"/>
            </w:tcBorders>
            <w:tcW w:w="2083" w:type="pct"/>
            <w:vAlign w:val="top"/>
            <w:textDirection w:val="lrTb"/>
            <w:noWrap w:val="false"/>
          </w:tcPr>
          <w:p>
            <w:pPr>
              <w:pStyle w:val="1135"/>
              <w:jc w:val="both"/>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tcBorders>
            <w:tcW w:w="556" w:type="pct"/>
            <w:vAlign w:val="top"/>
            <w:textDirection w:val="lrTb"/>
            <w:noWrap w:val="false"/>
          </w:tcPr>
          <w:p>
            <w:pPr>
              <w:pStyle w:val="1135"/>
              <w:spacing w:before="40"/>
              <w:rPr>
                <w:bCs/>
                <w:spacing w:val="-20"/>
                <w:sz w:val="20"/>
                <w:szCs w:val="20"/>
              </w:rPr>
            </w:pPr>
            <w:r>
              <w:rPr>
                <w:bCs/>
                <w:spacing w:val="-20"/>
                <w:sz w:val="20"/>
                <w:szCs w:val="20"/>
              </w:rPr>
              <w:t xml:space="preserve">17.1.3.1.1.</w:t>
            </w:r>
            <w:r>
              <w:rPr>
                <w:bCs/>
                <w:spacing w:val="-20"/>
                <w:sz w:val="20"/>
                <w:szCs w:val="20"/>
              </w:rPr>
            </w:r>
            <w:r>
              <w:rPr>
                <w:bCs/>
                <w:spacing w:val="-20"/>
                <w:sz w:val="20"/>
                <w:szCs w:val="20"/>
              </w:rPr>
            </w:r>
          </w:p>
        </w:tc>
        <w:tc>
          <w:tcPr>
            <w:tcBorders>
              <w:top w:val="single" w:color="000000" w:sz="4" w:space="0"/>
            </w:tcBorders>
            <w:tcW w:w="1458" w:type="pct"/>
            <w:vAlign w:val="top"/>
            <w:textDirection w:val="lrTb"/>
            <w:noWrap w:val="false"/>
          </w:tcPr>
          <w:p>
            <w:pPr>
              <w:pStyle w:val="1135"/>
              <w:jc w:val="both"/>
              <w:spacing w:before="40"/>
              <w:rPr>
                <w:bCs/>
                <w:sz w:val="20"/>
                <w:szCs w:val="20"/>
              </w:rPr>
            </w:pPr>
            <w:r>
              <w:rPr>
                <w:bCs/>
                <w:sz w:val="20"/>
                <w:szCs w:val="20"/>
              </w:rPr>
              <w:t xml:space="preserve">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r>
              <w:rPr>
                <w:bCs/>
                <w:sz w:val="20"/>
                <w:szCs w:val="20"/>
              </w:rPr>
            </w:r>
            <w:r>
              <w:rPr>
                <w:bCs/>
                <w:sz w:val="20"/>
                <w:szCs w:val="20"/>
              </w:rPr>
            </w:r>
          </w:p>
        </w:tc>
        <w:tc>
          <w:tcPr>
            <w:tcBorders>
              <w:top w:val="single" w:color="000000" w:sz="4" w:space="0"/>
            </w:tcBorders>
            <w:tcW w:w="903" w:type="pct"/>
            <w:vAlign w:val="top"/>
            <w:textDirection w:val="lrTb"/>
            <w:noWrap w:val="false"/>
          </w:tcPr>
          <w:p>
            <w:pPr>
              <w:pStyle w:val="1135"/>
              <w:jc w:val="center"/>
              <w:spacing w:before="40"/>
              <w:rPr>
                <w:bCs/>
                <w:sz w:val="20"/>
                <w:szCs w:val="20"/>
              </w:rPr>
            </w:pPr>
            <w:r>
              <w:rPr>
                <w:bCs/>
                <w:sz w:val="20"/>
                <w:szCs w:val="20"/>
              </w:rPr>
              <w:t xml:space="preserve">Не взимается</w:t>
            </w:r>
            <w:r>
              <w:rPr>
                <w:bCs/>
                <w:sz w:val="20"/>
                <w:szCs w:val="20"/>
              </w:rPr>
            </w:r>
            <w:r>
              <w:rPr>
                <w:bCs/>
                <w:sz w:val="20"/>
                <w:szCs w:val="20"/>
              </w:rPr>
            </w:r>
          </w:p>
        </w:tc>
        <w:tc>
          <w:tcPr>
            <w:tcBorders>
              <w:top w:val="single" w:color="000000" w:sz="4" w:space="0"/>
            </w:tcBorders>
            <w:tcW w:w="2083" w:type="pct"/>
            <w:vAlign w:val="top"/>
            <w:textDirection w:val="lrTb"/>
            <w:noWrap w:val="false"/>
          </w:tcPr>
          <w:p>
            <w:pPr>
              <w:pStyle w:val="1135"/>
              <w:jc w:val="both"/>
              <w:spacing w:before="40"/>
              <w:rPr>
                <w:bCs/>
                <w:sz w:val="20"/>
                <w:szCs w:val="20"/>
              </w:rPr>
            </w:pPr>
            <w:r>
              <w:rPr>
                <w:bCs/>
                <w:sz w:val="20"/>
                <w:szCs w:val="20"/>
              </w:rPr>
              <w:t xml:space="preserve">Услуга предоставляется клиенту после выполнения условий по п. 17.1.3.1</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135"/>
              <w:jc w:val="center"/>
              <w:spacing w:before="40" w:after="40"/>
              <w:rPr>
                <w:bCs/>
                <w:sz w:val="20"/>
                <w:szCs w:val="20"/>
              </w:rPr>
            </w:pPr>
            <w:r>
              <w:rPr>
                <w:bCs/>
                <w:sz w:val="20"/>
                <w:szCs w:val="20"/>
              </w:rPr>
              <w:t xml:space="preserve">17.1.3.</w:t>
            </w:r>
            <w:r>
              <w:rPr>
                <w:bCs/>
                <w:sz w:val="20"/>
                <w:szCs w:val="20"/>
                <w:lang w:val="en-US"/>
              </w:rPr>
              <w:t xml:space="preserve">2</w:t>
            </w:r>
            <w:r>
              <w:rPr>
                <w:bCs/>
                <w:sz w:val="20"/>
                <w:szCs w:val="20"/>
              </w:rPr>
              <w:t xml:space="preserve">.</w:t>
            </w:r>
            <w:r>
              <w:rPr>
                <w:bCs/>
                <w:sz w:val="20"/>
                <w:szCs w:val="20"/>
              </w:rPr>
            </w:r>
            <w:r>
              <w:rPr>
                <w:bCs/>
                <w:sz w:val="20"/>
                <w:szCs w:val="20"/>
              </w:rPr>
            </w:r>
          </w:p>
        </w:tc>
        <w:tc>
          <w:tcPr>
            <w:tcW w:w="1458" w:type="pct"/>
            <w:vAlign w:val="top"/>
            <w:textDirection w:val="lrTb"/>
            <w:noWrap w:val="false"/>
          </w:tcPr>
          <w:p>
            <w:pPr>
              <w:pStyle w:val="1135"/>
              <w:spacing w:before="40" w:after="40"/>
              <w:rPr>
                <w:bCs/>
                <w:sz w:val="20"/>
                <w:szCs w:val="20"/>
              </w:rPr>
            </w:pPr>
            <w:r>
              <w:rPr>
                <w:bCs/>
                <w:sz w:val="20"/>
                <w:szCs w:val="20"/>
              </w:rPr>
              <w:t xml:space="preserve">Аннулирование (отзыв) сертификата ключа проверки электронной подписи по запросу клиента </w:t>
            </w:r>
            <w:r>
              <w:rPr>
                <w:bCs/>
                <w:sz w:val="20"/>
                <w:szCs w:val="20"/>
              </w:rPr>
            </w:r>
            <w:r>
              <w:rPr>
                <w:bCs/>
                <w:sz w:val="20"/>
                <w:szCs w:val="20"/>
              </w:rPr>
            </w:r>
          </w:p>
        </w:tc>
        <w:tc>
          <w:tcPr>
            <w:tcW w:w="903" w:type="pct"/>
            <w:vAlign w:val="top"/>
            <w:textDirection w:val="lrTb"/>
            <w:noWrap w:val="false"/>
          </w:tcPr>
          <w:p>
            <w:pPr>
              <w:pStyle w:val="1135"/>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W w:w="2083" w:type="pct"/>
            <w:vAlign w:val="top"/>
            <w:textDirection w:val="lrTb"/>
            <w:noWrap w:val="false"/>
          </w:tcPr>
          <w:p>
            <w:pPr>
              <w:pStyle w:val="1135"/>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135"/>
              <w:jc w:val="center"/>
              <w:spacing w:before="40" w:after="40"/>
              <w:rPr>
                <w:bCs/>
                <w:sz w:val="20"/>
                <w:szCs w:val="20"/>
              </w:rPr>
            </w:pPr>
            <w:r>
              <w:rPr>
                <w:bCs/>
                <w:sz w:val="20"/>
                <w:szCs w:val="20"/>
              </w:rPr>
              <w:t xml:space="preserve">17.1.3.</w:t>
            </w:r>
            <w:r>
              <w:rPr>
                <w:bCs/>
                <w:sz w:val="20"/>
                <w:szCs w:val="20"/>
                <w:lang w:val="en-US"/>
              </w:rPr>
              <w:t xml:space="preserve">3</w:t>
            </w:r>
            <w:r>
              <w:rPr>
                <w:bCs/>
                <w:sz w:val="20"/>
                <w:szCs w:val="20"/>
              </w:rPr>
              <w:t xml:space="preserve">.</w:t>
            </w:r>
            <w:r>
              <w:rPr>
                <w:bCs/>
                <w:sz w:val="20"/>
                <w:szCs w:val="20"/>
              </w:rPr>
            </w:r>
            <w:r>
              <w:rPr>
                <w:bCs/>
                <w:sz w:val="20"/>
                <w:szCs w:val="20"/>
              </w:rPr>
            </w:r>
          </w:p>
        </w:tc>
        <w:tc>
          <w:tcPr>
            <w:tcW w:w="1458" w:type="pct"/>
            <w:vAlign w:val="top"/>
            <w:textDirection w:val="lrTb"/>
            <w:noWrap w:val="false"/>
          </w:tcPr>
          <w:p>
            <w:pPr>
              <w:pStyle w:val="1135"/>
              <w:spacing w:before="40" w:after="40"/>
              <w:rPr>
                <w:bCs/>
                <w:sz w:val="20"/>
                <w:szCs w:val="20"/>
              </w:rPr>
            </w:pPr>
            <w:r>
              <w:rPr>
                <w:bCs/>
                <w:sz w:val="20"/>
                <w:szCs w:val="20"/>
              </w:rPr>
              <w:t xml:space="preserve">Приостановление действия одного сертификата ключа проверки электронной подписи по запросу клиента </w:t>
            </w:r>
            <w:r>
              <w:rPr>
                <w:bCs/>
                <w:sz w:val="20"/>
                <w:szCs w:val="20"/>
              </w:rPr>
            </w:r>
            <w:r>
              <w:rPr>
                <w:bCs/>
                <w:sz w:val="20"/>
                <w:szCs w:val="20"/>
              </w:rPr>
            </w:r>
          </w:p>
        </w:tc>
        <w:tc>
          <w:tcPr>
            <w:tcW w:w="903" w:type="pct"/>
            <w:vAlign w:val="top"/>
            <w:textDirection w:val="lrTb"/>
            <w:noWrap w:val="false"/>
          </w:tcPr>
          <w:p>
            <w:pPr>
              <w:pStyle w:val="1135"/>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W w:w="2083" w:type="pct"/>
            <w:vAlign w:val="top"/>
            <w:textDirection w:val="lrTb"/>
            <w:noWrap w:val="false"/>
          </w:tcPr>
          <w:p>
            <w:pPr>
              <w:pStyle w:val="1135"/>
              <w:spacing w:before="40" w:after="40"/>
              <w:rPr>
                <w:bCs/>
                <w:sz w:val="20"/>
                <w:szCs w:val="20"/>
              </w:rPr>
            </w:pPr>
            <w:r>
              <w:rPr>
                <w:bCs/>
                <w:sz w:val="20"/>
                <w:szCs w:val="20"/>
              </w:rPr>
            </w:r>
            <w:r>
              <w:rPr>
                <w:bCs/>
                <w:sz w:val="20"/>
                <w:szCs w:val="20"/>
              </w:rPr>
            </w:r>
            <w:r>
              <w:rPr>
                <w:bCs/>
                <w:sz w:val="20"/>
                <w:szCs w:val="20"/>
              </w:rPr>
            </w:r>
          </w:p>
          <w:p>
            <w:pPr>
              <w:pStyle w:val="113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135"/>
              <w:spacing w:before="40" w:after="40"/>
              <w:rPr>
                <w:bCs/>
                <w:sz w:val="20"/>
                <w:szCs w:val="20"/>
              </w:rPr>
            </w:pPr>
            <w:r>
              <w:rPr>
                <w:bCs/>
                <w:sz w:val="20"/>
                <w:szCs w:val="20"/>
              </w:rPr>
              <w:t xml:space="preserve">17.1.3.</w:t>
            </w:r>
            <w:r>
              <w:rPr>
                <w:bCs/>
                <w:sz w:val="20"/>
                <w:szCs w:val="20"/>
                <w:lang w:val="en-US"/>
              </w:rPr>
              <w:t xml:space="preserve">4</w:t>
            </w:r>
            <w:r>
              <w:rPr>
                <w:bCs/>
                <w:sz w:val="20"/>
                <w:szCs w:val="20"/>
              </w:rPr>
              <w:t xml:space="preserve">.</w:t>
            </w:r>
            <w:r>
              <w:rPr>
                <w:bCs/>
                <w:sz w:val="20"/>
                <w:szCs w:val="20"/>
              </w:rPr>
            </w:r>
            <w:r>
              <w:rPr>
                <w:bCs/>
                <w:sz w:val="20"/>
                <w:szCs w:val="20"/>
              </w:rPr>
            </w:r>
          </w:p>
        </w:tc>
        <w:tc>
          <w:tcPr>
            <w:tcW w:w="1458" w:type="pct"/>
            <w:vAlign w:val="top"/>
            <w:textDirection w:val="lrTb"/>
            <w:noWrap w:val="false"/>
          </w:tcPr>
          <w:p>
            <w:pPr>
              <w:pStyle w:val="1135"/>
              <w:spacing w:before="40" w:after="40"/>
              <w:rPr>
                <w:bCs/>
                <w:sz w:val="20"/>
                <w:szCs w:val="20"/>
              </w:rPr>
            </w:pPr>
            <w:r>
              <w:rPr>
                <w:bCs/>
                <w:sz w:val="20"/>
                <w:szCs w:val="20"/>
              </w:rPr>
              <w:t xml:space="preserve">Возобновление действия одного сертификата ключа проверки электронной подписи по запросу клиента</w:t>
            </w:r>
            <w:r>
              <w:rPr>
                <w:bCs/>
                <w:sz w:val="20"/>
                <w:szCs w:val="20"/>
              </w:rPr>
            </w:r>
            <w:r>
              <w:rPr>
                <w:bCs/>
                <w:sz w:val="20"/>
                <w:szCs w:val="20"/>
              </w:rPr>
            </w:r>
          </w:p>
        </w:tc>
        <w:tc>
          <w:tcPr>
            <w:tcW w:w="903" w:type="pct"/>
            <w:vAlign w:val="top"/>
            <w:textDirection w:val="lrTb"/>
            <w:noWrap w:val="false"/>
          </w:tcPr>
          <w:p>
            <w:pPr>
              <w:pStyle w:val="1135"/>
              <w:jc w:val="center"/>
              <w:spacing w:before="40" w:after="40"/>
              <w:rPr>
                <w:bCs/>
                <w:sz w:val="20"/>
                <w:szCs w:val="20"/>
              </w:rPr>
            </w:pPr>
            <w:r>
              <w:rPr>
                <w:bCs/>
                <w:sz w:val="20"/>
                <w:szCs w:val="20"/>
              </w:rPr>
              <w:t xml:space="preserve">155 руб.</w:t>
            </w:r>
            <w:r>
              <w:rPr>
                <w:bCs/>
                <w:sz w:val="20"/>
                <w:szCs w:val="20"/>
              </w:rPr>
            </w:r>
            <w:r>
              <w:rPr>
                <w:bCs/>
                <w:sz w:val="20"/>
                <w:szCs w:val="20"/>
              </w:rPr>
            </w:r>
          </w:p>
        </w:tc>
        <w:tc>
          <w:tcPr>
            <w:tcW w:w="2083" w:type="pct"/>
            <w:vAlign w:val="top"/>
            <w:textDirection w:val="lrTb"/>
            <w:noWrap w:val="false"/>
          </w:tcPr>
          <w:p>
            <w:pPr>
              <w:pStyle w:val="1135"/>
              <w:spacing w:before="40" w:after="40"/>
              <w:rPr>
                <w:bCs/>
                <w:sz w:val="20"/>
                <w:szCs w:val="20"/>
              </w:rPr>
            </w:pPr>
            <w:r>
              <w:rPr>
                <w:bCs/>
                <w:sz w:val="20"/>
                <w:szCs w:val="20"/>
              </w:rPr>
              <w:t xml:space="preserve">Комиссия взимается в течение 3-х рабочих дней с момента возобновления субъекту информационного обмена сертификата ключа проверки электронной подписи. </w:t>
            </w:r>
            <w:r>
              <w:rPr>
                <w:bCs/>
                <w:sz w:val="20"/>
                <w:szCs w:val="20"/>
              </w:rPr>
            </w:r>
            <w:r>
              <w:rPr>
                <w:bCs/>
                <w:sz w:val="20"/>
                <w:szCs w:val="20"/>
              </w:rPr>
            </w:r>
          </w:p>
          <w:p>
            <w:pPr>
              <w:pStyle w:val="1135"/>
              <w:spacing w:before="40" w:after="40"/>
              <w:rPr>
                <w:bCs/>
                <w:sz w:val="20"/>
                <w:szCs w:val="20"/>
              </w:rPr>
            </w:pPr>
            <w:r>
              <w:rPr>
                <w:bCs/>
                <w:sz w:val="20"/>
                <w:szCs w:val="20"/>
              </w:rPr>
              <w:t xml:space="preserve">Тариф включает в себя НДС (дополнительно не взимается)</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135"/>
              <w:spacing w:before="40" w:after="40"/>
              <w:rPr>
                <w:bCs/>
                <w:sz w:val="20"/>
                <w:szCs w:val="20"/>
              </w:rPr>
            </w:pPr>
            <w:r>
              <w:rPr>
                <w:bCs/>
                <w:sz w:val="20"/>
                <w:szCs w:val="20"/>
              </w:rPr>
              <w:t xml:space="preserve">17.1.3</w:t>
            </w:r>
            <w:r>
              <w:rPr>
                <w:bCs/>
                <w:sz w:val="20"/>
                <w:szCs w:val="20"/>
                <w:lang w:val="en-US"/>
              </w:rPr>
              <w:t xml:space="preserve">.5</w:t>
            </w:r>
            <w:r>
              <w:rPr>
                <w:bCs/>
                <w:sz w:val="20"/>
                <w:szCs w:val="20"/>
              </w:rPr>
              <w:t xml:space="preserve">.</w:t>
            </w:r>
            <w:r>
              <w:rPr>
                <w:bCs/>
                <w:sz w:val="20"/>
                <w:szCs w:val="20"/>
              </w:rPr>
            </w:r>
            <w:r>
              <w:rPr>
                <w:bCs/>
                <w:sz w:val="20"/>
                <w:szCs w:val="20"/>
              </w:rPr>
            </w:r>
          </w:p>
        </w:tc>
        <w:tc>
          <w:tcPr>
            <w:tcW w:w="1458" w:type="pct"/>
            <w:vAlign w:val="top"/>
            <w:textDirection w:val="lrTb"/>
            <w:noWrap w:val="false"/>
          </w:tcPr>
          <w:p>
            <w:pPr>
              <w:pStyle w:val="1135"/>
              <w:spacing w:before="40" w:after="40"/>
              <w:rPr>
                <w:bCs/>
                <w:sz w:val="20"/>
                <w:szCs w:val="20"/>
              </w:rPr>
            </w:pPr>
            <w:r>
              <w:rPr>
                <w:bCs/>
                <w:sz w:val="20"/>
                <w:szCs w:val="20"/>
              </w:rPr>
              <w:t xml:space="preserve">Проверка подлинности электронной подписи</w:t>
            </w:r>
            <w:r>
              <w:rPr>
                <w:bCs/>
                <w:sz w:val="20"/>
                <w:szCs w:val="20"/>
              </w:rPr>
              <w:t xml:space="preserve"> </w:t>
            </w:r>
            <w:r>
              <w:rPr>
                <w:bCs/>
                <w:sz w:val="20"/>
                <w:szCs w:val="20"/>
              </w:rPr>
              <w:t xml:space="preserve">в одном электронном документе по запросу клиента</w:t>
            </w:r>
            <w:r>
              <w:rPr>
                <w:bCs/>
                <w:sz w:val="20"/>
                <w:szCs w:val="20"/>
              </w:rPr>
            </w:r>
            <w:r>
              <w:rPr>
                <w:bCs/>
                <w:sz w:val="20"/>
                <w:szCs w:val="20"/>
              </w:rPr>
            </w:r>
          </w:p>
        </w:tc>
        <w:tc>
          <w:tcPr>
            <w:tcW w:w="903" w:type="pct"/>
            <w:vAlign w:val="top"/>
            <w:textDirection w:val="lrTb"/>
            <w:noWrap w:val="false"/>
          </w:tcPr>
          <w:p>
            <w:pPr>
              <w:pStyle w:val="1135"/>
              <w:jc w:val="center"/>
              <w:spacing w:before="40" w:after="40"/>
              <w:rPr>
                <w:bCs/>
                <w:sz w:val="20"/>
                <w:szCs w:val="20"/>
              </w:rPr>
            </w:pPr>
            <w:r>
              <w:rPr>
                <w:bCs/>
                <w:sz w:val="20"/>
                <w:szCs w:val="20"/>
              </w:rPr>
              <w:t xml:space="preserve">1 530 руб.</w:t>
            </w:r>
            <w:r>
              <w:rPr>
                <w:bCs/>
                <w:sz w:val="20"/>
                <w:szCs w:val="20"/>
              </w:rPr>
            </w:r>
            <w:r>
              <w:rPr>
                <w:bCs/>
                <w:sz w:val="20"/>
                <w:szCs w:val="20"/>
              </w:rPr>
            </w:r>
          </w:p>
        </w:tc>
        <w:tc>
          <w:tcPr>
            <w:tcW w:w="2083" w:type="pct"/>
            <w:vAlign w:val="top"/>
            <w:textDirection w:val="lrTb"/>
            <w:noWrap w:val="false"/>
          </w:tcPr>
          <w:p>
            <w:pPr>
              <w:pStyle w:val="1135"/>
              <w:spacing w:before="40" w:after="40"/>
              <w:rPr>
                <w:bCs/>
                <w:sz w:val="20"/>
                <w:szCs w:val="20"/>
              </w:rPr>
            </w:pPr>
            <w:r>
              <w:rPr>
                <w:bCs/>
                <w:sz w:val="20"/>
                <w:szCs w:val="20"/>
              </w:rPr>
              <w:t xml:space="preserve">Комиссия взимается в течение 3-х рабочих дней от даты заключения Удостоверяющего центра </w:t>
              <w:br w:type="textWrapping" w:clear="all"/>
              <w:t xml:space="preserve">АО «Россельхозбанк».</w:t>
            </w:r>
            <w:r>
              <w:rPr>
                <w:bCs/>
                <w:sz w:val="20"/>
                <w:szCs w:val="20"/>
              </w:rPr>
            </w:r>
            <w:r>
              <w:rPr>
                <w:bCs/>
                <w:sz w:val="20"/>
                <w:szCs w:val="20"/>
              </w:rPr>
            </w:r>
          </w:p>
          <w:p>
            <w:pPr>
              <w:pStyle w:val="1135"/>
              <w:spacing w:before="40" w:after="40"/>
              <w:rPr>
                <w:bCs/>
                <w:sz w:val="20"/>
                <w:szCs w:val="20"/>
              </w:rPr>
            </w:pPr>
            <w:r>
              <w:rPr>
                <w:bCs/>
                <w:sz w:val="20"/>
                <w:szCs w:val="20"/>
              </w:rPr>
              <w:t xml:space="preserve">Тариф включает в себя НДС (дополнительно не взимается)</w:t>
            </w:r>
            <w:r>
              <w:rPr>
                <w:bCs/>
                <w:sz w:val="20"/>
                <w:szCs w:val="20"/>
              </w:rPr>
            </w:r>
            <w:r>
              <w:rPr>
                <w:bCs/>
                <w:sz w:val="20"/>
                <w:szCs w:val="20"/>
              </w:rPr>
            </w:r>
          </w:p>
        </w:tc>
      </w:tr>
      <w:tr>
        <w:tblPrEx/>
        <w:trPr/>
        <w:tc>
          <w:tcPr>
            <w:tcBorders>
              <w:top w:val="single" w:color="000000" w:sz="4" w:space="0"/>
              <w:left w:val="single" w:color="000000" w:sz="4" w:space="0"/>
              <w:bottom w:val="single" w:color="000000" w:sz="4" w:space="0"/>
              <w:right w:val="single" w:color="000000" w:sz="4" w:space="0"/>
            </w:tcBorders>
            <w:tcW w:w="556" w:type="pct"/>
            <w:vAlign w:val="top"/>
            <w:textDirection w:val="lrTb"/>
            <w:noWrap w:val="false"/>
          </w:tcPr>
          <w:p>
            <w:pPr>
              <w:pStyle w:val="1135"/>
              <w:spacing w:before="40" w:after="40"/>
              <w:rPr>
                <w:bCs/>
                <w:sz w:val="20"/>
                <w:szCs w:val="20"/>
              </w:rPr>
            </w:pPr>
            <w:r>
              <w:rPr>
                <w:bCs/>
                <w:sz w:val="20"/>
                <w:szCs w:val="20"/>
              </w:rPr>
              <w:t xml:space="preserve">17.1.4.</w:t>
            </w:r>
            <w:r>
              <w:rPr>
                <w:bCs/>
                <w:sz w:val="20"/>
                <w:szCs w:val="20"/>
              </w:rPr>
            </w:r>
            <w:r>
              <w:rPr>
                <w:bCs/>
                <w:sz w:val="20"/>
                <w:szCs w:val="20"/>
              </w:rPr>
            </w:r>
          </w:p>
        </w:tc>
        <w:tc>
          <w:tcPr>
            <w:gridSpan w:val="3"/>
            <w:tcBorders>
              <w:top w:val="single" w:color="000000" w:sz="4" w:space="0"/>
              <w:left w:val="single" w:color="000000" w:sz="4" w:space="0"/>
              <w:bottom w:val="single" w:color="000000" w:sz="4" w:space="0"/>
              <w:right w:val="single" w:color="000000" w:sz="4" w:space="0"/>
            </w:tcBorders>
            <w:tcW w:w="4444" w:type="pct"/>
            <w:vAlign w:val="top"/>
            <w:textDirection w:val="lrTb"/>
            <w:noWrap w:val="false"/>
          </w:tcPr>
          <w:p>
            <w:pPr>
              <w:pStyle w:val="1135"/>
              <w:spacing w:before="40" w:after="40"/>
              <w:rPr>
                <w:bCs/>
                <w:sz w:val="20"/>
                <w:szCs w:val="20"/>
              </w:rPr>
            </w:pPr>
            <w:r>
              <w:rPr>
                <w:bCs/>
                <w:sz w:val="20"/>
                <w:szCs w:val="20"/>
              </w:rPr>
              <w:t xml:space="preserve">Плановая смена комплекта ключей ‘электронной подписи (ЭП) и соответствующего им сертификата ключа проверки электронной подписи по запросу клиента</w:t>
            </w:r>
            <w:r>
              <w:rPr>
                <w:bCs/>
                <w:sz w:val="20"/>
                <w:szCs w:val="20"/>
              </w:rPr>
            </w:r>
            <w:r>
              <w:rPr>
                <w:bCs/>
                <w:sz w:val="20"/>
                <w:szCs w:val="20"/>
              </w:rPr>
            </w:r>
          </w:p>
        </w:tc>
      </w:tr>
      <w:tr>
        <w:tblPrEx/>
        <w:trPr/>
        <w:tc>
          <w:tcPr>
            <w:tcBorders>
              <w:top w:val="single" w:color="000000" w:sz="4" w:space="0"/>
              <w:left w:val="single" w:color="000000" w:sz="4" w:space="0"/>
              <w:bottom w:val="single" w:color="000000" w:sz="4" w:space="0"/>
              <w:right w:val="single" w:color="000000" w:sz="4" w:space="0"/>
            </w:tcBorders>
            <w:tcW w:w="556" w:type="pct"/>
            <w:vAlign w:val="top"/>
            <w:textDirection w:val="lrTb"/>
            <w:noWrap w:val="false"/>
          </w:tcPr>
          <w:p>
            <w:pPr>
              <w:pStyle w:val="1135"/>
              <w:spacing w:before="40" w:after="40"/>
              <w:rPr>
                <w:bCs/>
                <w:sz w:val="20"/>
                <w:szCs w:val="20"/>
              </w:rPr>
            </w:pPr>
            <w:r>
              <w:rPr>
                <w:bCs/>
                <w:sz w:val="20"/>
                <w:szCs w:val="20"/>
              </w:rPr>
              <w:t xml:space="preserve">17.1.4.1.</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458" w:type="pct"/>
            <w:vAlign w:val="top"/>
            <w:textDirection w:val="lrTb"/>
            <w:noWrap w:val="false"/>
          </w:tcPr>
          <w:p>
            <w:pPr>
              <w:pStyle w:val="1135"/>
              <w:spacing w:before="40" w:after="40"/>
              <w:rPr>
                <w:bCs/>
                <w:sz w:val="20"/>
                <w:szCs w:val="20"/>
              </w:rPr>
            </w:pPr>
            <w:r>
              <w:rPr>
                <w:bCs/>
                <w:sz w:val="20"/>
                <w:szCs w:val="20"/>
              </w:rPr>
              <w:t xml:space="preserve">Формирование сертификата ключа проверки электронной подписи </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903" w:type="pct"/>
            <w:vAlign w:val="top"/>
            <w:textDirection w:val="lrTb"/>
            <w:noWrap w:val="false"/>
          </w:tcPr>
          <w:p>
            <w:pPr>
              <w:pStyle w:val="1135"/>
              <w:jc w:val="center"/>
              <w:spacing w:before="40" w:after="40"/>
              <w:tabs>
                <w:tab w:val="left" w:pos="1221" w:leader="none"/>
              </w:tabs>
              <w:rPr>
                <w:bCs/>
                <w:sz w:val="20"/>
                <w:szCs w:val="20"/>
                <w:lang w:val="en-US"/>
              </w:rPr>
            </w:pPr>
            <w:r>
              <w:rPr>
                <w:bCs/>
                <w:sz w:val="20"/>
                <w:szCs w:val="20"/>
              </w:rPr>
              <w:t xml:space="preserve">Не взимается</w:t>
            </w:r>
            <w:r>
              <w:rPr>
                <w:bCs/>
                <w:sz w:val="20"/>
                <w:szCs w:val="20"/>
                <w:lang w:val="en-US"/>
              </w:rPr>
            </w:r>
            <w:r>
              <w:rPr>
                <w:bCs/>
                <w:sz w:val="20"/>
                <w:szCs w:val="20"/>
                <w:lang w:val="en-US"/>
              </w:rPr>
            </w:r>
          </w:p>
        </w:tc>
        <w:tc>
          <w:tcPr>
            <w:tcBorders>
              <w:top w:val="single" w:color="000000" w:sz="4" w:space="0"/>
              <w:left w:val="single" w:color="000000" w:sz="4" w:space="0"/>
              <w:bottom w:val="single" w:color="000000" w:sz="4" w:space="0"/>
              <w:right w:val="single" w:color="000000" w:sz="4" w:space="0"/>
            </w:tcBorders>
            <w:tcW w:w="2083" w:type="pct"/>
            <w:vAlign w:val="top"/>
            <w:textDirection w:val="lrTb"/>
            <w:noWrap w:val="false"/>
          </w:tcPr>
          <w:p>
            <w:pPr>
              <w:pStyle w:val="1135"/>
              <w:spacing w:before="40" w:after="40"/>
              <w:rPr>
                <w:bCs/>
                <w:sz w:val="20"/>
                <w:szCs w:val="20"/>
              </w:rPr>
            </w:pPr>
            <w:r>
              <w:rPr>
                <w:bCs/>
                <w:sz w:val="20"/>
                <w:szCs w:val="20"/>
              </w:rPr>
            </w:r>
            <w:r>
              <w:rPr>
                <w:bCs/>
                <w:sz w:val="20"/>
                <w:szCs w:val="20"/>
              </w:rPr>
            </w:r>
            <w:r>
              <w:rPr>
                <w:bCs/>
                <w:sz w:val="20"/>
                <w:szCs w:val="20"/>
              </w:rPr>
            </w:r>
          </w:p>
        </w:tc>
      </w:tr>
      <w:tr>
        <w:tblPrEx/>
        <w:trPr/>
        <w:tc>
          <w:tcPr>
            <w:tcBorders>
              <w:top w:val="single" w:color="000000" w:sz="4" w:space="0"/>
              <w:left w:val="single" w:color="000000" w:sz="4" w:space="0"/>
              <w:bottom w:val="single" w:color="000000" w:sz="4" w:space="0"/>
              <w:right w:val="single" w:color="000000" w:sz="4" w:space="0"/>
            </w:tcBorders>
            <w:tcW w:w="556" w:type="pct"/>
            <w:vAlign w:val="top"/>
            <w:textDirection w:val="lrTb"/>
            <w:noWrap w:val="false"/>
          </w:tcPr>
          <w:p>
            <w:pPr>
              <w:pStyle w:val="1135"/>
              <w:spacing w:before="40" w:after="40"/>
              <w:rPr>
                <w:bCs/>
                <w:sz w:val="20"/>
                <w:szCs w:val="20"/>
              </w:rPr>
            </w:pPr>
            <w:r>
              <w:rPr>
                <w:bCs/>
                <w:sz w:val="20"/>
                <w:szCs w:val="20"/>
              </w:rPr>
              <w:t xml:space="preserve">17.1.5.</w:t>
            </w:r>
            <w:r>
              <w:rPr>
                <w:bCs/>
                <w:sz w:val="20"/>
                <w:szCs w:val="20"/>
              </w:rPr>
            </w:r>
            <w:r>
              <w:rPr>
                <w:bCs/>
                <w:sz w:val="20"/>
                <w:szCs w:val="20"/>
              </w:rPr>
            </w:r>
          </w:p>
        </w:tc>
        <w:tc>
          <w:tcPr>
            <w:gridSpan w:val="3"/>
            <w:tcBorders>
              <w:top w:val="single" w:color="000000" w:sz="4" w:space="0"/>
              <w:left w:val="single" w:color="000000" w:sz="4" w:space="0"/>
              <w:bottom w:val="single" w:color="000000" w:sz="4" w:space="0"/>
              <w:right w:val="single" w:color="000000" w:sz="4" w:space="0"/>
            </w:tcBorders>
            <w:tcW w:w="4444" w:type="pct"/>
            <w:vAlign w:val="top"/>
            <w:textDirection w:val="lrTb"/>
            <w:noWrap w:val="false"/>
          </w:tcPr>
          <w:p>
            <w:pPr>
              <w:pStyle w:val="1135"/>
              <w:spacing w:before="40" w:after="40"/>
              <w:rPr>
                <w:bCs/>
                <w:sz w:val="20"/>
                <w:szCs w:val="20"/>
              </w:rPr>
            </w:pPr>
            <w:r>
              <w:rPr>
                <w:bCs/>
                <w:sz w:val="20"/>
                <w:szCs w:val="20"/>
              </w:rPr>
              <w:t xml:space="preserve">Внеплановая смена комплекта ключей электронной подписи (ЭП) и соответствующего им сертификата ключа проверки электронной подписи по запросу клиента</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135"/>
              <w:spacing w:before="40" w:after="40"/>
              <w:rPr>
                <w:bCs/>
                <w:sz w:val="20"/>
                <w:szCs w:val="20"/>
              </w:rPr>
            </w:pPr>
            <w:r>
              <w:rPr>
                <w:bCs/>
                <w:sz w:val="20"/>
                <w:szCs w:val="20"/>
              </w:rPr>
              <w:t xml:space="preserve">17.1.5.1.</w:t>
            </w:r>
            <w:r>
              <w:rPr>
                <w:bCs/>
                <w:sz w:val="20"/>
                <w:szCs w:val="20"/>
              </w:rPr>
            </w:r>
            <w:r>
              <w:rPr>
                <w:bCs/>
                <w:sz w:val="20"/>
                <w:szCs w:val="20"/>
              </w:rPr>
            </w:r>
          </w:p>
        </w:tc>
        <w:tc>
          <w:tcPr>
            <w:tcW w:w="1458" w:type="pct"/>
            <w:vAlign w:val="top"/>
            <w:textDirection w:val="lrTb"/>
            <w:noWrap w:val="false"/>
          </w:tcPr>
          <w:p>
            <w:pPr>
              <w:pStyle w:val="1135"/>
              <w:jc w:val="both"/>
              <w:spacing w:before="40" w:after="40"/>
              <w:rPr>
                <w:bCs/>
                <w:sz w:val="20"/>
                <w:szCs w:val="20"/>
              </w:rPr>
            </w:pPr>
            <w:r>
              <w:rPr>
                <w:bCs/>
                <w:sz w:val="20"/>
                <w:szCs w:val="20"/>
              </w:rPr>
              <w:t xml:space="preserve">Формирование </w:t>
            </w:r>
            <w:r>
              <w:rPr>
                <w:sz w:val="20"/>
                <w:szCs w:val="20"/>
                <w:lang w:val="en-US"/>
              </w:rPr>
              <w:t xml:space="preserve">HTML</w:t>
            </w:r>
            <w:r>
              <w:rPr>
                <w:sz w:val="20"/>
                <w:szCs w:val="20"/>
              </w:rPr>
              <w:t xml:space="preserve">-формы </w:t>
            </w:r>
            <w:r>
              <w:rPr>
                <w:bCs/>
                <w:sz w:val="20"/>
                <w:szCs w:val="20"/>
              </w:rPr>
              <w:t xml:space="preserve">в связи с утратой функционального ключевого носителя или его технических повреждений</w:t>
            </w:r>
            <w:r>
              <w:rPr>
                <w:bCs/>
                <w:sz w:val="20"/>
                <w:szCs w:val="20"/>
              </w:rPr>
            </w:r>
            <w:r>
              <w:rPr>
                <w:bCs/>
                <w:sz w:val="20"/>
                <w:szCs w:val="20"/>
              </w:rPr>
            </w:r>
          </w:p>
        </w:tc>
        <w:tc>
          <w:tcPr>
            <w:tcW w:w="903" w:type="pct"/>
            <w:vAlign w:val="top"/>
            <w:textDirection w:val="lrTb"/>
            <w:noWrap w:val="false"/>
          </w:tcPr>
          <w:p>
            <w:pPr>
              <w:pStyle w:val="1135"/>
              <w:jc w:val="center"/>
              <w:spacing w:before="40" w:after="40"/>
              <w:tabs>
                <w:tab w:val="left" w:pos="981" w:leader="none"/>
                <w:tab w:val="left" w:pos="1131" w:leader="none"/>
              </w:tabs>
              <w:rPr>
                <w:bCs/>
                <w:sz w:val="20"/>
                <w:szCs w:val="20"/>
              </w:rPr>
            </w:pPr>
            <w:r>
              <w:rPr>
                <w:sz w:val="20"/>
                <w:szCs w:val="20"/>
              </w:rPr>
              <w:t xml:space="preserve">1 730 руб.</w:t>
            </w:r>
            <w:r>
              <w:rPr>
                <w:bCs/>
                <w:sz w:val="20"/>
                <w:szCs w:val="20"/>
              </w:rPr>
            </w:r>
            <w:r>
              <w:rPr>
                <w:bCs/>
                <w:sz w:val="20"/>
                <w:szCs w:val="20"/>
              </w:rPr>
            </w:r>
          </w:p>
        </w:tc>
        <w:tc>
          <w:tcPr>
            <w:tcW w:w="2083" w:type="pct"/>
            <w:vAlign w:val="top"/>
            <w:textDirection w:val="lrTb"/>
            <w:noWrap w:val="false"/>
          </w:tcPr>
          <w:p>
            <w:pPr>
              <w:pStyle w:val="1135"/>
              <w:spacing w:before="40"/>
              <w:rPr>
                <w:bCs/>
                <w:sz w:val="20"/>
                <w:szCs w:val="20"/>
              </w:rPr>
            </w:pPr>
            <w:r>
              <w:rPr>
                <w:bCs/>
                <w:sz w:val="20"/>
                <w:szCs w:val="20"/>
              </w:rPr>
              <w:t xml:space="preserve">Комиссия взимается не позднее рабочего дня, следующего за днем подачи клиентом запроса на аннулирование/отзыв/приостановление сертификата ключа проверки электронной подписи.</w:t>
            </w:r>
            <w:r>
              <w:rPr>
                <w:bCs/>
                <w:sz w:val="20"/>
                <w:szCs w:val="20"/>
              </w:rPr>
            </w:r>
            <w:r>
              <w:rPr>
                <w:bCs/>
                <w:sz w:val="20"/>
                <w:szCs w:val="20"/>
              </w:rPr>
            </w:r>
          </w:p>
          <w:p>
            <w:pPr>
              <w:pStyle w:val="1135"/>
              <w:spacing w:before="40" w:after="40"/>
              <w:rPr>
                <w:bCs/>
                <w:sz w:val="20"/>
                <w:szCs w:val="20"/>
              </w:rPr>
            </w:pPr>
            <w:r>
              <w:rPr>
                <w:bCs/>
                <w:sz w:val="20"/>
                <w:szCs w:val="20"/>
              </w:rPr>
              <w:t xml:space="preserve">Тариф включает в себя НДС (дополнительно не взимается)</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135"/>
              <w:spacing w:before="40" w:after="40"/>
              <w:rPr>
                <w:bCs/>
                <w:spacing w:val="-20"/>
                <w:sz w:val="20"/>
                <w:szCs w:val="20"/>
              </w:rPr>
            </w:pPr>
            <w:r>
              <w:rPr>
                <w:bCs/>
                <w:spacing w:val="-20"/>
                <w:sz w:val="20"/>
                <w:szCs w:val="20"/>
              </w:rPr>
              <w:t xml:space="preserve">17.1.5.1.1.</w:t>
            </w:r>
            <w:r>
              <w:rPr>
                <w:bCs/>
                <w:spacing w:val="-20"/>
                <w:sz w:val="20"/>
                <w:szCs w:val="20"/>
              </w:rPr>
            </w:r>
            <w:r>
              <w:rPr>
                <w:bCs/>
                <w:spacing w:val="-20"/>
                <w:sz w:val="20"/>
                <w:szCs w:val="20"/>
              </w:rPr>
            </w:r>
          </w:p>
        </w:tc>
        <w:tc>
          <w:tcPr>
            <w:tcW w:w="1458" w:type="pct"/>
            <w:vAlign w:val="top"/>
            <w:textDirection w:val="lrTb"/>
            <w:noWrap w:val="false"/>
          </w:tcPr>
          <w:p>
            <w:pPr>
              <w:pStyle w:val="1135"/>
              <w:spacing w:before="40" w:after="40"/>
              <w:rPr>
                <w:bCs/>
                <w:sz w:val="20"/>
                <w:szCs w:val="20"/>
              </w:rPr>
            </w:pPr>
            <w:r>
              <w:rPr>
                <w:bCs/>
                <w:sz w:val="20"/>
                <w:szCs w:val="20"/>
              </w:rPr>
              <w:t xml:space="preserve">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r>
              <w:rPr>
                <w:bCs/>
                <w:sz w:val="20"/>
                <w:szCs w:val="20"/>
              </w:rPr>
            </w:r>
            <w:r>
              <w:rPr>
                <w:bCs/>
                <w:sz w:val="20"/>
                <w:szCs w:val="20"/>
              </w:rPr>
            </w:r>
          </w:p>
        </w:tc>
        <w:tc>
          <w:tcPr>
            <w:tcW w:w="903" w:type="pct"/>
            <w:vAlign w:val="top"/>
            <w:textDirection w:val="lrTb"/>
            <w:noWrap w:val="false"/>
          </w:tcPr>
          <w:p>
            <w:pPr>
              <w:pStyle w:val="1135"/>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W w:w="2083" w:type="pct"/>
            <w:vAlign w:val="top"/>
            <w:textDirection w:val="lrTb"/>
            <w:noWrap w:val="false"/>
          </w:tcPr>
          <w:p>
            <w:pPr>
              <w:pStyle w:val="1135"/>
              <w:spacing w:before="40"/>
              <w:rPr>
                <w:bCs/>
                <w:sz w:val="20"/>
                <w:szCs w:val="20"/>
              </w:rPr>
            </w:pPr>
            <w:r>
              <w:rPr>
                <w:bCs/>
                <w:sz w:val="20"/>
                <w:szCs w:val="20"/>
              </w:rPr>
              <w:t xml:space="preserve">Услуга предоставляется после выполнения условий по п. 17.1.5.1</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135"/>
              <w:spacing w:before="40" w:after="40"/>
              <w:rPr>
                <w:bCs/>
                <w:sz w:val="20"/>
                <w:szCs w:val="20"/>
              </w:rPr>
            </w:pPr>
            <w:r>
              <w:rPr>
                <w:bCs/>
                <w:sz w:val="20"/>
                <w:szCs w:val="20"/>
              </w:rPr>
              <w:t xml:space="preserve">17.1.5.2.</w:t>
            </w:r>
            <w:r>
              <w:rPr>
                <w:bCs/>
                <w:sz w:val="20"/>
                <w:szCs w:val="20"/>
              </w:rPr>
            </w:r>
            <w:r>
              <w:rPr>
                <w:bCs/>
                <w:sz w:val="20"/>
                <w:szCs w:val="20"/>
              </w:rPr>
            </w:r>
          </w:p>
        </w:tc>
        <w:tc>
          <w:tcPr>
            <w:tcW w:w="1458" w:type="pct"/>
            <w:vAlign w:val="top"/>
            <w:textDirection w:val="lrTb"/>
            <w:noWrap w:val="false"/>
          </w:tcPr>
          <w:p>
            <w:pPr>
              <w:pStyle w:val="1135"/>
              <w:spacing w:before="40" w:after="40"/>
              <w:rPr>
                <w:bCs/>
                <w:sz w:val="20"/>
                <w:szCs w:val="20"/>
              </w:rPr>
            </w:pPr>
            <w:r>
              <w:rPr>
                <w:bCs/>
                <w:sz w:val="20"/>
                <w:szCs w:val="20"/>
              </w:rPr>
              <w:t xml:space="preserve">Формирование </w:t>
            </w:r>
            <w:r>
              <w:rPr>
                <w:sz w:val="20"/>
                <w:szCs w:val="20"/>
                <w:lang w:val="en-US"/>
              </w:rPr>
              <w:t xml:space="preserve">HTML</w:t>
            </w:r>
            <w:r>
              <w:rPr>
                <w:sz w:val="20"/>
                <w:szCs w:val="20"/>
              </w:rPr>
              <w:t xml:space="preserve">-формы </w:t>
            </w:r>
            <w:r>
              <w:rPr>
                <w:bCs/>
                <w:sz w:val="20"/>
                <w:szCs w:val="20"/>
              </w:rPr>
              <w:t xml:space="preserve">в связи с компрометацией ключа  электронной подписи на новом функциональном ключевом носителе</w:t>
            </w:r>
            <w:r>
              <w:rPr>
                <w:bCs/>
                <w:sz w:val="20"/>
                <w:szCs w:val="20"/>
              </w:rPr>
            </w:r>
            <w:r>
              <w:rPr>
                <w:bCs/>
                <w:sz w:val="20"/>
                <w:szCs w:val="20"/>
              </w:rPr>
            </w:r>
          </w:p>
        </w:tc>
        <w:tc>
          <w:tcPr>
            <w:tcW w:w="903" w:type="pct"/>
            <w:vAlign w:val="top"/>
            <w:textDirection w:val="lrTb"/>
            <w:noWrap w:val="false"/>
          </w:tcPr>
          <w:p>
            <w:pPr>
              <w:pStyle w:val="1135"/>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W w:w="2083" w:type="pct"/>
            <w:vAlign w:val="top"/>
            <w:textDirection w:val="lrTb"/>
            <w:noWrap w:val="false"/>
          </w:tcPr>
          <w:p>
            <w:pPr>
              <w:pStyle w:val="1135"/>
              <w:spacing w:before="40"/>
              <w:rPr>
                <w:bCs/>
                <w:sz w:val="20"/>
                <w:szCs w:val="20"/>
              </w:rPr>
            </w:pPr>
            <w:r>
              <w:rPr>
                <w:bCs/>
                <w:sz w:val="20"/>
                <w:szCs w:val="20"/>
              </w:rPr>
              <w:t xml:space="preserve">Тариф применяется в случае возврата клиентом функционального ключевого носителя, ранее выданного Банком.</w:t>
            </w:r>
            <w:r>
              <w:rPr>
                <w:bCs/>
                <w:sz w:val="20"/>
                <w:szCs w:val="20"/>
              </w:rPr>
            </w:r>
            <w:r>
              <w:rPr>
                <w:bCs/>
                <w:sz w:val="20"/>
                <w:szCs w:val="20"/>
              </w:rPr>
            </w:r>
          </w:p>
          <w:p>
            <w:pPr>
              <w:pStyle w:val="1135"/>
              <w:spacing w:before="40"/>
              <w:rPr>
                <w:bCs/>
                <w:sz w:val="20"/>
                <w:szCs w:val="20"/>
              </w:rPr>
            </w:pPr>
            <w:r>
              <w:rPr>
                <w:bCs/>
                <w:sz w:val="20"/>
                <w:szCs w:val="20"/>
              </w:rPr>
              <w:t xml:space="preserve">В случае непредставления клиентом функционального ключевого носителя, ранее выданного Банком, с клиента взимается комиссия в соответствии с п. 17.1.5.1 в день получения клиентом от Банка нового функционального ключевого носителя</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135"/>
              <w:spacing w:before="40" w:after="40"/>
              <w:rPr>
                <w:bCs/>
                <w:spacing w:val="-20"/>
                <w:sz w:val="20"/>
                <w:szCs w:val="20"/>
              </w:rPr>
            </w:pPr>
            <w:r>
              <w:rPr>
                <w:bCs/>
                <w:spacing w:val="-20"/>
                <w:sz w:val="20"/>
                <w:szCs w:val="20"/>
              </w:rPr>
              <w:t xml:space="preserve">17.1.5.2.1.</w:t>
            </w:r>
            <w:r>
              <w:rPr>
                <w:bCs/>
                <w:spacing w:val="-20"/>
                <w:sz w:val="20"/>
                <w:szCs w:val="20"/>
              </w:rPr>
            </w:r>
            <w:r>
              <w:rPr>
                <w:bCs/>
                <w:spacing w:val="-20"/>
                <w:sz w:val="20"/>
                <w:szCs w:val="20"/>
              </w:rPr>
            </w:r>
          </w:p>
        </w:tc>
        <w:tc>
          <w:tcPr>
            <w:tcW w:w="1458" w:type="pct"/>
            <w:vAlign w:val="top"/>
            <w:textDirection w:val="lrTb"/>
            <w:noWrap w:val="false"/>
          </w:tcPr>
          <w:p>
            <w:pPr>
              <w:pStyle w:val="1135"/>
              <w:spacing w:before="40" w:after="40"/>
              <w:rPr>
                <w:bCs/>
                <w:sz w:val="20"/>
                <w:szCs w:val="20"/>
              </w:rPr>
            </w:pPr>
            <w:r>
              <w:rPr>
                <w:bCs/>
                <w:sz w:val="20"/>
                <w:szCs w:val="20"/>
              </w:rPr>
              <w:t xml:space="preserve">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r>
              <w:rPr>
                <w:bCs/>
                <w:sz w:val="20"/>
                <w:szCs w:val="20"/>
              </w:rPr>
            </w:r>
            <w:r>
              <w:rPr>
                <w:bCs/>
                <w:sz w:val="20"/>
                <w:szCs w:val="20"/>
              </w:rPr>
            </w:r>
          </w:p>
        </w:tc>
        <w:tc>
          <w:tcPr>
            <w:tcW w:w="903" w:type="pct"/>
            <w:vAlign w:val="top"/>
            <w:textDirection w:val="lrTb"/>
            <w:noWrap w:val="false"/>
          </w:tcPr>
          <w:p>
            <w:pPr>
              <w:pStyle w:val="1135"/>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W w:w="2083" w:type="pct"/>
            <w:vAlign w:val="top"/>
            <w:textDirection w:val="lrTb"/>
            <w:noWrap w:val="false"/>
          </w:tcPr>
          <w:p>
            <w:pPr>
              <w:pStyle w:val="1135"/>
              <w:jc w:val="both"/>
              <w:spacing w:before="40" w:after="40"/>
              <w:rPr>
                <w:bCs/>
                <w:sz w:val="20"/>
                <w:szCs w:val="20"/>
              </w:rPr>
            </w:pPr>
            <w:r>
              <w:rPr>
                <w:bCs/>
                <w:sz w:val="20"/>
                <w:szCs w:val="20"/>
              </w:rPr>
              <w:t xml:space="preserve">Услуга предоставляется после выполнения условий по п. 17.1.5.2</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135"/>
              <w:spacing w:before="40" w:after="40"/>
              <w:rPr>
                <w:bCs/>
                <w:spacing w:val="-20"/>
                <w:sz w:val="20"/>
                <w:szCs w:val="20"/>
              </w:rPr>
            </w:pPr>
            <w:r>
              <w:rPr>
                <w:bCs/>
                <w:spacing w:val="-20"/>
                <w:sz w:val="20"/>
                <w:szCs w:val="20"/>
              </w:rPr>
              <w:t xml:space="preserve">17.2.</w:t>
            </w:r>
            <w:r>
              <w:rPr>
                <w:bCs/>
                <w:spacing w:val="-20"/>
                <w:sz w:val="20"/>
                <w:szCs w:val="20"/>
              </w:rPr>
            </w:r>
            <w:r>
              <w:rPr>
                <w:bCs/>
                <w:spacing w:val="-20"/>
                <w:sz w:val="20"/>
                <w:szCs w:val="20"/>
              </w:rPr>
            </w:r>
          </w:p>
        </w:tc>
        <w:tc>
          <w:tcPr>
            <w:gridSpan w:val="3"/>
            <w:tcW w:w="4444" w:type="pct"/>
            <w:vAlign w:val="top"/>
            <w:textDirection w:val="lrTb"/>
            <w:noWrap w:val="false"/>
          </w:tcPr>
          <w:p>
            <w:pPr>
              <w:pStyle w:val="1135"/>
              <w:jc w:val="both"/>
              <w:spacing w:before="40" w:after="40"/>
              <w:rPr>
                <w:bCs/>
                <w:sz w:val="20"/>
                <w:szCs w:val="20"/>
              </w:rPr>
            </w:pPr>
            <w:r>
              <w:rPr>
                <w:bCs/>
                <w:sz w:val="20"/>
                <w:szCs w:val="20"/>
              </w:rPr>
              <w:t xml:space="preserve">Обслуживание с использованием Торговой системы РСХБ-Дилинг 2.0</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35"/>
              <w:spacing w:before="40"/>
              <w:rPr>
                <w:bCs/>
                <w:sz w:val="20"/>
                <w:szCs w:val="20"/>
              </w:rPr>
            </w:pPr>
            <w:r>
              <w:rPr>
                <w:bCs/>
                <w:sz w:val="20"/>
                <w:szCs w:val="20"/>
              </w:rPr>
              <w:t xml:space="preserve">17.2.1 </w:t>
            </w:r>
            <w:r>
              <w:rPr>
                <w:bCs/>
                <w:sz w:val="20"/>
                <w:szCs w:val="20"/>
              </w:rPr>
            </w:r>
            <w:r>
              <w:rPr>
                <w:bCs/>
                <w:sz w:val="20"/>
                <w:szCs w:val="20"/>
              </w:rPr>
            </w:r>
          </w:p>
        </w:tc>
        <w:tc>
          <w:tcPr>
            <w:tcW w:w="1458" w:type="pct"/>
            <w:vAlign w:val="top"/>
            <w:textDirection w:val="lrTb"/>
            <w:noWrap w:val="false"/>
          </w:tcPr>
          <w:p>
            <w:pPr>
              <w:pStyle w:val="1135"/>
              <w:spacing w:before="40"/>
              <w:rPr>
                <w:bCs/>
                <w:sz w:val="20"/>
                <w:szCs w:val="20"/>
              </w:rPr>
            </w:pPr>
            <w:r>
              <w:rPr>
                <w:bCs/>
                <w:sz w:val="20"/>
                <w:szCs w:val="20"/>
              </w:rPr>
              <w:t xml:space="preserve">Сопровождение Торговой системы РСХБ-Дилинг 2.0 </w:t>
            </w:r>
            <w:r>
              <w:rPr>
                <w:bCs/>
                <w:sz w:val="20"/>
                <w:szCs w:val="20"/>
              </w:rPr>
            </w:r>
            <w:r>
              <w:rPr>
                <w:bCs/>
                <w:sz w:val="20"/>
                <w:szCs w:val="20"/>
              </w:rPr>
            </w:r>
          </w:p>
        </w:tc>
        <w:tc>
          <w:tcPr>
            <w:tcW w:w="903" w:type="pct"/>
            <w:vAlign w:val="top"/>
            <w:textDirection w:val="lrTb"/>
            <w:noWrap w:val="false"/>
          </w:tcPr>
          <w:p>
            <w:pPr>
              <w:pStyle w:val="1135"/>
              <w:jc w:val="center"/>
              <w:spacing w:before="40"/>
              <w:rPr>
                <w:bCs/>
                <w:sz w:val="20"/>
                <w:szCs w:val="20"/>
              </w:rPr>
            </w:pPr>
            <w:r>
              <w:rPr>
                <w:bCs/>
                <w:sz w:val="20"/>
                <w:szCs w:val="20"/>
              </w:rPr>
              <w:t xml:space="preserve">Не взимается</w:t>
            </w:r>
            <w:r>
              <w:rPr>
                <w:bCs/>
                <w:sz w:val="20"/>
                <w:szCs w:val="20"/>
              </w:rPr>
            </w:r>
            <w:r>
              <w:rPr>
                <w:bCs/>
                <w:sz w:val="20"/>
                <w:szCs w:val="20"/>
              </w:rPr>
            </w:r>
          </w:p>
        </w:tc>
        <w:tc>
          <w:tcPr>
            <w:tcW w:w="2083" w:type="pct"/>
            <w:vAlign w:val="top"/>
            <w:textDirection w:val="lrTb"/>
            <w:noWrap w:val="false"/>
          </w:tcPr>
          <w:p>
            <w:pPr>
              <w:pStyle w:val="1135"/>
              <w:jc w:val="both"/>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35"/>
              <w:spacing w:before="40"/>
              <w:rPr>
                <w:bCs/>
                <w:sz w:val="20"/>
                <w:szCs w:val="20"/>
              </w:rPr>
            </w:pPr>
            <w:r>
              <w:rPr>
                <w:bCs/>
                <w:sz w:val="20"/>
                <w:szCs w:val="20"/>
              </w:rPr>
              <w:t xml:space="preserve">17.2.2. </w:t>
            </w:r>
            <w:r>
              <w:rPr>
                <w:bCs/>
                <w:sz w:val="20"/>
                <w:szCs w:val="20"/>
              </w:rPr>
            </w:r>
            <w:r>
              <w:rPr>
                <w:bCs/>
                <w:sz w:val="20"/>
                <w:szCs w:val="20"/>
              </w:rPr>
            </w:r>
          </w:p>
        </w:tc>
        <w:tc>
          <w:tcPr>
            <w:gridSpan w:val="3"/>
            <w:tcW w:w="4444" w:type="pct"/>
            <w:vAlign w:val="top"/>
            <w:textDirection w:val="lrTb"/>
            <w:noWrap w:val="false"/>
          </w:tcPr>
          <w:p>
            <w:pPr>
              <w:pStyle w:val="1135"/>
              <w:jc w:val="both"/>
              <w:spacing w:before="40"/>
              <w:rPr>
                <w:bCs/>
                <w:sz w:val="20"/>
                <w:szCs w:val="20"/>
              </w:rPr>
            </w:pPr>
            <w:r>
              <w:rPr>
                <w:bCs/>
                <w:sz w:val="20"/>
                <w:szCs w:val="20"/>
              </w:rPr>
              <w:t xml:space="preserve">Подключение к Торговой системе РСХБ-Дилинг 2.0 </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35"/>
              <w:spacing w:before="40"/>
              <w:rPr>
                <w:bCs/>
                <w:sz w:val="20"/>
                <w:szCs w:val="20"/>
              </w:rPr>
            </w:pPr>
            <w:r>
              <w:rPr>
                <w:bCs/>
                <w:sz w:val="20"/>
                <w:szCs w:val="20"/>
              </w:rPr>
              <w:t xml:space="preserve">17.2.2.1. </w:t>
            </w:r>
            <w:r>
              <w:rPr>
                <w:bCs/>
                <w:sz w:val="20"/>
                <w:szCs w:val="20"/>
              </w:rPr>
            </w:r>
            <w:r>
              <w:rPr>
                <w:bCs/>
                <w:sz w:val="20"/>
                <w:szCs w:val="20"/>
              </w:rPr>
            </w:r>
          </w:p>
        </w:tc>
        <w:tc>
          <w:tcPr>
            <w:tcW w:w="1458" w:type="pct"/>
            <w:vAlign w:val="top"/>
            <w:textDirection w:val="lrTb"/>
            <w:noWrap w:val="false"/>
          </w:tcPr>
          <w:p>
            <w:pPr>
              <w:pStyle w:val="1135"/>
              <w:spacing w:before="40"/>
              <w:rPr>
                <w:bCs/>
                <w:sz w:val="20"/>
                <w:szCs w:val="20"/>
              </w:rPr>
            </w:pPr>
            <w:r>
              <w:rPr>
                <w:bCs/>
                <w:sz w:val="20"/>
                <w:szCs w:val="20"/>
              </w:rPr>
              <w:t xml:space="preserve">Регистрация в Торговой системе РСХБ-Дилинг 2.0</w:t>
            </w:r>
            <w:r>
              <w:rPr>
                <w:bCs/>
                <w:sz w:val="20"/>
                <w:szCs w:val="20"/>
              </w:rPr>
            </w:r>
            <w:r>
              <w:rPr>
                <w:bCs/>
                <w:sz w:val="20"/>
                <w:szCs w:val="20"/>
              </w:rPr>
            </w:r>
          </w:p>
        </w:tc>
        <w:tc>
          <w:tcPr>
            <w:tcW w:w="903" w:type="pct"/>
            <w:vAlign w:val="top"/>
            <w:textDirection w:val="lrTb"/>
            <w:noWrap w:val="false"/>
          </w:tcPr>
          <w:p>
            <w:pPr>
              <w:pStyle w:val="1135"/>
              <w:jc w:val="center"/>
              <w:spacing w:before="40"/>
              <w:rPr>
                <w:bCs/>
                <w:sz w:val="20"/>
                <w:szCs w:val="20"/>
              </w:rPr>
            </w:pPr>
            <w:r>
              <w:rPr>
                <w:bCs/>
                <w:sz w:val="20"/>
                <w:szCs w:val="20"/>
              </w:rPr>
              <w:t xml:space="preserve">Не взимается</w:t>
            </w:r>
            <w:r>
              <w:rPr>
                <w:bCs/>
                <w:sz w:val="20"/>
                <w:szCs w:val="20"/>
              </w:rPr>
            </w:r>
            <w:r>
              <w:rPr>
                <w:bCs/>
                <w:sz w:val="20"/>
                <w:szCs w:val="20"/>
              </w:rPr>
            </w:r>
          </w:p>
        </w:tc>
        <w:tc>
          <w:tcPr>
            <w:tcW w:w="2083" w:type="pct"/>
            <w:vAlign w:val="top"/>
            <w:textDirection w:val="lrTb"/>
            <w:noWrap w:val="false"/>
          </w:tcPr>
          <w:p>
            <w:pPr>
              <w:pStyle w:val="1135"/>
              <w:jc w:val="both"/>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35"/>
              <w:spacing w:before="40"/>
              <w:rPr>
                <w:bCs/>
                <w:sz w:val="20"/>
                <w:szCs w:val="20"/>
              </w:rPr>
            </w:pPr>
            <w:r>
              <w:rPr>
                <w:bCs/>
                <w:sz w:val="20"/>
                <w:szCs w:val="20"/>
              </w:rPr>
              <w:t xml:space="preserve">17.2.2.2. </w:t>
            </w:r>
            <w:r>
              <w:rPr>
                <w:bCs/>
                <w:sz w:val="20"/>
                <w:szCs w:val="20"/>
              </w:rPr>
            </w:r>
            <w:r>
              <w:rPr>
                <w:bCs/>
                <w:sz w:val="20"/>
                <w:szCs w:val="20"/>
              </w:rPr>
            </w:r>
          </w:p>
        </w:tc>
        <w:tc>
          <w:tcPr>
            <w:tcW w:w="1458" w:type="pct"/>
            <w:vAlign w:val="top"/>
            <w:textDirection w:val="lrTb"/>
            <w:noWrap w:val="false"/>
          </w:tcPr>
          <w:p>
            <w:pPr>
              <w:pStyle w:val="1135"/>
              <w:spacing w:before="40"/>
              <w:rPr>
                <w:bCs/>
                <w:sz w:val="20"/>
                <w:szCs w:val="20"/>
              </w:rPr>
            </w:pPr>
            <w:r>
              <w:rPr>
                <w:bCs/>
                <w:sz w:val="20"/>
                <w:szCs w:val="20"/>
              </w:rPr>
              <w:t xml:space="preserve">Подключение дополнительных счетов к Торговой системе РСХБ-Дилинг 2.0</w:t>
            </w:r>
            <w:r>
              <w:rPr>
                <w:bCs/>
                <w:sz w:val="20"/>
                <w:szCs w:val="20"/>
              </w:rPr>
            </w:r>
            <w:r>
              <w:rPr>
                <w:bCs/>
                <w:sz w:val="20"/>
                <w:szCs w:val="20"/>
              </w:rPr>
            </w:r>
          </w:p>
        </w:tc>
        <w:tc>
          <w:tcPr>
            <w:tcW w:w="903" w:type="pct"/>
            <w:vAlign w:val="top"/>
            <w:textDirection w:val="lrTb"/>
            <w:noWrap w:val="false"/>
          </w:tcPr>
          <w:p>
            <w:pPr>
              <w:pStyle w:val="1135"/>
              <w:jc w:val="center"/>
              <w:spacing w:before="40"/>
              <w:rPr>
                <w:bCs/>
                <w:sz w:val="20"/>
                <w:szCs w:val="20"/>
              </w:rPr>
            </w:pPr>
            <w:r>
              <w:rPr>
                <w:bCs/>
                <w:sz w:val="20"/>
                <w:szCs w:val="20"/>
              </w:rPr>
              <w:t xml:space="preserve">Не взимается</w:t>
            </w:r>
            <w:r>
              <w:rPr>
                <w:bCs/>
                <w:sz w:val="20"/>
                <w:szCs w:val="20"/>
              </w:rPr>
            </w:r>
            <w:r>
              <w:rPr>
                <w:bCs/>
                <w:sz w:val="20"/>
                <w:szCs w:val="20"/>
              </w:rPr>
            </w:r>
          </w:p>
        </w:tc>
        <w:tc>
          <w:tcPr>
            <w:tcW w:w="2083" w:type="pct"/>
            <w:vAlign w:val="top"/>
            <w:textDirection w:val="lrTb"/>
            <w:noWrap w:val="false"/>
          </w:tcPr>
          <w:p>
            <w:pPr>
              <w:pStyle w:val="1135"/>
              <w:jc w:val="both"/>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35"/>
              <w:spacing w:before="40"/>
              <w:rPr>
                <w:bCs/>
                <w:sz w:val="20"/>
                <w:szCs w:val="20"/>
              </w:rPr>
            </w:pPr>
            <w:r>
              <w:rPr>
                <w:bCs/>
                <w:sz w:val="20"/>
                <w:szCs w:val="20"/>
              </w:rPr>
              <w:t xml:space="preserve">17.2.2.3. </w:t>
            </w:r>
            <w:r>
              <w:rPr>
                <w:bCs/>
                <w:sz w:val="20"/>
                <w:szCs w:val="20"/>
              </w:rPr>
            </w:r>
            <w:r>
              <w:rPr>
                <w:bCs/>
                <w:sz w:val="20"/>
                <w:szCs w:val="20"/>
              </w:rPr>
            </w:r>
          </w:p>
        </w:tc>
        <w:tc>
          <w:tcPr>
            <w:tcW w:w="1458" w:type="pct"/>
            <w:vAlign w:val="top"/>
            <w:textDirection w:val="lrTb"/>
            <w:noWrap w:val="false"/>
          </w:tcPr>
          <w:p>
            <w:pPr>
              <w:pStyle w:val="1135"/>
              <w:spacing w:before="40"/>
              <w:rPr>
                <w:bCs/>
                <w:sz w:val="20"/>
                <w:szCs w:val="20"/>
              </w:rPr>
            </w:pPr>
            <w:r>
              <w:rPr>
                <w:bCs/>
                <w:sz w:val="20"/>
                <w:szCs w:val="20"/>
              </w:rPr>
              <w:t xml:space="preserve">Смена логина</w:t>
            </w:r>
            <w:r>
              <w:rPr>
                <w:bCs/>
                <w:sz w:val="20"/>
                <w:szCs w:val="20"/>
                <w:vertAlign w:val="superscript"/>
              </w:rPr>
              <w:footnoteReference w:id="12"/>
            </w:r>
            <w:r>
              <w:rPr>
                <w:bCs/>
                <w:sz w:val="20"/>
                <w:szCs w:val="20"/>
              </w:rPr>
              <w:t xml:space="preserve"> и/или пароля для доступа к Торговой системе РСХБ-Дилинг 2.0</w:t>
            </w:r>
            <w:r>
              <w:rPr>
                <w:bCs/>
                <w:sz w:val="20"/>
                <w:szCs w:val="20"/>
              </w:rPr>
            </w:r>
            <w:r>
              <w:rPr>
                <w:bCs/>
                <w:sz w:val="20"/>
                <w:szCs w:val="20"/>
              </w:rPr>
            </w:r>
          </w:p>
        </w:tc>
        <w:tc>
          <w:tcPr>
            <w:tcW w:w="903" w:type="pct"/>
            <w:vAlign w:val="top"/>
            <w:textDirection w:val="lrTb"/>
            <w:noWrap w:val="false"/>
          </w:tcPr>
          <w:p>
            <w:pPr>
              <w:pStyle w:val="1135"/>
              <w:jc w:val="center"/>
              <w:spacing w:before="40"/>
              <w:rPr>
                <w:bCs/>
                <w:sz w:val="20"/>
                <w:szCs w:val="20"/>
              </w:rPr>
            </w:pPr>
            <w:r>
              <w:rPr>
                <w:bCs/>
                <w:sz w:val="20"/>
                <w:szCs w:val="20"/>
              </w:rPr>
              <w:t xml:space="preserve">Не взимается</w:t>
            </w:r>
            <w:r>
              <w:rPr>
                <w:bCs/>
                <w:sz w:val="20"/>
                <w:szCs w:val="20"/>
              </w:rPr>
            </w:r>
            <w:r>
              <w:rPr>
                <w:bCs/>
                <w:sz w:val="20"/>
                <w:szCs w:val="20"/>
              </w:rPr>
            </w:r>
          </w:p>
        </w:tc>
        <w:tc>
          <w:tcPr>
            <w:tcW w:w="2083" w:type="pct"/>
            <w:vAlign w:val="top"/>
            <w:textDirection w:val="lrTb"/>
            <w:noWrap w:val="false"/>
          </w:tcPr>
          <w:p>
            <w:pPr>
              <w:pStyle w:val="1135"/>
              <w:jc w:val="both"/>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187"/>
        </w:trPr>
        <w:tc>
          <w:tcPr>
            <w:tcBorders>
              <w:bottom w:val="single" w:color="000000" w:sz="4" w:space="0"/>
            </w:tcBorders>
            <w:tcW w:w="556" w:type="pct"/>
            <w:vAlign w:val="top"/>
            <w:textDirection w:val="lrTb"/>
            <w:noWrap w:val="false"/>
          </w:tcPr>
          <w:p>
            <w:pPr>
              <w:pStyle w:val="1135"/>
              <w:spacing w:before="40"/>
              <w:rPr>
                <w:bCs/>
                <w:sz w:val="20"/>
                <w:szCs w:val="20"/>
              </w:rPr>
            </w:pPr>
            <w:r>
              <w:rPr>
                <w:bCs/>
                <w:sz w:val="20"/>
                <w:szCs w:val="20"/>
              </w:rPr>
              <w:t xml:space="preserve">17.2.2.4.</w:t>
            </w:r>
            <w:r>
              <w:rPr>
                <w:bCs/>
                <w:sz w:val="20"/>
                <w:szCs w:val="20"/>
              </w:rPr>
            </w:r>
            <w:r>
              <w:rPr>
                <w:bCs/>
                <w:sz w:val="20"/>
                <w:szCs w:val="20"/>
              </w:rPr>
            </w:r>
          </w:p>
        </w:tc>
        <w:tc>
          <w:tcPr>
            <w:tcW w:w="1458" w:type="pct"/>
            <w:vAlign w:val="top"/>
            <w:textDirection w:val="lrTb"/>
            <w:noWrap w:val="false"/>
          </w:tcPr>
          <w:p>
            <w:pPr>
              <w:pStyle w:val="1135"/>
              <w:spacing w:before="40"/>
              <w:rPr>
                <w:bCs/>
                <w:sz w:val="20"/>
                <w:szCs w:val="20"/>
              </w:rPr>
            </w:pPr>
            <w:r>
              <w:rPr>
                <w:bCs/>
                <w:sz w:val="20"/>
                <w:szCs w:val="20"/>
              </w:rPr>
              <w:t xml:space="preserve">Предоставление доступа в Торговую систему РСХБ-Дилинг 2.0 для новых уполномоченных лиц</w:t>
            </w:r>
            <w:r>
              <w:rPr>
                <w:bCs/>
                <w:sz w:val="20"/>
                <w:szCs w:val="20"/>
              </w:rPr>
            </w:r>
            <w:r>
              <w:rPr>
                <w:bCs/>
                <w:sz w:val="20"/>
                <w:szCs w:val="20"/>
              </w:rPr>
            </w:r>
          </w:p>
        </w:tc>
        <w:tc>
          <w:tcPr>
            <w:tcW w:w="903" w:type="pct"/>
            <w:vAlign w:val="top"/>
            <w:textDirection w:val="lrTb"/>
            <w:noWrap w:val="false"/>
          </w:tcPr>
          <w:p>
            <w:pPr>
              <w:pStyle w:val="1135"/>
              <w:jc w:val="center"/>
              <w:spacing w:before="40"/>
              <w:rPr>
                <w:bCs/>
                <w:sz w:val="20"/>
                <w:szCs w:val="20"/>
              </w:rPr>
            </w:pPr>
            <w:r>
              <w:rPr>
                <w:bCs/>
                <w:sz w:val="20"/>
                <w:szCs w:val="20"/>
              </w:rPr>
              <w:t xml:space="preserve">Не взимается</w:t>
            </w:r>
            <w:r>
              <w:rPr>
                <w:bCs/>
                <w:sz w:val="20"/>
                <w:szCs w:val="20"/>
              </w:rPr>
            </w:r>
            <w:r>
              <w:rPr>
                <w:bCs/>
                <w:sz w:val="20"/>
                <w:szCs w:val="20"/>
              </w:rPr>
            </w:r>
          </w:p>
        </w:tc>
        <w:tc>
          <w:tcPr>
            <w:tcW w:w="2083" w:type="pct"/>
            <w:vAlign w:val="top"/>
            <w:textDirection w:val="lrTb"/>
            <w:noWrap w:val="false"/>
          </w:tcPr>
          <w:p>
            <w:pPr>
              <w:pStyle w:val="1135"/>
              <w:jc w:val="both"/>
              <w:spacing w:before="40"/>
              <w:rPr>
                <w:bCs/>
                <w:sz w:val="20"/>
                <w:szCs w:val="20"/>
              </w:rPr>
            </w:pPr>
            <w:r>
              <w:rPr>
                <w:bCs/>
                <w:sz w:val="20"/>
                <w:szCs w:val="20"/>
              </w:rPr>
            </w:r>
            <w:r>
              <w:rPr>
                <w:bCs/>
                <w:sz w:val="20"/>
                <w:szCs w:val="20"/>
              </w:rPr>
            </w:r>
            <w:r>
              <w:rPr>
                <w:bCs/>
                <w:sz w:val="20"/>
                <w:szCs w:val="20"/>
              </w:rPr>
            </w:r>
          </w:p>
          <w:p>
            <w:pPr>
              <w:pStyle w:val="1135"/>
              <w:rPr>
                <w:sz w:val="20"/>
                <w:szCs w:val="20"/>
              </w:rPr>
            </w:pPr>
            <w:r>
              <w:rPr>
                <w:sz w:val="20"/>
                <w:szCs w:val="20"/>
              </w:rPr>
            </w:r>
            <w:r>
              <w:rPr>
                <w:sz w:val="20"/>
                <w:szCs w:val="20"/>
              </w:rPr>
            </w:r>
            <w:r>
              <w:rPr>
                <w:sz w:val="20"/>
                <w:szCs w:val="20"/>
              </w:rPr>
            </w:r>
          </w:p>
          <w:p>
            <w:pPr>
              <w:pStyle w:val="1135"/>
              <w:jc w:val="center"/>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201"/>
        </w:trPr>
        <w:tc>
          <w:tcPr>
            <w:tcBorders>
              <w:bottom w:val="single" w:color="000000" w:sz="4" w:space="0"/>
            </w:tcBorders>
            <w:tcW w:w="556" w:type="pct"/>
            <w:vAlign w:val="top"/>
            <w:textDirection w:val="lrTb"/>
            <w:noWrap w:val="false"/>
          </w:tcPr>
          <w:p>
            <w:pPr>
              <w:pStyle w:val="1135"/>
              <w:spacing w:before="40"/>
              <w:rPr>
                <w:bCs/>
                <w:sz w:val="20"/>
                <w:szCs w:val="20"/>
              </w:rPr>
            </w:pPr>
            <w:r>
              <w:rPr>
                <w:bCs/>
                <w:sz w:val="20"/>
                <w:szCs w:val="20"/>
              </w:rPr>
              <w:t xml:space="preserve">17.2.2.5. </w:t>
            </w:r>
            <w:r>
              <w:rPr>
                <w:bCs/>
                <w:sz w:val="20"/>
                <w:szCs w:val="20"/>
              </w:rPr>
            </w:r>
            <w:r>
              <w:rPr>
                <w:bCs/>
                <w:sz w:val="20"/>
                <w:szCs w:val="20"/>
              </w:rPr>
            </w:r>
          </w:p>
        </w:tc>
        <w:tc>
          <w:tcPr>
            <w:tcW w:w="1458" w:type="pct"/>
            <w:vAlign w:val="top"/>
            <w:textDirection w:val="lrTb"/>
            <w:noWrap w:val="false"/>
          </w:tcPr>
          <w:p>
            <w:pPr>
              <w:pStyle w:val="1135"/>
              <w:spacing w:before="40"/>
              <w:rPr>
                <w:bCs/>
                <w:sz w:val="20"/>
                <w:szCs w:val="20"/>
              </w:rPr>
            </w:pPr>
            <w:r>
              <w:rPr>
                <w:bCs/>
                <w:sz w:val="20"/>
                <w:szCs w:val="20"/>
              </w:rPr>
              <w:t xml:space="preserve">Блокировка доступа/ возобновление доступа к Торговой системе РСХБ-Дилинг 2.0</w:t>
            </w:r>
            <w:r>
              <w:rPr>
                <w:bCs/>
                <w:sz w:val="20"/>
                <w:szCs w:val="20"/>
              </w:rPr>
            </w:r>
            <w:r>
              <w:rPr>
                <w:bCs/>
                <w:sz w:val="20"/>
                <w:szCs w:val="20"/>
              </w:rPr>
            </w:r>
          </w:p>
        </w:tc>
        <w:tc>
          <w:tcPr>
            <w:tcW w:w="903" w:type="pct"/>
            <w:vAlign w:val="top"/>
            <w:textDirection w:val="lrTb"/>
            <w:noWrap w:val="false"/>
          </w:tcPr>
          <w:p>
            <w:pPr>
              <w:pStyle w:val="1135"/>
              <w:jc w:val="center"/>
              <w:spacing w:before="40"/>
              <w:rPr>
                <w:bCs/>
                <w:sz w:val="20"/>
                <w:szCs w:val="20"/>
              </w:rPr>
            </w:pPr>
            <w:r>
              <w:rPr>
                <w:bCs/>
                <w:sz w:val="20"/>
                <w:szCs w:val="20"/>
              </w:rPr>
              <w:t xml:space="preserve">Не взимается</w:t>
            </w:r>
            <w:r>
              <w:rPr>
                <w:bCs/>
                <w:sz w:val="20"/>
                <w:szCs w:val="20"/>
              </w:rPr>
            </w:r>
            <w:r>
              <w:rPr>
                <w:bCs/>
                <w:sz w:val="20"/>
                <w:szCs w:val="20"/>
              </w:rPr>
            </w:r>
          </w:p>
        </w:tc>
        <w:tc>
          <w:tcPr>
            <w:tcW w:w="2083" w:type="pct"/>
            <w:vAlign w:val="top"/>
            <w:textDirection w:val="lrTb"/>
            <w:noWrap w:val="false"/>
          </w:tcPr>
          <w:p>
            <w:pPr>
              <w:pStyle w:val="1135"/>
              <w:jc w:val="both"/>
              <w:spacing w:before="40"/>
              <w:rPr>
                <w:bCs/>
                <w:sz w:val="20"/>
                <w:szCs w:val="20"/>
              </w:rPr>
            </w:pPr>
            <w:r>
              <w:rPr>
                <w:bCs/>
                <w:sz w:val="20"/>
                <w:szCs w:val="20"/>
              </w:rPr>
            </w:r>
            <w:r>
              <w:rPr>
                <w:bCs/>
                <w:sz w:val="20"/>
                <w:szCs w:val="20"/>
              </w:rPr>
            </w:r>
            <w:r>
              <w:rPr>
                <w:bCs/>
                <w:sz w:val="20"/>
                <w:szCs w:val="20"/>
              </w:rPr>
            </w:r>
          </w:p>
        </w:tc>
      </w:tr>
    </w:tbl>
    <w:p>
      <w:pPr>
        <w:pStyle w:val="1135"/>
        <w:rPr>
          <w:bCs/>
          <w:iCs/>
          <w:sz w:val="20"/>
          <w:szCs w:val="20"/>
          <w:u w:val="single"/>
        </w:rPr>
      </w:pPr>
      <w:r>
        <w:rPr>
          <w:bCs/>
          <w:iCs/>
          <w:sz w:val="20"/>
          <w:szCs w:val="20"/>
          <w:u w:val="single"/>
        </w:rPr>
      </w:r>
      <w:r>
        <w:rPr>
          <w:bCs/>
          <w:iCs/>
          <w:sz w:val="20"/>
          <w:szCs w:val="20"/>
          <w:u w:val="single"/>
        </w:rPr>
      </w:r>
      <w:r>
        <w:rPr>
          <w:bCs/>
          <w:iCs/>
          <w:sz w:val="20"/>
          <w:szCs w:val="20"/>
          <w:u w:val="single"/>
        </w:rPr>
      </w:r>
    </w:p>
    <w:p>
      <w:pPr>
        <w:pStyle w:val="1135"/>
        <w:rPr>
          <w:bCs/>
          <w:iCs/>
          <w:sz w:val="20"/>
          <w:szCs w:val="20"/>
          <w:u w:val="single"/>
        </w:rPr>
      </w:pPr>
      <w:r>
        <w:rPr>
          <w:bCs/>
          <w:iCs/>
          <w:sz w:val="20"/>
          <w:szCs w:val="20"/>
          <w:u w:val="single"/>
        </w:rPr>
        <w:t xml:space="preserve">Примечание:</w:t>
      </w:r>
      <w:r>
        <w:rPr>
          <w:bCs/>
          <w:iCs/>
          <w:sz w:val="20"/>
          <w:szCs w:val="20"/>
          <w:u w:val="single"/>
        </w:rPr>
      </w:r>
      <w:r>
        <w:rPr>
          <w:bCs/>
          <w:iCs/>
          <w:sz w:val="20"/>
          <w:szCs w:val="20"/>
          <w:u w:val="single"/>
        </w:rPr>
      </w:r>
    </w:p>
    <w:p>
      <w:pPr>
        <w:pStyle w:val="1135"/>
        <w:rPr>
          <w:bCs/>
          <w:iCs/>
          <w:sz w:val="20"/>
          <w:szCs w:val="20"/>
          <w:u w:val="single"/>
        </w:rPr>
      </w:pPr>
      <w:r>
        <w:rPr>
          <w:bCs/>
          <w:iCs/>
          <w:sz w:val="20"/>
          <w:szCs w:val="20"/>
          <w:u w:val="single"/>
        </w:rPr>
      </w:r>
      <w:r>
        <w:rPr>
          <w:bCs/>
          <w:iCs/>
          <w:sz w:val="20"/>
          <w:szCs w:val="20"/>
          <w:u w:val="single"/>
        </w:rPr>
      </w:r>
      <w:r>
        <w:rPr>
          <w:bCs/>
          <w:iCs/>
          <w:sz w:val="20"/>
          <w:szCs w:val="20"/>
          <w:u w:val="single"/>
        </w:rPr>
      </w:r>
    </w:p>
    <w:p>
      <w:pPr>
        <w:pStyle w:val="1135"/>
        <w:jc w:val="both"/>
        <w:spacing w:before="40"/>
        <w:tabs>
          <w:tab w:val="left" w:pos="284" w:leader="none"/>
          <w:tab w:val="left" w:pos="1134" w:leader="none"/>
        </w:tabs>
        <w:rPr>
          <w:bCs/>
          <w:iCs/>
          <w:sz w:val="20"/>
          <w:szCs w:val="20"/>
        </w:rPr>
      </w:pPr>
      <w:r>
        <w:rPr>
          <w:bCs/>
          <w:iCs/>
          <w:sz w:val="20"/>
          <w:szCs w:val="20"/>
        </w:rPr>
        <w:t xml:space="preserve">1.</w:t>
        <w:tab/>
        <w:t xml:space="preserve">Плата за услуги Банка взимается в момент оказания услуги, если конкретным пунктом тарифов не предусмотрено иное.</w:t>
      </w:r>
      <w:r>
        <w:rPr>
          <w:bCs/>
          <w:iCs/>
          <w:sz w:val="20"/>
          <w:szCs w:val="20"/>
        </w:rPr>
      </w:r>
      <w:r>
        <w:rPr>
          <w:bCs/>
          <w:iCs/>
          <w:sz w:val="20"/>
          <w:szCs w:val="20"/>
        </w:rPr>
      </w:r>
    </w:p>
    <w:p>
      <w:pPr>
        <w:pStyle w:val="1135"/>
        <w:jc w:val="both"/>
        <w:keepNext/>
        <w:spacing w:after="40"/>
        <w:tabs>
          <w:tab w:val="left" w:pos="284" w:leader="none"/>
        </w:tabs>
        <w:rPr>
          <w:bCs/>
          <w:iCs/>
          <w:sz w:val="20"/>
          <w:szCs w:val="20"/>
        </w:rPr>
        <w:outlineLvl w:val="1"/>
      </w:pPr>
      <w:r>
        <w:rPr>
          <w:bCs/>
          <w:iCs/>
          <w:sz w:val="20"/>
          <w:szCs w:val="20"/>
        </w:rPr>
        <w:t xml:space="preserve">2.</w:t>
        <w:tab/>
        <w:t xml:space="preserve">В случае если на момент оказания услуги клиент не имеет счетов, открыт</w:t>
      </w:r>
      <w:r>
        <w:rPr>
          <w:bCs/>
          <w:iCs/>
          <w:sz w:val="20"/>
          <w:szCs w:val="20"/>
        </w:rPr>
        <w:t xml:space="preserve">ых в АО «Россельхозбанк», с которых Банком может быть удержана комиссия, клиент производит оплату комиссии безналичным переводом со своих счетов, открытых в других банках, в течение 5 рабочих дней с момента подачи в Банк соответствующего запроса/заявления.</w:t>
      </w:r>
      <w:r>
        <w:rPr>
          <w:bCs/>
          <w:iCs/>
          <w:sz w:val="20"/>
          <w:szCs w:val="20"/>
        </w:rPr>
      </w:r>
      <w:r>
        <w:rPr>
          <w:bCs/>
          <w:iCs/>
          <w:sz w:val="20"/>
          <w:szCs w:val="20"/>
        </w:rPr>
      </w:r>
    </w:p>
    <w:p>
      <w:pPr>
        <w:pStyle w:val="1135"/>
        <w:jc w:val="both"/>
        <w:keepNext/>
        <w:spacing w:after="40"/>
        <w:tabs>
          <w:tab w:val="left" w:pos="284" w:leader="none"/>
        </w:tabs>
        <w:rPr>
          <w:b/>
          <w:bCs/>
        </w:rPr>
        <w:outlineLvl w:val="1"/>
      </w:pPr>
      <w:r>
        <w:rPr>
          <w:b/>
          <w:bCs/>
        </w:rPr>
      </w:r>
      <w:r>
        <w:rPr>
          <w:b/>
          <w:bCs/>
        </w:rPr>
      </w:r>
      <w:r>
        <w:rPr>
          <w:b/>
          <w:bCs/>
        </w:rPr>
      </w:r>
    </w:p>
    <w:p>
      <w:pPr>
        <w:pStyle w:val="1135"/>
        <w:ind w:left="-425"/>
        <w:jc w:val="center"/>
        <w:keepNext/>
        <w:spacing w:after="40"/>
        <w:rPr>
          <w:b/>
          <w:bCs/>
          <w:iCs/>
        </w:rPr>
        <w:outlineLvl w:val="3"/>
      </w:pPr>
      <w:r>
        <w:rPr>
          <w:b/>
          <w:bCs/>
          <w:iCs/>
        </w:rPr>
      </w:r>
      <w:r>
        <w:rPr>
          <w:b/>
          <w:bCs/>
          <w:iCs/>
        </w:rPr>
      </w:r>
      <w:r>
        <w:rPr>
          <w:b/>
          <w:bCs/>
          <w:iCs/>
        </w:rPr>
      </w:r>
    </w:p>
    <w:p>
      <w:pPr>
        <w:pStyle w:val="1135"/>
        <w:ind w:left="-425"/>
        <w:jc w:val="center"/>
        <w:keepNext/>
        <w:spacing w:after="40"/>
        <w:rPr>
          <w:b/>
        </w:rPr>
        <w:outlineLvl w:val="3"/>
      </w:pPr>
      <w:r>
        <w:rPr>
          <w:b/>
          <w:bCs/>
          <w:iCs/>
        </w:rPr>
        <w:t xml:space="preserve">18. </w:t>
      </w:r>
      <w:r>
        <w:rPr>
          <w:b/>
        </w:rPr>
        <w:t xml:space="preserve">Операции с использованием цифрового рубля</w:t>
      </w:r>
      <w:r>
        <w:rPr>
          <w:b/>
        </w:rPr>
      </w:r>
      <w:r>
        <w:rPr>
          <w:b/>
        </w:rPr>
      </w:r>
    </w:p>
    <w:tbl>
      <w:tblPr>
        <w:tblW w:w="9782" w:type="dxa"/>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3544"/>
        <w:gridCol w:w="2126"/>
        <w:gridCol w:w="326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center"/>
            <w:textDirection w:val="lrTb"/>
            <w:noWrap w:val="false"/>
          </w:tcPr>
          <w:p>
            <w:pPr>
              <w:pStyle w:val="1135"/>
              <w:jc w:val="center"/>
              <w:rPr>
                <w:sz w:val="20"/>
                <w:szCs w:val="20"/>
              </w:rPr>
            </w:pPr>
            <w:r>
              <w:rPr>
                <w:sz w:val="20"/>
                <w:szCs w:val="20"/>
              </w:rPr>
              <w:t xml:space="preserve">№</w:t>
            </w:r>
            <w:r>
              <w:rPr>
                <w:sz w:val="20"/>
                <w:szCs w:val="20"/>
              </w:rPr>
            </w:r>
            <w:r>
              <w:rPr>
                <w:sz w:val="20"/>
                <w:szCs w:val="20"/>
              </w:rPr>
            </w:r>
          </w:p>
          <w:p>
            <w:pPr>
              <w:pStyle w:val="1135"/>
              <w:jc w:val="center"/>
              <w:rPr>
                <w:sz w:val="20"/>
                <w:szCs w:val="20"/>
              </w:rPr>
            </w:pPr>
            <w:r>
              <w:rPr>
                <w:sz w:val="20"/>
                <w:szCs w:val="20"/>
              </w:rPr>
              <w:t xml:space="preserve">п/п</w:t>
            </w:r>
            <w:r>
              <w:rPr>
                <w:sz w:val="20"/>
                <w:szCs w:val="20"/>
              </w:rPr>
            </w:r>
            <w:r>
              <w:rPr>
                <w:sz w:val="20"/>
                <w:szCs w:val="20"/>
              </w:rPr>
            </w:r>
          </w:p>
        </w:tc>
        <w:tc>
          <w:tcPr>
            <w:tcW w:w="3544" w:type="dxa"/>
            <w:vAlign w:val="center"/>
            <w:textDirection w:val="lrTb"/>
            <w:noWrap w:val="false"/>
          </w:tcPr>
          <w:p>
            <w:pPr>
              <w:pStyle w:val="1135"/>
              <w:jc w:val="center"/>
              <w:rPr>
                <w:sz w:val="20"/>
                <w:szCs w:val="20"/>
              </w:rPr>
            </w:pPr>
            <w:r>
              <w:rPr>
                <w:sz w:val="20"/>
                <w:szCs w:val="20"/>
              </w:rPr>
              <w:t xml:space="preserve">Наименование услуги</w:t>
            </w:r>
            <w:r>
              <w:rPr>
                <w:sz w:val="20"/>
                <w:szCs w:val="20"/>
              </w:rPr>
            </w:r>
            <w:r>
              <w:rPr>
                <w:sz w:val="20"/>
                <w:szCs w:val="20"/>
              </w:rPr>
            </w:r>
          </w:p>
        </w:tc>
        <w:tc>
          <w:tcPr>
            <w:tcW w:w="2126" w:type="dxa"/>
            <w:vAlign w:val="center"/>
            <w:textDirection w:val="lrTb"/>
            <w:noWrap w:val="false"/>
          </w:tcPr>
          <w:p>
            <w:pPr>
              <w:pStyle w:val="1135"/>
              <w:jc w:val="center"/>
              <w:rPr>
                <w:sz w:val="20"/>
                <w:szCs w:val="20"/>
              </w:rPr>
            </w:pPr>
            <w:r>
              <w:rPr>
                <w:sz w:val="20"/>
                <w:szCs w:val="20"/>
              </w:rPr>
              <w:t xml:space="preserve">Тариф </w:t>
            </w:r>
            <w:r>
              <w:rPr>
                <w:sz w:val="20"/>
                <w:szCs w:val="20"/>
              </w:rPr>
            </w:r>
            <w:r>
              <w:rPr>
                <w:sz w:val="20"/>
                <w:szCs w:val="20"/>
              </w:rPr>
            </w:r>
          </w:p>
        </w:tc>
        <w:tc>
          <w:tcPr>
            <w:tcW w:w="3261" w:type="dxa"/>
            <w:vAlign w:val="center"/>
            <w:textDirection w:val="lrTb"/>
            <w:noWrap w:val="false"/>
          </w:tcPr>
          <w:p>
            <w:pPr>
              <w:pStyle w:val="1135"/>
              <w:jc w:val="center"/>
              <w:rPr>
                <w:sz w:val="20"/>
                <w:szCs w:val="20"/>
              </w:rPr>
            </w:pPr>
            <w:r>
              <w:rPr>
                <w:sz w:val="20"/>
                <w:szCs w:val="20"/>
              </w:rPr>
              <w:t xml:space="preserve">Примечание</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35"/>
              <w:jc w:val="center"/>
              <w:spacing w:before="40" w:after="40"/>
              <w:rPr>
                <w:sz w:val="20"/>
                <w:szCs w:val="20"/>
              </w:rPr>
            </w:pPr>
            <w:r>
              <w:rPr>
                <w:sz w:val="20"/>
                <w:szCs w:val="20"/>
              </w:rPr>
              <w:t xml:space="preserve">18.</w:t>
            </w:r>
            <w:r>
              <w:rPr>
                <w:sz w:val="20"/>
                <w:szCs w:val="20"/>
              </w:rPr>
            </w:r>
            <w:r>
              <w:rPr>
                <w:sz w:val="20"/>
                <w:szCs w:val="20"/>
              </w:rPr>
            </w:r>
          </w:p>
        </w:tc>
        <w:tc>
          <w:tcPr>
            <w:gridSpan w:val="3"/>
            <w:tcW w:w="8931" w:type="dxa"/>
            <w:vAlign w:val="top"/>
            <w:textDirection w:val="lrTb"/>
            <w:noWrap w:val="false"/>
          </w:tcPr>
          <w:p>
            <w:pPr>
              <w:pStyle w:val="1135"/>
              <w:jc w:val="both"/>
              <w:spacing w:before="40" w:after="40"/>
              <w:rPr>
                <w:sz w:val="20"/>
                <w:szCs w:val="20"/>
              </w:rPr>
            </w:pPr>
            <w:r>
              <w:rPr>
                <w:sz w:val="20"/>
                <w:szCs w:val="20"/>
              </w:rPr>
              <w:t xml:space="preserve">Операции с использованием цифрового рубля при использовании информационной системы «Цифровой канал обслуживания юридических лиц «Свой бизнес»</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35"/>
              <w:jc w:val="center"/>
              <w:spacing w:before="40" w:after="40"/>
              <w:rPr>
                <w:sz w:val="20"/>
                <w:szCs w:val="20"/>
              </w:rPr>
            </w:pPr>
            <w:r>
              <w:rPr>
                <w:sz w:val="20"/>
                <w:szCs w:val="20"/>
              </w:rPr>
              <w:t xml:space="preserve">18.1.</w:t>
            </w:r>
            <w:r>
              <w:rPr>
                <w:sz w:val="20"/>
                <w:szCs w:val="20"/>
              </w:rPr>
            </w:r>
            <w:r>
              <w:rPr>
                <w:sz w:val="20"/>
                <w:szCs w:val="20"/>
              </w:rPr>
            </w:r>
          </w:p>
        </w:tc>
        <w:tc>
          <w:tcPr>
            <w:tcW w:w="3544" w:type="dxa"/>
            <w:vAlign w:val="top"/>
            <w:textDirection w:val="lrTb"/>
            <w:noWrap w:val="false"/>
          </w:tcPr>
          <w:p>
            <w:pPr>
              <w:pStyle w:val="1135"/>
              <w:spacing w:before="40"/>
              <w:rPr>
                <w:sz w:val="20"/>
                <w:szCs w:val="20"/>
              </w:rPr>
            </w:pPr>
            <w:r>
              <w:rPr>
                <w:sz w:val="20"/>
                <w:szCs w:val="20"/>
              </w:rPr>
              <w:t xml:space="preserve">Перевод денежных средств в рублях Российской Федерации со счета Клиента, открытого в АО «Россельхозбанк», на счет цифрового рубля Клиента для увеличения остатка цифровых рублей</w:t>
              <w:tab/>
            </w:r>
            <w:r>
              <w:rPr>
                <w:sz w:val="20"/>
                <w:szCs w:val="20"/>
              </w:rPr>
            </w:r>
            <w:r>
              <w:rPr>
                <w:sz w:val="20"/>
                <w:szCs w:val="20"/>
              </w:rPr>
            </w:r>
          </w:p>
        </w:tc>
        <w:tc>
          <w:tcPr>
            <w:tcW w:w="2126" w:type="dxa"/>
            <w:vAlign w:val="top"/>
            <w:textDirection w:val="lrTb"/>
            <w:noWrap w:val="false"/>
          </w:tcPr>
          <w:p>
            <w:pPr>
              <w:pStyle w:val="1135"/>
              <w:jc w:val="center"/>
              <w:spacing w:before="40"/>
              <w:rPr>
                <w:sz w:val="20"/>
                <w:szCs w:val="20"/>
              </w:rPr>
            </w:pPr>
            <w:r>
              <w:rPr>
                <w:sz w:val="20"/>
                <w:szCs w:val="20"/>
              </w:rPr>
              <w:t xml:space="preserve">Не взимается*</w:t>
            </w:r>
            <w:r>
              <w:rPr>
                <w:sz w:val="20"/>
                <w:szCs w:val="20"/>
              </w:rPr>
            </w:r>
            <w:r>
              <w:rPr>
                <w:sz w:val="20"/>
                <w:szCs w:val="20"/>
              </w:rPr>
            </w:r>
          </w:p>
        </w:tc>
        <w:tc>
          <w:tcPr>
            <w:tcW w:w="3261" w:type="dxa"/>
            <w:vAlign w:val="top"/>
            <w:textDirection w:val="lrTb"/>
            <w:noWrap w:val="false"/>
          </w:tcPr>
          <w:p>
            <w:pPr>
              <w:pStyle w:val="1135"/>
              <w:jc w:val="both"/>
              <w:spacing w:before="40" w:after="80"/>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35"/>
              <w:jc w:val="center"/>
              <w:spacing w:before="40" w:after="40"/>
              <w:rPr>
                <w:sz w:val="20"/>
                <w:szCs w:val="20"/>
              </w:rPr>
            </w:pPr>
            <w:r>
              <w:rPr>
                <w:sz w:val="20"/>
                <w:szCs w:val="20"/>
              </w:rPr>
              <w:t xml:space="preserve">18.2.</w:t>
            </w:r>
            <w:r>
              <w:rPr>
                <w:sz w:val="20"/>
                <w:szCs w:val="20"/>
              </w:rPr>
            </w:r>
            <w:r>
              <w:rPr>
                <w:sz w:val="20"/>
                <w:szCs w:val="20"/>
              </w:rPr>
            </w:r>
          </w:p>
        </w:tc>
        <w:tc>
          <w:tcPr>
            <w:tcW w:w="3544" w:type="dxa"/>
            <w:vAlign w:val="top"/>
            <w:textDirection w:val="lrTb"/>
            <w:noWrap w:val="false"/>
          </w:tcPr>
          <w:p>
            <w:pPr>
              <w:pStyle w:val="1135"/>
              <w:spacing w:before="40"/>
              <w:rPr>
                <w:sz w:val="20"/>
                <w:szCs w:val="20"/>
              </w:rPr>
            </w:pPr>
            <w:r>
              <w:rPr>
                <w:sz w:val="20"/>
                <w:szCs w:val="20"/>
              </w:rPr>
              <w:t xml:space="preserve">Перевод (зачисление) денежных средств в рублях Российской Федерации на счет Клиента, открытый в АО «Россельхозбанк», в рамках операции по уменьшению остатка цифровых рублей на счете цифрового рубля Клиента</w:t>
            </w:r>
            <w:r>
              <w:rPr>
                <w:sz w:val="20"/>
                <w:szCs w:val="20"/>
              </w:rPr>
            </w:r>
            <w:r>
              <w:rPr>
                <w:sz w:val="20"/>
                <w:szCs w:val="20"/>
              </w:rPr>
            </w:r>
          </w:p>
        </w:tc>
        <w:tc>
          <w:tcPr>
            <w:tcW w:w="2126" w:type="dxa"/>
            <w:vAlign w:val="top"/>
            <w:textDirection w:val="lrTb"/>
            <w:noWrap w:val="false"/>
          </w:tcPr>
          <w:p>
            <w:pPr>
              <w:pStyle w:val="1135"/>
              <w:jc w:val="center"/>
              <w:spacing w:before="40"/>
              <w:rPr>
                <w:sz w:val="20"/>
                <w:szCs w:val="20"/>
              </w:rPr>
            </w:pPr>
            <w:r>
              <w:rPr>
                <w:sz w:val="20"/>
                <w:szCs w:val="20"/>
              </w:rPr>
              <w:t xml:space="preserve">Не взимается*</w:t>
            </w:r>
            <w:r>
              <w:rPr>
                <w:sz w:val="20"/>
                <w:szCs w:val="20"/>
              </w:rPr>
            </w:r>
            <w:r>
              <w:rPr>
                <w:sz w:val="20"/>
                <w:szCs w:val="20"/>
              </w:rPr>
            </w:r>
          </w:p>
        </w:tc>
        <w:tc>
          <w:tcPr>
            <w:tcW w:w="3261" w:type="dxa"/>
            <w:vAlign w:val="top"/>
            <w:textDirection w:val="lrTb"/>
            <w:noWrap w:val="false"/>
          </w:tcPr>
          <w:p>
            <w:pPr>
              <w:pStyle w:val="1135"/>
              <w:jc w:val="both"/>
              <w:spacing w:before="40" w:after="80"/>
              <w:rPr>
                <w:sz w:val="20"/>
                <w:szCs w:val="20"/>
                <w:lang w:eastAsia="en-US"/>
              </w:rPr>
            </w:pPr>
            <w:r>
              <w:rPr>
                <w:sz w:val="20"/>
                <w:szCs w:val="20"/>
                <w:lang w:eastAsia="en-US"/>
              </w:rPr>
            </w:r>
            <w:r>
              <w:rPr>
                <w:sz w:val="20"/>
                <w:szCs w:val="20"/>
                <w:lang w:eastAsia="en-US"/>
              </w:rPr>
            </w:r>
            <w:r>
              <w:rPr>
                <w:sz w:val="20"/>
                <w:szCs w:val="20"/>
                <w:lang w:eastAsia="en-US"/>
              </w:rPr>
            </w:r>
          </w:p>
        </w:tc>
      </w:tr>
    </w:tbl>
    <w:p>
      <w:pPr>
        <w:pStyle w:val="1135"/>
        <w:ind w:left="-425" w:right="-284" w:firstLine="709"/>
        <w:jc w:val="both"/>
        <w:spacing w:before="120"/>
        <w:rPr>
          <w:sz w:val="20"/>
          <w:szCs w:val="20"/>
        </w:rPr>
      </w:pPr>
      <w:r>
        <w:rPr>
          <w:sz w:val="20"/>
          <w:szCs w:val="20"/>
        </w:rPr>
        <w:t xml:space="preserve">* Срок действия – до </w:t>
      </w:r>
      <w:r>
        <w:rPr>
          <w:rFonts w:ascii="Times New Roman" w:hAnsi="Times New Roman"/>
          <w:sz w:val="20"/>
          <w:szCs w:val="20"/>
        </w:rPr>
        <w:t xml:space="preserve">31.12.2025</w:t>
      </w:r>
      <w:r>
        <w:rPr>
          <w:sz w:val="20"/>
          <w:szCs w:val="20"/>
        </w:rPr>
        <w:t xml:space="preserve"> </w:t>
      </w:r>
      <w:r>
        <w:rPr>
          <w:sz w:val="20"/>
          <w:szCs w:val="20"/>
        </w:rPr>
        <w:t xml:space="preserve">(включительно).</w:t>
      </w:r>
      <w:r>
        <w:rPr>
          <w:sz w:val="20"/>
          <w:szCs w:val="20"/>
        </w:rPr>
      </w:r>
      <w:r>
        <w:rPr>
          <w:sz w:val="20"/>
          <w:szCs w:val="20"/>
        </w:rPr>
      </w:r>
    </w:p>
    <w:sectPr>
      <w:headerReference w:type="default" r:id="rId9"/>
      <w:headerReference w:type="first" r:id="rId10"/>
      <w:footnotePr/>
      <w:endnotePr/>
      <w:type w:val="continuous"/>
      <w:pgSz w:w="11906" w:h="16838" w:orient="portrait"/>
      <w:pgMar w:top="720" w:right="839" w:bottom="720" w:left="1287" w:header="567" w:footer="567" w:gutter="0"/>
      <w:cols w:num="1" w:sep="0" w:space="708"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font>
  <w:font w:name="Symbol">
    <w:panose1 w:val="05050102010706020507"/>
  </w:font>
  <w:font w:name="Courier New">
    <w:panose1 w:val="02070309020205020404"/>
  </w:font>
  <w:font w:name="Wingdings">
    <w:panose1 w:val="05000000000000000000"/>
  </w:font>
  <w:font w:name="TimesET">
    <w:panose1 w:val="02000603000000000000"/>
  </w:font>
  <w:font w:name="Tahoma">
    <w:panose1 w:val="020B0604030504040204"/>
  </w:font>
  <w:font w:name="Arial Unicode MS">
    <w:panose1 w:val="020B0604020202020204"/>
  </w:font>
  <w:font w:name="Arial">
    <w:panose1 w:val="020B0604020202020204"/>
  </w:font>
  <w:font w:name="Times New Roman">
    <w:panose1 w:val="02020603050405020304"/>
  </w:font>
  <w:font w:name="Calibri">
    <w:panose1 w:val="020F0502020204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 w:id="2">
    <w:p>
      <w:pPr>
        <w:pStyle w:val="1175"/>
        <w:jc w:val="both"/>
        <w:rPr>
          <w:lang w:val="ru-RU"/>
        </w:rPr>
      </w:pPr>
      <w:r>
        <w:rPr>
          <w:rStyle w:val="1180"/>
        </w:rPr>
        <w:footnoteRef/>
      </w:r>
      <w:r>
        <w:t xml:space="preserve"> </w:t>
      </w:r>
      <w:r>
        <w:rPr>
          <w:lang w:val="ru-RU"/>
        </w:rPr>
        <w:t xml:space="preserve">При наличии графика изменения лимита кредитования – комиссия начисляется </w:t>
      </w:r>
      <w:r>
        <w:rPr>
          <w:lang w:val="ru-RU"/>
        </w:rPr>
        <w:t xml:space="preserve">по формуле простых процентов </w:t>
      </w:r>
      <w:r>
        <w:rPr>
          <w:lang w:val="ru-RU"/>
        </w:rPr>
        <w:t xml:space="preserve">на сумму неиспользованного остатка лимита кредитования, действующего согласно </w:t>
      </w:r>
      <w:r>
        <w:rPr>
          <w:lang w:val="ru-RU"/>
        </w:rPr>
        <w:t xml:space="preserve">график</w:t>
      </w:r>
      <w:r>
        <w:rPr>
          <w:lang w:val="ru-RU"/>
        </w:rPr>
        <w:t xml:space="preserve">а</w:t>
      </w:r>
      <w:r>
        <w:rPr>
          <w:lang w:val="ru-RU"/>
        </w:rPr>
        <w:t xml:space="preserve"> изменения лимита кредитования</w:t>
      </w:r>
      <w:r>
        <w:rPr>
          <w:lang w:val="ru-RU"/>
        </w:rPr>
        <w:t xml:space="preserve">.</w:t>
      </w:r>
      <w:r>
        <w:rPr>
          <w:lang w:val="ru-RU"/>
        </w:rPr>
      </w:r>
      <w:r>
        <w:rPr>
          <w:lang w:val="ru-RU"/>
        </w:rPr>
      </w:r>
    </w:p>
  </w:footnote>
  <w:footnote w:id="3">
    <w:p>
      <w:pPr>
        <w:pStyle w:val="1175"/>
        <w:jc w:val="both"/>
        <w:rPr>
          <w:lang w:val="ru-RU"/>
        </w:rPr>
      </w:pPr>
      <w:r>
        <w:rPr>
          <w:rStyle w:val="1180"/>
        </w:rPr>
        <w:footnoteRef/>
      </w:r>
      <w:r>
        <w:t xml:space="preserve"> </w:t>
      </w:r>
      <w:r>
        <w:rPr>
          <w:bCs/>
          <w:lang w:val="ru-RU"/>
        </w:rPr>
        <w:t xml:space="preserve">В</w:t>
      </w:r>
      <w:r>
        <w:rPr>
          <w:bCs/>
        </w:rPr>
        <w:t xml:space="preserve"> том числе при установлении коммерческой ставки по кредиту</w:t>
      </w:r>
      <w:r>
        <w:rPr>
          <w:bCs/>
          <w:lang w:val="ru-RU"/>
        </w:rPr>
        <w:t xml:space="preserve"> </w:t>
      </w:r>
      <w:r>
        <w:rPr>
          <w:bCs/>
        </w:rPr>
        <w:t xml:space="preserve">(части кредита)</w:t>
      </w:r>
      <w:r>
        <w:rPr>
          <w:bCs/>
          <w:lang w:val="ru-RU"/>
        </w:rPr>
        <w:t xml:space="preserve"> в рамках льготных программ</w:t>
      </w:r>
      <w:r>
        <w:rPr>
          <w:bCs/>
          <w:lang w:val="ru-RU"/>
        </w:rPr>
        <w:t xml:space="preserve">.</w:t>
      </w:r>
      <w:r>
        <w:rPr>
          <w:lang w:val="ru-RU"/>
        </w:rPr>
      </w:r>
      <w:r>
        <w:rPr>
          <w:lang w:val="ru-RU"/>
        </w:rPr>
      </w:r>
    </w:p>
  </w:footnote>
  <w:footnote w:id="4">
    <w:p>
      <w:pPr>
        <w:pStyle w:val="1175"/>
        <w:jc w:val="both"/>
      </w:pPr>
      <w:r>
        <w:rPr>
          <w:rStyle w:val="1180"/>
        </w:rPr>
        <w:footnoteRef/>
      </w:r>
      <w:r>
        <w:t xml:space="preserve"> Срок, оставшийся до погашения – срок, оставшийся до погашения в соответствии с графиком погашения (возврата) кредита (основного долга)/окончательной даты возврата кредита (при отсутствии графика погашения (возврата) кредита (основного долга)).</w:t>
      </w:r>
      <w:r/>
    </w:p>
  </w:footnote>
  <w:footnote w:id="5">
    <w:p>
      <w:pPr>
        <w:pStyle w:val="1175"/>
      </w:pPr>
      <w:r>
        <w:rPr>
          <w:rStyle w:val="1180"/>
        </w:rPr>
        <w:footnoteRef/>
      </w:r>
      <w:r>
        <w:t xml:space="preserve"> В соответствии с пунктом 1</w:t>
      </w:r>
      <w:r>
        <w:rPr>
          <w:lang w:val="ru-RU"/>
        </w:rPr>
        <w:t xml:space="preserve">0.2</w:t>
      </w:r>
      <w:r>
        <w:t xml:space="preserve"> приказа АО «Россельхозбанк» от 01.08.2013 № 386-ОД.</w:t>
      </w:r>
      <w:r/>
    </w:p>
  </w:footnote>
  <w:footnote w:id="6">
    <w:p>
      <w:pPr>
        <w:pStyle w:val="1135"/>
        <w:ind w:right="-17"/>
        <w:jc w:val="both"/>
        <w:spacing w:before="40" w:after="40"/>
        <w:tabs>
          <w:tab w:val="left" w:pos="4464" w:leader="none"/>
          <w:tab w:val="left" w:pos="5760" w:leader="none"/>
        </w:tabs>
        <w:rPr>
          <w:sz w:val="20"/>
          <w:szCs w:val="20"/>
        </w:rPr>
      </w:pPr>
      <w:r>
        <w:rPr>
          <w:rStyle w:val="1180"/>
          <w:sz w:val="20"/>
          <w:szCs w:val="20"/>
        </w:rPr>
        <w:footnoteRef/>
      </w:r>
      <w:r>
        <w:rPr>
          <w:sz w:val="20"/>
          <w:szCs w:val="20"/>
        </w:rPr>
        <w:t xml:space="preserve"> </w:t>
      </w:r>
      <w:r>
        <w:rPr>
          <w:bCs/>
          <w:iCs/>
          <w:sz w:val="20"/>
          <w:szCs w:val="20"/>
        </w:rPr>
        <w:t xml:space="preserve">В настоящем разделе термин «Депонент» используется в значении, определенном ст. 7 Федерального закона от 22.04.1996 № 39-ФЗ «О рынке ценных бумаг</w:t>
      </w:r>
      <w:r>
        <w:rPr>
          <w:sz w:val="20"/>
          <w:szCs w:val="20"/>
        </w:rPr>
        <w:t xml:space="preserve">».</w:t>
      </w:r>
      <w:r>
        <w:rPr>
          <w:sz w:val="20"/>
          <w:szCs w:val="20"/>
        </w:rPr>
      </w:r>
      <w:r>
        <w:rPr>
          <w:sz w:val="20"/>
          <w:szCs w:val="20"/>
        </w:rPr>
      </w:r>
    </w:p>
  </w:footnote>
  <w:footnote w:id="7">
    <w:p>
      <w:pPr>
        <w:pStyle w:val="1135"/>
        <w:ind w:right="-17"/>
        <w:jc w:val="both"/>
        <w:spacing w:before="40" w:after="40"/>
        <w:tabs>
          <w:tab w:val="left" w:pos="4464" w:leader="none"/>
          <w:tab w:val="left" w:pos="5760" w:leader="none"/>
        </w:tabs>
        <w:rPr>
          <w:sz w:val="20"/>
          <w:szCs w:val="20"/>
        </w:rPr>
      </w:pPr>
      <w:r>
        <w:rPr>
          <w:rStyle w:val="1180"/>
          <w:sz w:val="20"/>
          <w:szCs w:val="20"/>
        </w:rPr>
        <w:footnoteRef/>
      </w:r>
      <w:r>
        <w:rPr>
          <w:sz w:val="20"/>
          <w:szCs w:val="20"/>
        </w:rPr>
        <w:t xml:space="preserve"> Средневзвешенная стоимость рассчитывается как сумма остатков ценных бумаг по календарным дням месяца деленная на количество дней в соответствующем месяце. Стоимость остатка</w:t>
      </w:r>
      <w:r>
        <w:rPr>
          <w:bCs/>
          <w:sz w:val="20"/>
          <w:szCs w:val="20"/>
        </w:rPr>
        <w:t xml:space="preserve"> по каждому выпуску ценных бумаг за календарный день определяется как произведение остатка в штуках на конец дня на рыночную стоимость (для акций и депо</w:t>
      </w:r>
      <w:r>
        <w:rPr>
          <w:bCs/>
          <w:sz w:val="20"/>
          <w:szCs w:val="20"/>
        </w:rPr>
        <w:t xml:space="preserve">зитарных расписок) или номинальную стоимость (для облигаций и ценных бумаг, не имеющих рыночной стоимости) ценных бумаг этого выпуска. Для выходных и праздничных дней значение остатка ценных бумаг принимается равным значению за предшествующий рабочий день.</w:t>
      </w:r>
      <w:r>
        <w:rPr>
          <w:sz w:val="20"/>
          <w:szCs w:val="20"/>
        </w:rPr>
      </w:r>
      <w:r>
        <w:rPr>
          <w:sz w:val="20"/>
          <w:szCs w:val="20"/>
        </w:rPr>
      </w:r>
    </w:p>
  </w:footnote>
  <w:footnote w:id="8">
    <w:p>
      <w:pPr>
        <w:pStyle w:val="1175"/>
        <w:rPr>
          <w:sz w:val="18"/>
          <w:szCs w:val="18"/>
        </w:rPr>
      </w:pPr>
      <w:r>
        <w:rPr>
          <w:rStyle w:val="1180"/>
          <w:sz w:val="18"/>
          <w:szCs w:val="18"/>
        </w:rPr>
        <w:footnoteRef/>
      </w:r>
      <w:r>
        <w:rPr>
          <w:sz w:val="18"/>
          <w:szCs w:val="18"/>
        </w:rPr>
        <w:t xml:space="preserve"> Комиссионное вознаграждение по операциям приема/выдачи слитков драгоценных металлов НДС не облагается. </w:t>
      </w:r>
      <w:r>
        <w:rPr>
          <w:sz w:val="18"/>
          <w:szCs w:val="18"/>
        </w:rPr>
      </w:r>
      <w:r>
        <w:rPr>
          <w:sz w:val="18"/>
          <w:szCs w:val="18"/>
        </w:rPr>
      </w:r>
    </w:p>
  </w:footnote>
  <w:footnote w:id="9">
    <w:p>
      <w:pPr>
        <w:pStyle w:val="1175"/>
        <w:jc w:val="both"/>
        <w:rPr>
          <w:lang w:val="ru-RU"/>
        </w:rPr>
      </w:pPr>
      <w:r>
        <w:rPr>
          <w:rStyle w:val="1180"/>
        </w:rPr>
        <w:footnoteRef/>
      </w:r>
      <w:r>
        <w:rPr>
          <w:sz w:val="18"/>
          <w:szCs w:val="18"/>
        </w:rPr>
        <w:t xml:space="preserve">Стоимость драгоценного металла определяется как произведение массы драгоценного металла, выдаваемого с банковского счета в драгоценных металлах и учетной цены драгоценного металла, установленной Банком России на день совершения операции.</w:t>
      </w:r>
      <w:r>
        <w:rPr>
          <w:lang w:val="ru-RU"/>
        </w:rPr>
      </w:r>
      <w:r>
        <w:rPr>
          <w:lang w:val="ru-RU"/>
        </w:rPr>
      </w:r>
    </w:p>
  </w:footnote>
  <w:footnote w:id="10">
    <w:p>
      <w:pPr>
        <w:pStyle w:val="1175"/>
        <w:jc w:val="both"/>
        <w:rPr>
          <w:lang w:val="ru-RU"/>
        </w:rPr>
      </w:pPr>
      <w:r>
        <w:rPr>
          <w:rStyle w:val="1180"/>
        </w:rPr>
        <w:footnoteRef/>
      </w:r>
      <w:r>
        <w:t xml:space="preserve"> </w:t>
      </w:r>
      <w:r>
        <w:rPr>
          <w:sz w:val="18"/>
          <w:szCs w:val="18"/>
        </w:rPr>
        <w:t xml:space="preserve">Стоимость драгоценного металла определяется как произведение массы драгоценного металла, выдаваемого с банковского счета в драгоценных металлах и учетной цены драгоценного металла, установленной Банком России на день совершения операции.</w:t>
      </w:r>
      <w:r>
        <w:rPr>
          <w:lang w:val="ru-RU"/>
        </w:rPr>
      </w:r>
      <w:r>
        <w:rPr>
          <w:lang w:val="ru-RU"/>
        </w:rPr>
      </w:r>
    </w:p>
  </w:footnote>
  <w:footnote w:id="11">
    <w:p>
      <w:pPr>
        <w:pStyle w:val="1135"/>
        <w:jc w:val="both"/>
        <w:rPr>
          <w:bCs/>
          <w:sz w:val="18"/>
          <w:szCs w:val="18"/>
          <w:lang w:eastAsia="en-US"/>
        </w:rPr>
      </w:pPr>
      <w:r>
        <w:rPr>
          <w:rStyle w:val="1180"/>
          <w:sz w:val="18"/>
          <w:szCs w:val="18"/>
        </w:rPr>
        <w:footnoteRef/>
      </w:r>
      <w:r>
        <w:rPr>
          <w:sz w:val="18"/>
          <w:szCs w:val="18"/>
        </w:rPr>
        <w:t xml:space="preserve"> </w:t>
      </w:r>
      <w:r>
        <w:t xml:space="preserve">[</w:t>
      </w:r>
      <w:r>
        <w:rPr>
          <w:bCs/>
          <w:sz w:val="18"/>
          <w:szCs w:val="18"/>
          <w:lang w:val="en-US" w:eastAsia="en-US"/>
        </w:rPr>
        <w:t xml:space="preserve">номер сноски указывается в соответствии с нумерацией сносок в Тарифах комиссионного вознаграждения на услуги </w:t>
      </w:r>
      <w:r>
        <w:rPr>
          <w:bCs/>
          <w:sz w:val="18"/>
          <w:szCs w:val="18"/>
          <w:lang w:val="en-US" w:eastAsia="en-US"/>
        </w:rPr>
        <w:br w:type="textWrapping" w:clear="all"/>
      </w:r>
      <w:r>
        <w:rPr>
          <w:bCs/>
          <w:sz w:val="18"/>
          <w:szCs w:val="18"/>
          <w:lang w:val="en-US" w:eastAsia="en-US"/>
        </w:rPr>
        <w:t xml:space="preserve">АО «Россельхозбанк» юридическим лицам, субъектам Российской Федерации, муниципальным образованиям, индивидуальным предпринимателям и физическим лицам, занимающимся в установленном законодательством Российской Федерации порядке частной практикой</w:t>
      </w:r>
      <w:r>
        <w:rPr>
          <w:bCs/>
          <w:sz w:val="18"/>
          <w:szCs w:val="18"/>
          <w:lang w:eastAsia="en-US"/>
        </w:rPr>
        <w:t xml:space="preserve">]</w:t>
      </w:r>
      <w:r>
        <w:rPr>
          <w:bCs/>
          <w:sz w:val="18"/>
          <w:szCs w:val="18"/>
          <w:lang w:eastAsia="en-US"/>
        </w:rPr>
      </w:r>
      <w:r>
        <w:rPr>
          <w:bCs/>
          <w:sz w:val="18"/>
          <w:szCs w:val="18"/>
          <w:lang w:eastAsia="en-US"/>
        </w:rPr>
      </w:r>
    </w:p>
    <w:p>
      <w:pPr>
        <w:pStyle w:val="1175"/>
        <w:jc w:val="both"/>
        <w:rPr>
          <w:bCs/>
          <w:sz w:val="18"/>
          <w:szCs w:val="18"/>
          <w:lang w:val="ru-RU"/>
        </w:rPr>
      </w:pPr>
      <w:r>
        <w:rPr>
          <w:bCs/>
          <w:sz w:val="18"/>
          <w:szCs w:val="18"/>
        </w:rPr>
        <w:t xml:space="preserve">Логин </w:t>
      </w:r>
      <w:r>
        <w:rPr>
          <w:bCs/>
          <w:sz w:val="18"/>
          <w:szCs w:val="18"/>
        </w:rPr>
        <w:t xml:space="preserve">для доступа к Торговой системе РСХБ-Дилинг АО «Россельхозбанк»</w:t>
      </w:r>
      <w:r>
        <w:rPr>
          <w:bCs/>
          <w:sz w:val="18"/>
          <w:szCs w:val="18"/>
        </w:rPr>
        <w:t xml:space="preserve">– уникальное имя Клиента в Торговой системе</w:t>
      </w:r>
      <w:r>
        <w:rPr>
          <w:bCs/>
          <w:sz w:val="18"/>
          <w:szCs w:val="18"/>
        </w:rPr>
        <w:t xml:space="preserve"> РСХБ-Дилинг АО «Россельхозбанк»</w:t>
      </w:r>
      <w:r>
        <w:rPr>
          <w:bCs/>
          <w:sz w:val="18"/>
          <w:szCs w:val="18"/>
        </w:rPr>
        <w:t xml:space="preserve">, обеспечивающее в сочетании с паролем однозначную аутентификацию Клиента в Торговой системе</w:t>
      </w:r>
      <w:r>
        <w:rPr>
          <w:bCs/>
          <w:sz w:val="18"/>
          <w:szCs w:val="18"/>
        </w:rPr>
        <w:t xml:space="preserve"> РСХБ-Дилинг АО «Россельхозбанк»</w:t>
      </w:r>
      <w:r>
        <w:rPr>
          <w:bCs/>
          <w:sz w:val="18"/>
          <w:szCs w:val="18"/>
          <w:lang w:val="ru-RU"/>
        </w:rPr>
        <w:t xml:space="preserve">.</w:t>
      </w:r>
      <w:r>
        <w:rPr>
          <w:bCs/>
          <w:sz w:val="18"/>
          <w:szCs w:val="18"/>
          <w:lang w:val="ru-RU"/>
        </w:rPr>
      </w:r>
      <w:r>
        <w:rPr>
          <w:bCs/>
          <w:sz w:val="18"/>
          <w:szCs w:val="18"/>
          <w:lang w:val="ru-RU"/>
        </w:rPr>
      </w:r>
    </w:p>
  </w:footnote>
  <w:footnote w:id="12">
    <w:p>
      <w:pPr>
        <w:pStyle w:val="1135"/>
        <w:jc w:val="both"/>
        <w:rPr>
          <w:bCs/>
          <w:sz w:val="18"/>
          <w:szCs w:val="18"/>
          <w:lang w:eastAsia="en-US"/>
        </w:rPr>
      </w:pPr>
      <w:r>
        <w:rPr>
          <w:rStyle w:val="1180"/>
          <w:sz w:val="18"/>
          <w:szCs w:val="18"/>
        </w:rPr>
        <w:footnoteRef/>
      </w:r>
      <w:r>
        <w:rPr>
          <w:sz w:val="18"/>
          <w:szCs w:val="18"/>
        </w:rPr>
        <w:t xml:space="preserve"> </w:t>
      </w:r>
      <w:r>
        <w:t xml:space="preserve">[</w:t>
      </w:r>
      <w:r>
        <w:rPr>
          <w:bCs/>
          <w:sz w:val="18"/>
          <w:szCs w:val="18"/>
          <w:lang w:val="en-US" w:eastAsia="en-US"/>
        </w:rPr>
        <w:t xml:space="preserve">номер сноски указывается в соответствии с нумерацией сносок в Тарифах комиссионного вознаграждения на услуги </w:t>
      </w:r>
      <w:r>
        <w:rPr>
          <w:bCs/>
          <w:sz w:val="18"/>
          <w:szCs w:val="18"/>
          <w:lang w:val="en-US" w:eastAsia="en-US"/>
        </w:rPr>
        <w:br w:type="textWrapping" w:clear="all"/>
      </w:r>
      <w:r>
        <w:rPr>
          <w:bCs/>
          <w:sz w:val="18"/>
          <w:szCs w:val="18"/>
          <w:lang w:val="en-US" w:eastAsia="en-US"/>
        </w:rPr>
        <w:t xml:space="preserve">АО «Россельхозбанк» юридическим лицам, субъектам Российской Федерации, муниципальным образованиям, индивидуальным предпринимателям и физическим лицам, занимающимся в установленном законодательством Российской Федерации порядке частной практикой</w:t>
      </w:r>
      <w:r>
        <w:rPr>
          <w:bCs/>
          <w:sz w:val="18"/>
          <w:szCs w:val="18"/>
          <w:lang w:eastAsia="en-US"/>
        </w:rPr>
        <w:t xml:space="preserve">]</w:t>
      </w:r>
      <w:r>
        <w:rPr>
          <w:bCs/>
          <w:sz w:val="18"/>
          <w:szCs w:val="18"/>
          <w:lang w:eastAsia="en-US"/>
        </w:rPr>
      </w:r>
      <w:r>
        <w:rPr>
          <w:bCs/>
          <w:sz w:val="18"/>
          <w:szCs w:val="18"/>
          <w:lang w:eastAsia="en-US"/>
        </w:rPr>
      </w:r>
    </w:p>
    <w:p>
      <w:pPr>
        <w:pStyle w:val="1175"/>
        <w:jc w:val="both"/>
        <w:rPr>
          <w:sz w:val="18"/>
          <w:szCs w:val="18"/>
          <w:lang w:val="ru-RU"/>
        </w:rPr>
      </w:pPr>
      <w:r>
        <w:rPr>
          <w:bCs/>
          <w:sz w:val="18"/>
          <w:szCs w:val="18"/>
        </w:rPr>
        <w:t xml:space="preserve">Логин </w:t>
      </w:r>
      <w:r>
        <w:rPr>
          <w:bCs/>
          <w:sz w:val="18"/>
          <w:szCs w:val="18"/>
          <w:lang w:val="ru-RU"/>
        </w:rPr>
        <w:t xml:space="preserve">для доступа к Торговой системе РСХБ –Дилинг 2.0</w:t>
      </w:r>
      <w:r>
        <w:rPr>
          <w:bCs/>
          <w:sz w:val="18"/>
          <w:szCs w:val="18"/>
        </w:rPr>
        <w:t xml:space="preserve">– уникальное имя Клиента в Торговой системе</w:t>
      </w:r>
      <w:r>
        <w:rPr>
          <w:bCs/>
          <w:sz w:val="18"/>
          <w:szCs w:val="18"/>
          <w:lang w:val="ru-RU"/>
        </w:rPr>
        <w:t xml:space="preserve"> РСХБ-Дилинг 2.0</w:t>
      </w:r>
      <w:r>
        <w:rPr>
          <w:bCs/>
          <w:sz w:val="18"/>
          <w:szCs w:val="18"/>
        </w:rPr>
        <w:t xml:space="preserve">, обеспечивающее в сочетании с паролем однозначную аутентификацию Клиента в Торговой системе</w:t>
      </w:r>
      <w:r>
        <w:rPr>
          <w:bCs/>
          <w:sz w:val="18"/>
          <w:szCs w:val="18"/>
          <w:lang w:val="ru-RU"/>
        </w:rPr>
        <w:t xml:space="preserve"> РСХБ Дилинг 2.0.</w:t>
      </w:r>
      <w:r>
        <w:rPr>
          <w:sz w:val="18"/>
          <w:szCs w:val="18"/>
          <w:lang w:val="ru-RU"/>
        </w:rPr>
      </w:r>
      <w:r>
        <w:rPr>
          <w:sz w:val="18"/>
          <w:szCs w:val="18"/>
          <w:lang w:val="ru-RU"/>
        </w:rP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135"/>
      <w:rPr>
        <w:sz w:val="20"/>
        <w:szCs w:val="20"/>
      </w:rPr>
      <w:framePr w:vAnchor="text" w:hAnchor="margin" w:xAlign="center" w:y="1"/>
    </w:pPr>
    <w:r>
      <w:rPr>
        <w:sz w:val="20"/>
        <w:szCs w:val="20"/>
      </w:rPr>
      <w:fldChar w:fldCharType="begin"/>
    </w:r>
    <w:r>
      <w:rPr>
        <w:sz w:val="20"/>
        <w:szCs w:val="20"/>
      </w:rPr>
      <w:instrText xml:space="preserve">PAGE  </w:instrText>
    </w:r>
    <w:r>
      <w:rPr>
        <w:sz w:val="20"/>
        <w:szCs w:val="20"/>
      </w:rPr>
      <w:fldChar w:fldCharType="separate"/>
    </w:r>
    <w:r>
      <w:rPr>
        <w:sz w:val="20"/>
        <w:szCs w:val="20"/>
      </w:rPr>
      <w:t xml:space="preserve">64</w:t>
    </w:r>
    <w:r>
      <w:rPr>
        <w:sz w:val="20"/>
        <w:szCs w:val="20"/>
      </w:rPr>
      <w:fldChar w:fldCharType="end"/>
    </w:r>
    <w:r>
      <w:rPr>
        <w:sz w:val="20"/>
        <w:szCs w:val="20"/>
      </w:rPr>
    </w:r>
    <w:r>
      <w:rPr>
        <w:sz w:val="20"/>
        <w:szCs w:val="20"/>
      </w:rPr>
    </w:r>
  </w:p>
  <w:p>
    <w:pPr>
      <w:pStyle w:val="1135"/>
    </w:pPr>
    <w: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166"/>
      <w:rPr>
        <w:color w:val="ffffff"/>
      </w:rPr>
    </w:pPr>
    <w:r>
      <w:rPr>
        <w:color w:val="ffffff"/>
      </w:rPr>
      <w:t xml:space="preserve">2013.10.01</w:t>
    </w:r>
    <w:r>
      <w:rPr>
        <w:color w:val="ffffff"/>
      </w:rPr>
    </w:r>
    <w:r>
      <w:rPr>
        <w:color w:val="ffffff"/>
      </w:rP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bullet"/>
      <w:isLgl w:val="false"/>
      <w:suff w:val="tab"/>
      <w:lvlText w:val=""/>
      <w:lvlJc w:val="left"/>
      <w:pPr>
        <w:ind w:left="1797" w:hanging="360"/>
      </w:pPr>
      <w:rPr>
        <w:rFonts w:ascii="Wingdings" w:hAnsi="Wingdings"/>
      </w:rPr>
    </w:lvl>
    <w:lvl w:ilvl="1">
      <w:start w:val="1"/>
      <w:numFmt w:val="bullet"/>
      <w:isLgl w:val="false"/>
      <w:suff w:val="tab"/>
      <w:lvlText w:val="o"/>
      <w:lvlJc w:val="left"/>
      <w:pPr>
        <w:ind w:left="2517" w:hanging="360"/>
      </w:pPr>
      <w:rPr>
        <w:rFonts w:ascii="Courier New" w:hAnsi="Courier New" w:cs="Courier New"/>
      </w:rPr>
    </w:lvl>
    <w:lvl w:ilvl="2">
      <w:start w:val="1"/>
      <w:numFmt w:val="bullet"/>
      <w:isLgl w:val="false"/>
      <w:suff w:val="tab"/>
      <w:lvlText w:val=""/>
      <w:lvlJc w:val="left"/>
      <w:pPr>
        <w:ind w:left="3237" w:hanging="360"/>
      </w:pPr>
      <w:rPr>
        <w:rFonts w:ascii="Wingdings" w:hAnsi="Wingdings"/>
      </w:rPr>
    </w:lvl>
    <w:lvl w:ilvl="3">
      <w:start w:val="1"/>
      <w:numFmt w:val="bullet"/>
      <w:isLgl w:val="false"/>
      <w:suff w:val="tab"/>
      <w:lvlText w:val=""/>
      <w:lvlJc w:val="left"/>
      <w:pPr>
        <w:ind w:left="3957" w:hanging="360"/>
      </w:pPr>
      <w:rPr>
        <w:rFonts w:ascii="Symbol" w:hAnsi="Symbol"/>
      </w:rPr>
    </w:lvl>
    <w:lvl w:ilvl="4">
      <w:start w:val="1"/>
      <w:numFmt w:val="bullet"/>
      <w:isLgl w:val="false"/>
      <w:suff w:val="tab"/>
      <w:lvlText w:val="o"/>
      <w:lvlJc w:val="left"/>
      <w:pPr>
        <w:ind w:left="4677" w:hanging="360"/>
      </w:pPr>
      <w:rPr>
        <w:rFonts w:ascii="Courier New" w:hAnsi="Courier New" w:cs="Courier New"/>
      </w:rPr>
    </w:lvl>
    <w:lvl w:ilvl="5">
      <w:start w:val="1"/>
      <w:numFmt w:val="bullet"/>
      <w:isLgl w:val="false"/>
      <w:suff w:val="tab"/>
      <w:lvlText w:val=""/>
      <w:lvlJc w:val="left"/>
      <w:pPr>
        <w:ind w:left="5397" w:hanging="360"/>
      </w:pPr>
      <w:rPr>
        <w:rFonts w:ascii="Wingdings" w:hAnsi="Wingdings"/>
      </w:rPr>
    </w:lvl>
    <w:lvl w:ilvl="6">
      <w:start w:val="1"/>
      <w:numFmt w:val="bullet"/>
      <w:isLgl w:val="false"/>
      <w:suff w:val="tab"/>
      <w:lvlText w:val=""/>
      <w:lvlJc w:val="left"/>
      <w:pPr>
        <w:ind w:left="6117" w:hanging="360"/>
      </w:pPr>
      <w:rPr>
        <w:rFonts w:ascii="Symbol" w:hAnsi="Symbol"/>
      </w:rPr>
    </w:lvl>
    <w:lvl w:ilvl="7">
      <w:start w:val="1"/>
      <w:numFmt w:val="bullet"/>
      <w:isLgl w:val="false"/>
      <w:suff w:val="tab"/>
      <w:lvlText w:val="o"/>
      <w:lvlJc w:val="left"/>
      <w:pPr>
        <w:ind w:left="6837" w:hanging="360"/>
      </w:pPr>
      <w:rPr>
        <w:rFonts w:ascii="Courier New" w:hAnsi="Courier New" w:cs="Courier New"/>
      </w:rPr>
    </w:lvl>
    <w:lvl w:ilvl="8">
      <w:start w:val="1"/>
      <w:numFmt w:val="bullet"/>
      <w:isLgl w:val="false"/>
      <w:suff w:val="tab"/>
      <w:lvlText w:val=""/>
      <w:lvlJc w:val="left"/>
      <w:pPr>
        <w:ind w:left="7557" w:hanging="360"/>
      </w:pPr>
      <w:rPr>
        <w:rFonts w:ascii="Wingdings" w:hAnsi="Wingdings"/>
      </w:rPr>
    </w:lvl>
  </w:abstractNum>
  <w:abstractNum w:abstractNumId="1">
    <w:multiLevelType w:val="hybridMultilevel"/>
    <w:lvl w:ilvl="0">
      <w:start w:val="1"/>
      <w:numFmt w:val="decimal"/>
      <w:isLgl w:val="false"/>
      <w:suff w:val="tab"/>
      <w:lvlText w:val="%1."/>
      <w:lvlJc w:val="left"/>
      <w:pPr>
        <w:ind w:left="1080" w:hanging="360"/>
      </w:pPr>
      <w:rPr>
        <w:color w:val="000000"/>
      </w:rPr>
    </w:lvl>
    <w:lvl w:ilvl="1">
      <w:start w:val="1"/>
      <w:numFmt w:val="lowerLetter"/>
      <w:isLgl w:val="false"/>
      <w:suff w:val="tab"/>
      <w:lvlText w:val="%2."/>
      <w:lvlJc w:val="left"/>
      <w:pPr>
        <w:ind w:left="1800" w:hanging="360"/>
      </w:pPr>
    </w:lvl>
    <w:lvl w:ilvl="2">
      <w:start w:val="1"/>
      <w:numFmt w:val="lowerRoman"/>
      <w:isLgl w:val="false"/>
      <w:suff w:val="tab"/>
      <w:lvlText w:val="%3."/>
      <w:lvlJc w:val="right"/>
      <w:pPr>
        <w:ind w:left="2520" w:hanging="180"/>
      </w:pPr>
    </w:lvl>
    <w:lvl w:ilvl="3">
      <w:start w:val="1"/>
      <w:numFmt w:val="decimal"/>
      <w:isLgl w:val="false"/>
      <w:suff w:val="tab"/>
      <w:lvlText w:val="%4."/>
      <w:lvlJc w:val="left"/>
      <w:pPr>
        <w:ind w:left="3240" w:hanging="360"/>
      </w:pPr>
    </w:lvl>
    <w:lvl w:ilvl="4">
      <w:start w:val="1"/>
      <w:numFmt w:val="lowerLetter"/>
      <w:isLgl w:val="false"/>
      <w:suff w:val="tab"/>
      <w:lvlText w:val="%5."/>
      <w:lvlJc w:val="left"/>
      <w:pPr>
        <w:ind w:left="3960" w:hanging="360"/>
      </w:pPr>
    </w:lvl>
    <w:lvl w:ilvl="5">
      <w:start w:val="1"/>
      <w:numFmt w:val="lowerRoman"/>
      <w:isLgl w:val="false"/>
      <w:suff w:val="tab"/>
      <w:lvlText w:val="%6."/>
      <w:lvlJc w:val="right"/>
      <w:pPr>
        <w:ind w:left="4680" w:hanging="180"/>
      </w:pPr>
    </w:lvl>
    <w:lvl w:ilvl="6">
      <w:start w:val="1"/>
      <w:numFmt w:val="decimal"/>
      <w:isLgl w:val="false"/>
      <w:suff w:val="tab"/>
      <w:lvlText w:val="%7."/>
      <w:lvlJc w:val="left"/>
      <w:pPr>
        <w:ind w:left="5400" w:hanging="360"/>
      </w:pPr>
    </w:lvl>
    <w:lvl w:ilvl="7">
      <w:start w:val="1"/>
      <w:numFmt w:val="lowerLetter"/>
      <w:isLgl w:val="false"/>
      <w:suff w:val="tab"/>
      <w:lvlText w:val="%8."/>
      <w:lvlJc w:val="left"/>
      <w:pPr>
        <w:ind w:left="6120" w:hanging="360"/>
      </w:pPr>
    </w:lvl>
    <w:lvl w:ilvl="8">
      <w:start w:val="1"/>
      <w:numFmt w:val="lowerRoman"/>
      <w:isLgl w:val="false"/>
      <w:suff w:val="tab"/>
      <w:lvlText w:val="%9."/>
      <w:lvlJc w:val="right"/>
      <w:pPr>
        <w:ind w:left="6840" w:hanging="180"/>
      </w:pPr>
    </w:lvl>
  </w:abstractNum>
  <w:abstractNum w:abstractNumId="2">
    <w:multiLevelType w:val="hybridMultilevel"/>
    <w:lvl w:ilvl="0">
      <w:start w:val="1"/>
      <w:numFmt w:val="decimal"/>
      <w:isLgl w:val="false"/>
      <w:suff w:val="tab"/>
      <w:lvlText w:val="%1."/>
      <w:lvlJc w:val="left"/>
      <w:pPr>
        <w:ind w:left="960" w:hanging="360"/>
        <w:tabs>
          <w:tab w:val="num" w:pos="960" w:leader="none"/>
        </w:tabs>
      </w:pPr>
    </w:lvl>
    <w:lvl w:ilvl="1">
      <w:start w:val="1"/>
      <w:numFmt w:val="decimal"/>
      <w:isLgl w:val="false"/>
      <w:suff w:val="tab"/>
      <w:lvlText w:val="%2."/>
      <w:lvlJc w:val="left"/>
      <w:pPr>
        <w:ind w:left="1440" w:hanging="360"/>
        <w:tabs>
          <w:tab w:val="num" w:pos="1440" w:leader="none"/>
        </w:tabs>
      </w:pPr>
    </w:lvl>
    <w:lvl w:ilvl="2">
      <w:start w:val="1"/>
      <w:numFmt w:val="decimal"/>
      <w:isLgl w:val="false"/>
      <w:suff w:val="tab"/>
      <w:lvlText w:val="%3."/>
      <w:lvlJc w:val="left"/>
      <w:pPr>
        <w:ind w:left="2160" w:hanging="36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decimal"/>
      <w:isLgl w:val="false"/>
      <w:suff w:val="tab"/>
      <w:lvlText w:val="%5."/>
      <w:lvlJc w:val="left"/>
      <w:pPr>
        <w:ind w:left="3600" w:hanging="360"/>
        <w:tabs>
          <w:tab w:val="num" w:pos="3600" w:leader="none"/>
        </w:tabs>
      </w:pPr>
    </w:lvl>
    <w:lvl w:ilvl="5">
      <w:start w:val="1"/>
      <w:numFmt w:val="decimal"/>
      <w:isLgl w:val="false"/>
      <w:suff w:val="tab"/>
      <w:lvlText w:val="%6."/>
      <w:lvlJc w:val="left"/>
      <w:pPr>
        <w:ind w:left="4320" w:hanging="36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decimal"/>
      <w:isLgl w:val="false"/>
      <w:suff w:val="tab"/>
      <w:lvlText w:val="%8."/>
      <w:lvlJc w:val="left"/>
      <w:pPr>
        <w:ind w:left="5760" w:hanging="360"/>
        <w:tabs>
          <w:tab w:val="num" w:pos="5760" w:leader="none"/>
        </w:tabs>
      </w:pPr>
    </w:lvl>
    <w:lvl w:ilvl="8">
      <w:start w:val="1"/>
      <w:numFmt w:val="decimal"/>
      <w:isLgl w:val="false"/>
      <w:suff w:val="tab"/>
      <w:lvlText w:val="%9."/>
      <w:lvlJc w:val="left"/>
      <w:pPr>
        <w:ind w:left="6480" w:hanging="360"/>
        <w:tabs>
          <w:tab w:val="num" w:pos="6480" w:leader="none"/>
        </w:tabs>
      </w:pPr>
    </w:lvl>
  </w:abstractNum>
  <w:abstractNum w:abstractNumId="3">
    <w:multiLevelType w:val="hybridMultilevel"/>
    <w:lvl w:ilvl="0">
      <w:start w:val="1"/>
      <w:numFmt w:val="decimal"/>
      <w:isLgl w:val="false"/>
      <w:suff w:val="tab"/>
      <w:lvlText w:val="%1"/>
      <w:lvlJc w:val="left"/>
      <w:pPr>
        <w:ind w:left="360" w:hanging="360"/>
      </w:pPr>
    </w:lvl>
    <w:lvl w:ilvl="1">
      <w:start w:val="1"/>
      <w:numFmt w:val="decimal"/>
      <w:isLgl w:val="false"/>
      <w:suff w:val="tab"/>
      <w:lvlText w:val="%1.%2"/>
      <w:lvlJc w:val="left"/>
      <w:pPr>
        <w:ind w:left="720" w:hanging="360"/>
      </w:pPr>
    </w:lvl>
    <w:lvl w:ilvl="2">
      <w:start w:val="1"/>
      <w:numFmt w:val="decimal"/>
      <w:isLgl w:val="false"/>
      <w:suff w:val="tab"/>
      <w:lvlText w:val="%1.%2.%3"/>
      <w:lvlJc w:val="left"/>
      <w:pPr>
        <w:ind w:left="1440" w:hanging="720"/>
      </w:pPr>
    </w:lvl>
    <w:lvl w:ilvl="3">
      <w:start w:val="1"/>
      <w:numFmt w:val="decimal"/>
      <w:isLgl w:val="false"/>
      <w:suff w:val="tab"/>
      <w:lvlText w:val="%1.%2.%3.%4"/>
      <w:lvlJc w:val="left"/>
      <w:pPr>
        <w:ind w:left="1800" w:hanging="720"/>
      </w:pPr>
    </w:lvl>
    <w:lvl w:ilvl="4">
      <w:start w:val="1"/>
      <w:numFmt w:val="decimal"/>
      <w:isLgl w:val="false"/>
      <w:suff w:val="tab"/>
      <w:lvlText w:val="%1.%2.%3.%4.%5"/>
      <w:lvlJc w:val="left"/>
      <w:pPr>
        <w:ind w:left="2160" w:hanging="720"/>
      </w:pPr>
    </w:lvl>
    <w:lvl w:ilvl="5">
      <w:start w:val="1"/>
      <w:numFmt w:val="decimal"/>
      <w:isLgl w:val="false"/>
      <w:suff w:val="tab"/>
      <w:lvlText w:val="%1.%2.%3.%4.%5.%6"/>
      <w:lvlJc w:val="left"/>
      <w:pPr>
        <w:ind w:left="2880" w:hanging="1080"/>
      </w:pPr>
    </w:lvl>
    <w:lvl w:ilvl="6">
      <w:start w:val="1"/>
      <w:numFmt w:val="decimal"/>
      <w:isLgl w:val="false"/>
      <w:suff w:val="tab"/>
      <w:lvlText w:val="%1.%2.%3.%4.%5.%6.%7"/>
      <w:lvlJc w:val="left"/>
      <w:pPr>
        <w:ind w:left="3240" w:hanging="1080"/>
      </w:pPr>
    </w:lvl>
    <w:lvl w:ilvl="7">
      <w:start w:val="1"/>
      <w:numFmt w:val="decimal"/>
      <w:isLgl w:val="false"/>
      <w:suff w:val="tab"/>
      <w:lvlText w:val="%1.%2.%3.%4.%5.%6.%7.%8"/>
      <w:lvlJc w:val="left"/>
      <w:pPr>
        <w:ind w:left="3960" w:hanging="1440"/>
      </w:pPr>
    </w:lvl>
    <w:lvl w:ilvl="8">
      <w:start w:val="1"/>
      <w:numFmt w:val="decimal"/>
      <w:isLgl w:val="false"/>
      <w:suff w:val="tab"/>
      <w:lvlText w:val="%1.%2.%3.%4.%5.%6.%7.%8.%9"/>
      <w:lvlJc w:val="left"/>
      <w:pPr>
        <w:ind w:left="4320" w:hanging="1440"/>
      </w:pPr>
    </w:lvl>
  </w:abstractNum>
  <w:abstractNum w:abstractNumId="4">
    <w:multiLevelType w:val="hybridMultilevel"/>
    <w:lvl w:ilvl="0">
      <w:start w:val="1"/>
      <w:numFmt w:val="decimal"/>
      <w:isLgl w:val="false"/>
      <w:suff w:val="tab"/>
      <w:lvlText w:val="%1."/>
      <w:lvlJc w:val="left"/>
      <w:pPr>
        <w:ind w:left="915" w:hanging="555"/>
      </w:pPr>
      <w:rPr>
        <w:rFonts w:eastAsia="Times New Roman"/>
        <w:color w:val="000000"/>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5">
    <w:multiLevelType w:val="hybridMultilevel"/>
    <w:lvl w:ilvl="0">
      <w:start w:val="1"/>
      <w:numFmt w:val="decimal"/>
      <w:isLgl w:val="false"/>
      <w:suff w:val="tab"/>
      <w:lvlText w:val="%1."/>
      <w:lvlJc w:val="left"/>
      <w:pPr>
        <w:ind w:left="720" w:hanging="360"/>
      </w:pPr>
    </w:lvl>
    <w:lvl w:ilvl="1">
      <w:start w:val="1"/>
      <w:numFmt w:val="decimal"/>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6">
    <w:multiLevelType w:val="hybridMultilevel"/>
    <w:lvl w:ilvl="0">
      <w:start w:val="1"/>
      <w:numFmt w:val="bullet"/>
      <w:isLgl w:val="false"/>
      <w:suff w:val="tab"/>
      <w:lvlText w:val=""/>
      <w:lvlJc w:val="left"/>
      <w:pPr>
        <w:ind w:left="1440" w:hanging="360"/>
      </w:pPr>
      <w:rPr>
        <w:rFonts w:ascii="Symbol" w:hAnsi="Symbol"/>
      </w:rPr>
    </w:lvl>
    <w:lvl w:ilvl="1">
      <w:start w:val="1"/>
      <w:numFmt w:val="bullet"/>
      <w:isLgl w:val="false"/>
      <w:suff w:val="tab"/>
      <w:lvlText w:val="o"/>
      <w:lvlJc w:val="left"/>
      <w:pPr>
        <w:ind w:left="2160" w:hanging="360"/>
      </w:pPr>
      <w:rPr>
        <w:rFonts w:ascii="Courier New" w:hAnsi="Courier New" w:cs="Courier New"/>
      </w:rPr>
    </w:lvl>
    <w:lvl w:ilvl="2">
      <w:start w:val="1"/>
      <w:numFmt w:val="bullet"/>
      <w:isLgl w:val="false"/>
      <w:suff w:val="tab"/>
      <w:lvlText w:val=""/>
      <w:lvlJc w:val="left"/>
      <w:pPr>
        <w:ind w:left="2880" w:hanging="360"/>
      </w:pPr>
      <w:rPr>
        <w:rFonts w:ascii="Wingdings" w:hAnsi="Wingdings"/>
      </w:rPr>
    </w:lvl>
    <w:lvl w:ilvl="3">
      <w:start w:val="1"/>
      <w:numFmt w:val="bullet"/>
      <w:isLgl w:val="false"/>
      <w:suff w:val="tab"/>
      <w:lvlText w:val=""/>
      <w:lvlJc w:val="left"/>
      <w:pPr>
        <w:ind w:left="3600" w:hanging="360"/>
      </w:pPr>
      <w:rPr>
        <w:rFonts w:ascii="Symbol" w:hAnsi="Symbol"/>
      </w:rPr>
    </w:lvl>
    <w:lvl w:ilvl="4">
      <w:start w:val="1"/>
      <w:numFmt w:val="bullet"/>
      <w:isLgl w:val="false"/>
      <w:suff w:val="tab"/>
      <w:lvlText w:val="o"/>
      <w:lvlJc w:val="left"/>
      <w:pPr>
        <w:ind w:left="4320" w:hanging="360"/>
      </w:pPr>
      <w:rPr>
        <w:rFonts w:ascii="Courier New" w:hAnsi="Courier New" w:cs="Courier New"/>
      </w:rPr>
    </w:lvl>
    <w:lvl w:ilvl="5">
      <w:start w:val="1"/>
      <w:numFmt w:val="bullet"/>
      <w:isLgl w:val="false"/>
      <w:suff w:val="tab"/>
      <w:lvlText w:val=""/>
      <w:lvlJc w:val="left"/>
      <w:pPr>
        <w:ind w:left="5040" w:hanging="360"/>
      </w:pPr>
      <w:rPr>
        <w:rFonts w:ascii="Wingdings" w:hAnsi="Wingdings"/>
      </w:rPr>
    </w:lvl>
    <w:lvl w:ilvl="6">
      <w:start w:val="1"/>
      <w:numFmt w:val="bullet"/>
      <w:isLgl w:val="false"/>
      <w:suff w:val="tab"/>
      <w:lvlText w:val=""/>
      <w:lvlJc w:val="left"/>
      <w:pPr>
        <w:ind w:left="5760" w:hanging="360"/>
      </w:pPr>
      <w:rPr>
        <w:rFonts w:ascii="Symbol" w:hAnsi="Symbol"/>
      </w:rPr>
    </w:lvl>
    <w:lvl w:ilvl="7">
      <w:start w:val="1"/>
      <w:numFmt w:val="bullet"/>
      <w:isLgl w:val="false"/>
      <w:suff w:val="tab"/>
      <w:lvlText w:val="o"/>
      <w:lvlJc w:val="left"/>
      <w:pPr>
        <w:ind w:left="6480" w:hanging="360"/>
      </w:pPr>
      <w:rPr>
        <w:rFonts w:ascii="Courier New" w:hAnsi="Courier New" w:cs="Courier New"/>
      </w:rPr>
    </w:lvl>
    <w:lvl w:ilvl="8">
      <w:start w:val="1"/>
      <w:numFmt w:val="bullet"/>
      <w:isLgl w:val="false"/>
      <w:suff w:val="tab"/>
      <w:lvlText w:val=""/>
      <w:lvlJc w:val="left"/>
      <w:pPr>
        <w:ind w:left="7200" w:hanging="360"/>
      </w:pPr>
      <w:rPr>
        <w:rFonts w:ascii="Wingdings" w:hAnsi="Wingdings"/>
      </w:rPr>
    </w:lvl>
  </w:abstractNum>
  <w:abstractNum w:abstractNumId="7">
    <w:multiLevelType w:val="hybridMultilevel"/>
    <w:lvl w:ilvl="0">
      <w:start w:val="1"/>
      <w:numFmt w:val="decimal"/>
      <w:isLgl w:val="false"/>
      <w:suff w:val="tab"/>
      <w:lvlText w:val="%1."/>
      <w:lvlJc w:val="left"/>
      <w:pPr>
        <w:ind w:left="360" w:hanging="360"/>
      </w:pPr>
    </w:lvl>
    <w:lvl w:ilvl="1">
      <w:start w:val="1"/>
      <w:numFmt w:val="decimal"/>
      <w:isLgl w:val="false"/>
      <w:suff w:val="tab"/>
      <w:lvlText w:val="%1.%2."/>
      <w:lvlJc w:val="left"/>
      <w:pPr>
        <w:ind w:left="360" w:hanging="360"/>
      </w:pPr>
    </w:lvl>
    <w:lvl w:ilvl="2">
      <w:start w:val="1"/>
      <w:numFmt w:val="decimal"/>
      <w:isLgl w:val="false"/>
      <w:suff w:val="tab"/>
      <w:lvlText w:val="%1.%2.%3."/>
      <w:lvlJc w:val="left"/>
      <w:pPr>
        <w:ind w:left="720" w:hanging="720"/>
      </w:pPr>
    </w:lvl>
    <w:lvl w:ilvl="3">
      <w:start w:val="1"/>
      <w:numFmt w:val="decimal"/>
      <w:isLgl w:val="false"/>
      <w:suff w:val="tab"/>
      <w:lvlText w:val="%1.%2.%3.%4."/>
      <w:lvlJc w:val="left"/>
      <w:pPr>
        <w:ind w:left="720" w:hanging="720"/>
      </w:pPr>
    </w:lvl>
    <w:lvl w:ilvl="4">
      <w:start w:val="1"/>
      <w:numFmt w:val="decimal"/>
      <w:isLgl w:val="false"/>
      <w:suff w:val="tab"/>
      <w:lvlText w:val="%1.%2.%3.%4.%5."/>
      <w:lvlJc w:val="left"/>
      <w:pPr>
        <w:ind w:left="1080" w:hanging="1080"/>
      </w:pPr>
    </w:lvl>
    <w:lvl w:ilvl="5">
      <w:start w:val="1"/>
      <w:numFmt w:val="decimal"/>
      <w:isLgl w:val="false"/>
      <w:suff w:val="tab"/>
      <w:lvlText w:val="%1.%2.%3.%4.%5.%6."/>
      <w:lvlJc w:val="left"/>
      <w:pPr>
        <w:ind w:left="1080" w:hanging="1080"/>
      </w:pPr>
    </w:lvl>
    <w:lvl w:ilvl="6">
      <w:start w:val="1"/>
      <w:numFmt w:val="decimal"/>
      <w:isLgl w:val="false"/>
      <w:suff w:val="tab"/>
      <w:lvlText w:val="%1.%2.%3.%4.%5.%6.%7."/>
      <w:lvlJc w:val="left"/>
      <w:pPr>
        <w:ind w:left="1080" w:hanging="1080"/>
      </w:pPr>
    </w:lvl>
    <w:lvl w:ilvl="7">
      <w:start w:val="1"/>
      <w:numFmt w:val="decimal"/>
      <w:isLgl w:val="false"/>
      <w:suff w:val="tab"/>
      <w:lvlText w:val="%1.%2.%3.%4.%5.%6.%7.%8."/>
      <w:lvlJc w:val="left"/>
      <w:pPr>
        <w:ind w:left="1440" w:hanging="1440"/>
      </w:pPr>
    </w:lvl>
    <w:lvl w:ilvl="8">
      <w:start w:val="1"/>
      <w:numFmt w:val="decimal"/>
      <w:isLgl w:val="false"/>
      <w:suff w:val="tab"/>
      <w:lvlText w:val="%1.%2.%3.%4.%5.%6.%7.%8.%9."/>
      <w:lvlJc w:val="left"/>
      <w:pPr>
        <w:ind w:left="1440" w:hanging="1440"/>
      </w:pPr>
    </w:lvl>
  </w:abstractNum>
  <w:abstractNum w:abstractNumId="8">
    <w:multiLevelType w:val="hybridMultilevel"/>
    <w:lvl w:ilvl="0">
      <w:start w:val="1"/>
      <w:numFmt w:val="bullet"/>
      <w:isLgl w:val="false"/>
      <w:suff w:val="tab"/>
      <w:lvlText w:val=""/>
      <w:lvlJc w:val="left"/>
      <w:pPr>
        <w:ind w:left="360" w:hanging="360"/>
      </w:pPr>
      <w:rPr>
        <w:rFonts w:ascii="Symbol" w:hAnsi="Symbol"/>
      </w:rPr>
    </w:lvl>
    <w:lvl w:ilvl="1">
      <w:start w:val="1"/>
      <w:numFmt w:val="bullet"/>
      <w:isLgl w:val="false"/>
      <w:suff w:val="tab"/>
      <w:lvlText w:val="o"/>
      <w:lvlJc w:val="left"/>
      <w:pPr>
        <w:ind w:left="1080" w:hanging="360"/>
      </w:pPr>
      <w:rPr>
        <w:rFonts w:ascii="Courier New" w:hAnsi="Courier New" w:cs="Courier New"/>
      </w:rPr>
    </w:lvl>
    <w:lvl w:ilvl="2">
      <w:start w:val="1"/>
      <w:numFmt w:val="bullet"/>
      <w:isLgl w:val="false"/>
      <w:suff w:val="tab"/>
      <w:lvlText w:val=""/>
      <w:lvlJc w:val="left"/>
      <w:pPr>
        <w:ind w:left="1800" w:hanging="360"/>
      </w:pPr>
      <w:rPr>
        <w:rFonts w:ascii="Wingdings" w:hAnsi="Wingdings"/>
      </w:rPr>
    </w:lvl>
    <w:lvl w:ilvl="3">
      <w:start w:val="1"/>
      <w:numFmt w:val="bullet"/>
      <w:isLgl w:val="false"/>
      <w:suff w:val="tab"/>
      <w:lvlText w:val=""/>
      <w:lvlJc w:val="left"/>
      <w:pPr>
        <w:ind w:left="2520" w:hanging="360"/>
      </w:pPr>
      <w:rPr>
        <w:rFonts w:ascii="Symbol" w:hAnsi="Symbol"/>
      </w:rPr>
    </w:lvl>
    <w:lvl w:ilvl="4">
      <w:start w:val="1"/>
      <w:numFmt w:val="bullet"/>
      <w:isLgl w:val="false"/>
      <w:suff w:val="tab"/>
      <w:lvlText w:val="o"/>
      <w:lvlJc w:val="left"/>
      <w:pPr>
        <w:ind w:left="3240" w:hanging="360"/>
      </w:pPr>
      <w:rPr>
        <w:rFonts w:ascii="Courier New" w:hAnsi="Courier New" w:cs="Courier New"/>
      </w:rPr>
    </w:lvl>
    <w:lvl w:ilvl="5">
      <w:start w:val="1"/>
      <w:numFmt w:val="bullet"/>
      <w:isLgl w:val="false"/>
      <w:suff w:val="tab"/>
      <w:lvlText w:val=""/>
      <w:lvlJc w:val="left"/>
      <w:pPr>
        <w:ind w:left="3960" w:hanging="360"/>
      </w:pPr>
      <w:rPr>
        <w:rFonts w:ascii="Wingdings" w:hAnsi="Wingdings"/>
      </w:rPr>
    </w:lvl>
    <w:lvl w:ilvl="6">
      <w:start w:val="1"/>
      <w:numFmt w:val="bullet"/>
      <w:isLgl w:val="false"/>
      <w:suff w:val="tab"/>
      <w:lvlText w:val=""/>
      <w:lvlJc w:val="left"/>
      <w:pPr>
        <w:ind w:left="4680" w:hanging="360"/>
      </w:pPr>
      <w:rPr>
        <w:rFonts w:ascii="Symbol" w:hAnsi="Symbol"/>
      </w:rPr>
    </w:lvl>
    <w:lvl w:ilvl="7">
      <w:start w:val="1"/>
      <w:numFmt w:val="bullet"/>
      <w:isLgl w:val="false"/>
      <w:suff w:val="tab"/>
      <w:lvlText w:val="o"/>
      <w:lvlJc w:val="left"/>
      <w:pPr>
        <w:ind w:left="5400" w:hanging="360"/>
      </w:pPr>
      <w:rPr>
        <w:rFonts w:ascii="Courier New" w:hAnsi="Courier New" w:cs="Courier New"/>
      </w:rPr>
    </w:lvl>
    <w:lvl w:ilvl="8">
      <w:start w:val="1"/>
      <w:numFmt w:val="bullet"/>
      <w:isLgl w:val="false"/>
      <w:suff w:val="tab"/>
      <w:lvlText w:val=""/>
      <w:lvlJc w:val="left"/>
      <w:pPr>
        <w:ind w:left="6120" w:hanging="360"/>
      </w:pPr>
      <w:rPr>
        <w:rFonts w:ascii="Wingdings" w:hAnsi="Wingdings"/>
      </w:rPr>
    </w:lvl>
  </w:abstractNum>
  <w:abstractNum w:abstractNumId="9">
    <w:multiLevelType w:val="hybridMultilevel"/>
    <w:lvl w:ilvl="0">
      <w:start w:val="1"/>
      <w:numFmt w:val="bullet"/>
      <w:isLgl w:val="false"/>
      <w:suff w:val="tab"/>
      <w:lvlText w:val="-"/>
      <w:lvlJc w:val="left"/>
      <w:pPr>
        <w:ind w:left="794" w:hanging="360"/>
      </w:pPr>
      <w:rPr>
        <w:rFonts w:ascii="Symbol" w:hAnsi="Symbol"/>
      </w:rPr>
    </w:lvl>
    <w:lvl w:ilvl="1">
      <w:start w:val="1"/>
      <w:numFmt w:val="bullet"/>
      <w:isLgl w:val="false"/>
      <w:suff w:val="tab"/>
      <w:lvlText w:val="o"/>
      <w:lvlJc w:val="left"/>
      <w:pPr>
        <w:ind w:left="1514" w:hanging="360"/>
      </w:pPr>
      <w:rPr>
        <w:rFonts w:ascii="Courier New" w:hAnsi="Courier New" w:cs="Courier New"/>
      </w:rPr>
    </w:lvl>
    <w:lvl w:ilvl="2">
      <w:start w:val="1"/>
      <w:numFmt w:val="bullet"/>
      <w:isLgl w:val="false"/>
      <w:suff w:val="tab"/>
      <w:lvlText w:val=""/>
      <w:lvlJc w:val="left"/>
      <w:pPr>
        <w:ind w:left="2234" w:hanging="360"/>
      </w:pPr>
      <w:rPr>
        <w:rFonts w:ascii="Wingdings" w:hAnsi="Wingdings"/>
      </w:rPr>
    </w:lvl>
    <w:lvl w:ilvl="3">
      <w:start w:val="1"/>
      <w:numFmt w:val="bullet"/>
      <w:isLgl w:val="false"/>
      <w:suff w:val="tab"/>
      <w:lvlText w:val=""/>
      <w:lvlJc w:val="left"/>
      <w:pPr>
        <w:ind w:left="2954" w:hanging="360"/>
      </w:pPr>
      <w:rPr>
        <w:rFonts w:ascii="Symbol" w:hAnsi="Symbol"/>
      </w:rPr>
    </w:lvl>
    <w:lvl w:ilvl="4">
      <w:start w:val="1"/>
      <w:numFmt w:val="bullet"/>
      <w:isLgl w:val="false"/>
      <w:suff w:val="tab"/>
      <w:lvlText w:val="o"/>
      <w:lvlJc w:val="left"/>
      <w:pPr>
        <w:ind w:left="3674" w:hanging="360"/>
      </w:pPr>
      <w:rPr>
        <w:rFonts w:ascii="Courier New" w:hAnsi="Courier New" w:cs="Courier New"/>
      </w:rPr>
    </w:lvl>
    <w:lvl w:ilvl="5">
      <w:start w:val="1"/>
      <w:numFmt w:val="bullet"/>
      <w:isLgl w:val="false"/>
      <w:suff w:val="tab"/>
      <w:lvlText w:val=""/>
      <w:lvlJc w:val="left"/>
      <w:pPr>
        <w:ind w:left="4394" w:hanging="360"/>
      </w:pPr>
      <w:rPr>
        <w:rFonts w:ascii="Wingdings" w:hAnsi="Wingdings"/>
      </w:rPr>
    </w:lvl>
    <w:lvl w:ilvl="6">
      <w:start w:val="1"/>
      <w:numFmt w:val="bullet"/>
      <w:isLgl w:val="false"/>
      <w:suff w:val="tab"/>
      <w:lvlText w:val=""/>
      <w:lvlJc w:val="left"/>
      <w:pPr>
        <w:ind w:left="5114" w:hanging="360"/>
      </w:pPr>
      <w:rPr>
        <w:rFonts w:ascii="Symbol" w:hAnsi="Symbol"/>
      </w:rPr>
    </w:lvl>
    <w:lvl w:ilvl="7">
      <w:start w:val="1"/>
      <w:numFmt w:val="bullet"/>
      <w:isLgl w:val="false"/>
      <w:suff w:val="tab"/>
      <w:lvlText w:val="o"/>
      <w:lvlJc w:val="left"/>
      <w:pPr>
        <w:ind w:left="5834" w:hanging="360"/>
      </w:pPr>
      <w:rPr>
        <w:rFonts w:ascii="Courier New" w:hAnsi="Courier New" w:cs="Courier New"/>
      </w:rPr>
    </w:lvl>
    <w:lvl w:ilvl="8">
      <w:start w:val="1"/>
      <w:numFmt w:val="bullet"/>
      <w:isLgl w:val="false"/>
      <w:suff w:val="tab"/>
      <w:lvlText w:val=""/>
      <w:lvlJc w:val="left"/>
      <w:pPr>
        <w:ind w:left="6554" w:hanging="360"/>
      </w:pPr>
      <w:rPr>
        <w:rFonts w:ascii="Wingdings" w:hAnsi="Wingdings"/>
      </w:rPr>
    </w:lvl>
  </w:abstractNum>
  <w:abstractNum w:abstractNumId="10">
    <w:multiLevelType w:val="hybridMultilevel"/>
    <w:lvl w:ilvl="0">
      <w:start w:val="1"/>
      <w:numFmt w:val="bullet"/>
      <w:isLgl w:val="false"/>
      <w:suff w:val="tab"/>
      <w:lvlText w:val=""/>
      <w:lvlJc w:val="left"/>
      <w:pPr>
        <w:ind w:left="720" w:hanging="360"/>
        <w:tabs>
          <w:tab w:val="num" w:pos="720" w:leader="none"/>
        </w:tabs>
      </w:pPr>
      <w:rPr>
        <w:rFonts w:ascii="Symbol" w:hAnsi="Symbol"/>
      </w:rPr>
    </w:lvl>
    <w:lvl w:ilvl="1">
      <w:start w:val="1"/>
      <w:numFmt w:val="bullet"/>
      <w:isLgl w:val="false"/>
      <w:suff w:val="tab"/>
      <w:lvlText w:val="o"/>
      <w:lvlJc w:val="left"/>
      <w:pPr>
        <w:ind w:left="1440" w:hanging="360"/>
        <w:tabs>
          <w:tab w:val="num" w:pos="1440" w:leader="none"/>
        </w:tabs>
      </w:pPr>
      <w:rPr>
        <w:rFonts w:ascii="Courier New" w:hAnsi="Courier New"/>
      </w:rPr>
    </w:lvl>
    <w:lvl w:ilvl="2">
      <w:start w:val="1"/>
      <w:numFmt w:val="bullet"/>
      <w:isLgl w:val="false"/>
      <w:suff w:val="tab"/>
      <w:lvlText w:val=""/>
      <w:lvlJc w:val="left"/>
      <w:pPr>
        <w:ind w:left="2160" w:hanging="360"/>
        <w:tabs>
          <w:tab w:val="num" w:pos="2160" w:leader="none"/>
        </w:tabs>
      </w:pPr>
      <w:rPr>
        <w:rFonts w:ascii="Wingdings" w:hAnsi="Wingdings"/>
      </w:rPr>
    </w:lvl>
    <w:lvl w:ilvl="3">
      <w:start w:val="1"/>
      <w:numFmt w:val="bullet"/>
      <w:isLgl w:val="false"/>
      <w:suff w:val="tab"/>
      <w:lvlText w:val=""/>
      <w:lvlJc w:val="left"/>
      <w:pPr>
        <w:ind w:left="2880" w:hanging="360"/>
        <w:tabs>
          <w:tab w:val="num" w:pos="2880" w:leader="none"/>
        </w:tabs>
      </w:pPr>
      <w:rPr>
        <w:rFonts w:ascii="Symbol" w:hAnsi="Symbol"/>
      </w:rPr>
    </w:lvl>
    <w:lvl w:ilvl="4">
      <w:start w:val="1"/>
      <w:numFmt w:val="bullet"/>
      <w:isLgl w:val="false"/>
      <w:suff w:val="tab"/>
      <w:lvlText w:val="o"/>
      <w:lvlJc w:val="left"/>
      <w:pPr>
        <w:ind w:left="3600" w:hanging="360"/>
        <w:tabs>
          <w:tab w:val="num" w:pos="3600" w:leader="none"/>
        </w:tabs>
      </w:pPr>
      <w:rPr>
        <w:rFonts w:ascii="Courier New" w:hAnsi="Courier New"/>
      </w:rPr>
    </w:lvl>
    <w:lvl w:ilvl="5">
      <w:start w:val="1"/>
      <w:numFmt w:val="bullet"/>
      <w:isLgl w:val="false"/>
      <w:suff w:val="tab"/>
      <w:lvlText w:val=""/>
      <w:lvlJc w:val="left"/>
      <w:pPr>
        <w:ind w:left="4320" w:hanging="360"/>
        <w:tabs>
          <w:tab w:val="num" w:pos="4320" w:leader="none"/>
        </w:tabs>
      </w:pPr>
      <w:rPr>
        <w:rFonts w:ascii="Wingdings" w:hAnsi="Wingdings"/>
      </w:rPr>
    </w:lvl>
    <w:lvl w:ilvl="6">
      <w:start w:val="1"/>
      <w:numFmt w:val="bullet"/>
      <w:isLgl w:val="false"/>
      <w:suff w:val="tab"/>
      <w:lvlText w:val=""/>
      <w:lvlJc w:val="left"/>
      <w:pPr>
        <w:ind w:left="5040" w:hanging="360"/>
        <w:tabs>
          <w:tab w:val="num" w:pos="5040" w:leader="none"/>
        </w:tabs>
      </w:pPr>
      <w:rPr>
        <w:rFonts w:ascii="Symbol" w:hAnsi="Symbol"/>
      </w:rPr>
    </w:lvl>
    <w:lvl w:ilvl="7">
      <w:start w:val="1"/>
      <w:numFmt w:val="bullet"/>
      <w:isLgl w:val="false"/>
      <w:suff w:val="tab"/>
      <w:lvlText w:val="o"/>
      <w:lvlJc w:val="left"/>
      <w:pPr>
        <w:ind w:left="5760" w:hanging="360"/>
        <w:tabs>
          <w:tab w:val="num" w:pos="5760" w:leader="none"/>
        </w:tabs>
      </w:pPr>
      <w:rPr>
        <w:rFonts w:ascii="Courier New" w:hAnsi="Courier New"/>
      </w:rPr>
    </w:lvl>
    <w:lvl w:ilvl="8">
      <w:start w:val="1"/>
      <w:numFmt w:val="bullet"/>
      <w:isLgl w:val="false"/>
      <w:suff w:val="tab"/>
      <w:lvlText w:val=""/>
      <w:lvlJc w:val="left"/>
      <w:pPr>
        <w:ind w:left="6480" w:hanging="360"/>
        <w:tabs>
          <w:tab w:val="num" w:pos="6480" w:leader="none"/>
        </w:tabs>
      </w:pPr>
      <w:rPr>
        <w:rFonts w:ascii="Wingdings" w:hAnsi="Wingdings"/>
      </w:rPr>
    </w:lvl>
  </w:abstractNum>
  <w:abstractNum w:abstractNumId="11">
    <w:multiLevelType w:val="hybridMultilevel"/>
    <w:lvl w:ilvl="0">
      <w:start w:val="0"/>
      <w:numFmt w:val="bullet"/>
      <w:isLgl w:val="false"/>
      <w:suff w:val="tab"/>
      <w:lvlText w:val="-"/>
      <w:lvlJc w:val="left"/>
      <w:pPr>
        <w:ind w:left="1140" w:hanging="360"/>
        <w:tabs>
          <w:tab w:val="num" w:pos="1140" w:leader="none"/>
        </w:tabs>
      </w:pPr>
      <w:rPr>
        <w:rFonts w:ascii="Times New Roman" w:hAnsi="Times New Roman" w:eastAsia="Times New Roman" w:cs="Times New Roman"/>
      </w:rPr>
    </w:lvl>
    <w:lvl w:ilvl="1">
      <w:start w:val="1"/>
      <w:numFmt w:val="bullet"/>
      <w:isLgl w:val="false"/>
      <w:suff w:val="tab"/>
      <w:lvlText w:val="o"/>
      <w:lvlJc w:val="left"/>
      <w:pPr>
        <w:ind w:left="1440" w:hanging="360"/>
        <w:tabs>
          <w:tab w:val="num" w:pos="1440" w:leader="none"/>
        </w:tabs>
      </w:pPr>
      <w:rPr>
        <w:rFonts w:ascii="Courier New" w:hAnsi="Courier New"/>
      </w:rPr>
    </w:lvl>
    <w:lvl w:ilvl="2">
      <w:start w:val="1"/>
      <w:numFmt w:val="bullet"/>
      <w:isLgl w:val="false"/>
      <w:suff w:val="tab"/>
      <w:lvlText w:val=""/>
      <w:lvlJc w:val="left"/>
      <w:pPr>
        <w:ind w:left="2160" w:hanging="360"/>
        <w:tabs>
          <w:tab w:val="num" w:pos="2160" w:leader="none"/>
        </w:tabs>
      </w:pPr>
      <w:rPr>
        <w:rFonts w:ascii="Wingdings" w:hAnsi="Wingdings"/>
      </w:rPr>
    </w:lvl>
    <w:lvl w:ilvl="3">
      <w:start w:val="1"/>
      <w:numFmt w:val="bullet"/>
      <w:isLgl w:val="false"/>
      <w:suff w:val="tab"/>
      <w:lvlText w:val=""/>
      <w:lvlJc w:val="left"/>
      <w:pPr>
        <w:ind w:left="2880" w:hanging="360"/>
        <w:tabs>
          <w:tab w:val="num" w:pos="2880" w:leader="none"/>
        </w:tabs>
      </w:pPr>
      <w:rPr>
        <w:rFonts w:ascii="Symbol" w:hAnsi="Symbol"/>
      </w:rPr>
    </w:lvl>
    <w:lvl w:ilvl="4">
      <w:start w:val="1"/>
      <w:numFmt w:val="bullet"/>
      <w:isLgl w:val="false"/>
      <w:suff w:val="tab"/>
      <w:lvlText w:val="o"/>
      <w:lvlJc w:val="left"/>
      <w:pPr>
        <w:ind w:left="3600" w:hanging="360"/>
        <w:tabs>
          <w:tab w:val="num" w:pos="3600" w:leader="none"/>
        </w:tabs>
      </w:pPr>
      <w:rPr>
        <w:rFonts w:ascii="Courier New" w:hAnsi="Courier New"/>
      </w:rPr>
    </w:lvl>
    <w:lvl w:ilvl="5">
      <w:start w:val="1"/>
      <w:numFmt w:val="bullet"/>
      <w:isLgl w:val="false"/>
      <w:suff w:val="tab"/>
      <w:lvlText w:val=""/>
      <w:lvlJc w:val="left"/>
      <w:pPr>
        <w:ind w:left="4320" w:hanging="360"/>
        <w:tabs>
          <w:tab w:val="num" w:pos="4320" w:leader="none"/>
        </w:tabs>
      </w:pPr>
      <w:rPr>
        <w:rFonts w:ascii="Wingdings" w:hAnsi="Wingdings"/>
      </w:rPr>
    </w:lvl>
    <w:lvl w:ilvl="6">
      <w:start w:val="1"/>
      <w:numFmt w:val="bullet"/>
      <w:isLgl w:val="false"/>
      <w:suff w:val="tab"/>
      <w:lvlText w:val=""/>
      <w:lvlJc w:val="left"/>
      <w:pPr>
        <w:ind w:left="5040" w:hanging="360"/>
        <w:tabs>
          <w:tab w:val="num" w:pos="5040" w:leader="none"/>
        </w:tabs>
      </w:pPr>
      <w:rPr>
        <w:rFonts w:ascii="Symbol" w:hAnsi="Symbol"/>
      </w:rPr>
    </w:lvl>
    <w:lvl w:ilvl="7">
      <w:start w:val="1"/>
      <w:numFmt w:val="bullet"/>
      <w:isLgl w:val="false"/>
      <w:suff w:val="tab"/>
      <w:lvlText w:val="o"/>
      <w:lvlJc w:val="left"/>
      <w:pPr>
        <w:ind w:left="5760" w:hanging="360"/>
        <w:tabs>
          <w:tab w:val="num" w:pos="5760" w:leader="none"/>
        </w:tabs>
      </w:pPr>
      <w:rPr>
        <w:rFonts w:ascii="Courier New" w:hAnsi="Courier New"/>
      </w:rPr>
    </w:lvl>
    <w:lvl w:ilvl="8">
      <w:start w:val="1"/>
      <w:numFmt w:val="bullet"/>
      <w:isLgl w:val="false"/>
      <w:suff w:val="tab"/>
      <w:lvlText w:val=""/>
      <w:lvlJc w:val="left"/>
      <w:pPr>
        <w:ind w:left="6480" w:hanging="360"/>
        <w:tabs>
          <w:tab w:val="num" w:pos="6480" w:leader="none"/>
        </w:tabs>
      </w:pPr>
      <w:rPr>
        <w:rFonts w:ascii="Wingdings" w:hAnsi="Wingdings"/>
      </w:rPr>
    </w:lvl>
  </w:abstractNum>
  <w:abstractNum w:abstractNumId="12">
    <w:multiLevelType w:val="hybridMultilevel"/>
    <w:lvl w:ilvl="0">
      <w:start w:val="1"/>
      <w:numFmt w:val="bullet"/>
      <w:isLgl w:val="false"/>
      <w:suff w:val="tab"/>
      <w:lvlText w:val=""/>
      <w:lvlJc w:val="left"/>
      <w:pPr>
        <w:ind w:left="357" w:hanging="357"/>
        <w:tabs>
          <w:tab w:val="num" w:pos="357" w:leader="none"/>
        </w:tabs>
      </w:pPr>
      <w:rPr>
        <w:rFonts w:ascii="Symbol" w:hAnsi="Symbol" w:cs="Times New Roman"/>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cs="Times New Roman"/>
      </w:rPr>
    </w:lvl>
    <w:lvl w:ilvl="3">
      <w:start w:val="1"/>
      <w:numFmt w:val="bullet"/>
      <w:isLgl w:val="false"/>
      <w:suff w:val="tab"/>
      <w:lvlText w:val=""/>
      <w:lvlJc w:val="left"/>
      <w:pPr>
        <w:ind w:left="2880" w:hanging="360"/>
        <w:tabs>
          <w:tab w:val="num" w:pos="2880" w:leader="none"/>
        </w:tabs>
      </w:pPr>
      <w:rPr>
        <w:rFonts w:ascii="Symbol" w:hAnsi="Symbol" w:cs="Times New Roman"/>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cs="Times New Roman"/>
      </w:rPr>
    </w:lvl>
    <w:lvl w:ilvl="6">
      <w:start w:val="1"/>
      <w:numFmt w:val="bullet"/>
      <w:isLgl w:val="false"/>
      <w:suff w:val="tab"/>
      <w:lvlText w:val=""/>
      <w:lvlJc w:val="left"/>
      <w:pPr>
        <w:ind w:left="5040" w:hanging="360"/>
        <w:tabs>
          <w:tab w:val="num" w:pos="5040" w:leader="none"/>
        </w:tabs>
      </w:pPr>
      <w:rPr>
        <w:rFonts w:ascii="Symbol" w:hAnsi="Symbol" w:cs="Times New Roman"/>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cs="Times New Roman"/>
      </w:rPr>
    </w:lvl>
  </w:abstractNum>
  <w:abstractNum w:abstractNumId="13">
    <w:multiLevelType w:val="hybridMultilevel"/>
    <w:lvl w:ilvl="0">
      <w:start w:val="1"/>
      <w:numFmt w:val="bullet"/>
      <w:isLgl w:val="false"/>
      <w:suff w:val="tab"/>
      <w:lvlText w:val=""/>
      <w:lvlJc w:val="left"/>
      <w:pPr>
        <w:ind w:left="720" w:hanging="360"/>
      </w:pPr>
      <w:rPr>
        <w:rFonts w:ascii="Symbol" w:hAnsi="Symbol"/>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14">
    <w:multiLevelType w:val="hybridMultilevel"/>
    <w:lvl w:ilvl="0">
      <w:start w:val="1"/>
      <w:numFmt w:val="decimal"/>
      <w:isLgl w:val="false"/>
      <w:suff w:val="tab"/>
      <w:lvlText w:val="%1."/>
      <w:lvlJc w:val="left"/>
      <w:pPr>
        <w:ind w:left="394" w:hanging="360"/>
      </w:pPr>
    </w:lvl>
    <w:lvl w:ilvl="1">
      <w:start w:val="1"/>
      <w:numFmt w:val="lowerLetter"/>
      <w:isLgl w:val="false"/>
      <w:suff w:val="tab"/>
      <w:lvlText w:val="%2."/>
      <w:lvlJc w:val="left"/>
      <w:pPr>
        <w:ind w:left="1114" w:hanging="360"/>
      </w:pPr>
    </w:lvl>
    <w:lvl w:ilvl="2">
      <w:start w:val="1"/>
      <w:numFmt w:val="lowerRoman"/>
      <w:isLgl w:val="false"/>
      <w:suff w:val="tab"/>
      <w:lvlText w:val="%3."/>
      <w:lvlJc w:val="right"/>
      <w:pPr>
        <w:ind w:left="1834" w:hanging="180"/>
      </w:pPr>
    </w:lvl>
    <w:lvl w:ilvl="3">
      <w:start w:val="1"/>
      <w:numFmt w:val="decimal"/>
      <w:isLgl w:val="false"/>
      <w:suff w:val="tab"/>
      <w:lvlText w:val="%4."/>
      <w:lvlJc w:val="left"/>
      <w:pPr>
        <w:ind w:left="2554" w:hanging="360"/>
      </w:pPr>
    </w:lvl>
    <w:lvl w:ilvl="4">
      <w:start w:val="1"/>
      <w:numFmt w:val="lowerLetter"/>
      <w:isLgl w:val="false"/>
      <w:suff w:val="tab"/>
      <w:lvlText w:val="%5."/>
      <w:lvlJc w:val="left"/>
      <w:pPr>
        <w:ind w:left="3274" w:hanging="360"/>
      </w:pPr>
    </w:lvl>
    <w:lvl w:ilvl="5">
      <w:start w:val="1"/>
      <w:numFmt w:val="lowerRoman"/>
      <w:isLgl w:val="false"/>
      <w:suff w:val="tab"/>
      <w:lvlText w:val="%6."/>
      <w:lvlJc w:val="right"/>
      <w:pPr>
        <w:ind w:left="3994" w:hanging="180"/>
      </w:pPr>
    </w:lvl>
    <w:lvl w:ilvl="6">
      <w:start w:val="1"/>
      <w:numFmt w:val="decimal"/>
      <w:isLgl w:val="false"/>
      <w:suff w:val="tab"/>
      <w:lvlText w:val="%7."/>
      <w:lvlJc w:val="left"/>
      <w:pPr>
        <w:ind w:left="4714" w:hanging="360"/>
      </w:pPr>
    </w:lvl>
    <w:lvl w:ilvl="7">
      <w:start w:val="1"/>
      <w:numFmt w:val="lowerLetter"/>
      <w:isLgl w:val="false"/>
      <w:suff w:val="tab"/>
      <w:lvlText w:val="%8."/>
      <w:lvlJc w:val="left"/>
      <w:pPr>
        <w:ind w:left="5434" w:hanging="360"/>
      </w:pPr>
    </w:lvl>
    <w:lvl w:ilvl="8">
      <w:start w:val="1"/>
      <w:numFmt w:val="lowerRoman"/>
      <w:isLgl w:val="false"/>
      <w:suff w:val="tab"/>
      <w:lvlText w:val="%9."/>
      <w:lvlJc w:val="right"/>
      <w:pPr>
        <w:ind w:left="6154" w:hanging="180"/>
      </w:pPr>
    </w:lvl>
  </w:abstractNum>
  <w:abstractNum w:abstractNumId="15">
    <w:multiLevelType w:val="hybridMultilevel"/>
    <w:lvl w:ilvl="0">
      <w:start w:val="0"/>
      <w:numFmt w:val="bullet"/>
      <w:isLgl w:val="false"/>
      <w:suff w:val="tab"/>
      <w:lvlText w:val="-"/>
      <w:lvlJc w:val="left"/>
      <w:pPr>
        <w:ind w:left="597" w:hanging="525"/>
        <w:tabs>
          <w:tab w:val="num" w:pos="597" w:leader="none"/>
        </w:tabs>
      </w:pPr>
      <w:rPr>
        <w:rFonts w:ascii="Times New Roman" w:hAnsi="Times New Roman" w:eastAsia="Times New Roman"/>
      </w:rPr>
    </w:lvl>
    <w:lvl w:ilvl="1">
      <w:start w:val="1"/>
      <w:numFmt w:val="bullet"/>
      <w:isLgl w:val="false"/>
      <w:suff w:val="tab"/>
      <w:lvlText w:val="o"/>
      <w:lvlJc w:val="left"/>
      <w:pPr>
        <w:ind w:left="1152" w:hanging="360"/>
        <w:tabs>
          <w:tab w:val="num" w:pos="1152" w:leader="none"/>
        </w:tabs>
      </w:pPr>
      <w:rPr>
        <w:rFonts w:ascii="Courier New" w:hAnsi="Courier New"/>
      </w:rPr>
    </w:lvl>
    <w:lvl w:ilvl="2">
      <w:start w:val="1"/>
      <w:numFmt w:val="bullet"/>
      <w:isLgl w:val="false"/>
      <w:suff w:val="tab"/>
      <w:lvlText w:val=""/>
      <w:lvlJc w:val="left"/>
      <w:pPr>
        <w:ind w:left="1872" w:hanging="360"/>
        <w:tabs>
          <w:tab w:val="num" w:pos="1872" w:leader="none"/>
        </w:tabs>
      </w:pPr>
      <w:rPr>
        <w:rFonts w:ascii="Wingdings" w:hAnsi="Wingdings"/>
      </w:rPr>
    </w:lvl>
    <w:lvl w:ilvl="3">
      <w:start w:val="1"/>
      <w:numFmt w:val="bullet"/>
      <w:isLgl w:val="false"/>
      <w:suff w:val="tab"/>
      <w:lvlText w:val=""/>
      <w:lvlJc w:val="left"/>
      <w:pPr>
        <w:ind w:left="2592" w:hanging="360"/>
        <w:tabs>
          <w:tab w:val="num" w:pos="2592" w:leader="none"/>
        </w:tabs>
      </w:pPr>
      <w:rPr>
        <w:rFonts w:ascii="Symbol" w:hAnsi="Symbol"/>
      </w:rPr>
    </w:lvl>
    <w:lvl w:ilvl="4">
      <w:start w:val="1"/>
      <w:numFmt w:val="bullet"/>
      <w:isLgl w:val="false"/>
      <w:suff w:val="tab"/>
      <w:lvlText w:val="o"/>
      <w:lvlJc w:val="left"/>
      <w:pPr>
        <w:ind w:left="3312" w:hanging="360"/>
        <w:tabs>
          <w:tab w:val="num" w:pos="3312" w:leader="none"/>
        </w:tabs>
      </w:pPr>
      <w:rPr>
        <w:rFonts w:ascii="Courier New" w:hAnsi="Courier New"/>
      </w:rPr>
    </w:lvl>
    <w:lvl w:ilvl="5">
      <w:start w:val="1"/>
      <w:numFmt w:val="bullet"/>
      <w:isLgl w:val="false"/>
      <w:suff w:val="tab"/>
      <w:lvlText w:val=""/>
      <w:lvlJc w:val="left"/>
      <w:pPr>
        <w:ind w:left="4032" w:hanging="360"/>
        <w:tabs>
          <w:tab w:val="num" w:pos="4032" w:leader="none"/>
        </w:tabs>
      </w:pPr>
      <w:rPr>
        <w:rFonts w:ascii="Wingdings" w:hAnsi="Wingdings"/>
      </w:rPr>
    </w:lvl>
    <w:lvl w:ilvl="6">
      <w:start w:val="1"/>
      <w:numFmt w:val="bullet"/>
      <w:isLgl w:val="false"/>
      <w:suff w:val="tab"/>
      <w:lvlText w:val=""/>
      <w:lvlJc w:val="left"/>
      <w:pPr>
        <w:ind w:left="4752" w:hanging="360"/>
        <w:tabs>
          <w:tab w:val="num" w:pos="4752" w:leader="none"/>
        </w:tabs>
      </w:pPr>
      <w:rPr>
        <w:rFonts w:ascii="Symbol" w:hAnsi="Symbol"/>
      </w:rPr>
    </w:lvl>
    <w:lvl w:ilvl="7">
      <w:start w:val="1"/>
      <w:numFmt w:val="bullet"/>
      <w:isLgl w:val="false"/>
      <w:suff w:val="tab"/>
      <w:lvlText w:val="o"/>
      <w:lvlJc w:val="left"/>
      <w:pPr>
        <w:ind w:left="5472" w:hanging="360"/>
        <w:tabs>
          <w:tab w:val="num" w:pos="5472" w:leader="none"/>
        </w:tabs>
      </w:pPr>
      <w:rPr>
        <w:rFonts w:ascii="Courier New" w:hAnsi="Courier New"/>
      </w:rPr>
    </w:lvl>
    <w:lvl w:ilvl="8">
      <w:start w:val="1"/>
      <w:numFmt w:val="bullet"/>
      <w:isLgl w:val="false"/>
      <w:suff w:val="tab"/>
      <w:lvlText w:val=""/>
      <w:lvlJc w:val="left"/>
      <w:pPr>
        <w:ind w:left="6192" w:hanging="360"/>
        <w:tabs>
          <w:tab w:val="num" w:pos="6192" w:leader="none"/>
        </w:tabs>
      </w:pPr>
      <w:rPr>
        <w:rFonts w:ascii="Wingdings" w:hAnsi="Wingdings"/>
      </w:rPr>
    </w:lvl>
  </w:abstractNum>
  <w:abstractNum w:abstractNumId="16">
    <w:multiLevelType w:val="hybridMultilevel"/>
    <w:lvl w:ilvl="0">
      <w:start w:val="3"/>
      <w:numFmt w:val="bullet"/>
      <w:isLgl w:val="false"/>
      <w:suff w:val="tab"/>
      <w:lvlText w:val="-"/>
      <w:lvlJc w:val="left"/>
      <w:pPr>
        <w:ind w:left="720" w:hanging="360"/>
        <w:tabs>
          <w:tab w:val="num" w:pos="720" w:leader="none"/>
        </w:tabs>
      </w:pPr>
      <w:rPr>
        <w:rFonts w:ascii="Times New Roman" w:hAnsi="Times New Roman" w:eastAsia="Times New Roman"/>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cs="Times New Roman"/>
      </w:rPr>
    </w:lvl>
    <w:lvl w:ilvl="3">
      <w:start w:val="1"/>
      <w:numFmt w:val="bullet"/>
      <w:isLgl w:val="false"/>
      <w:suff w:val="tab"/>
      <w:lvlText w:val=""/>
      <w:lvlJc w:val="left"/>
      <w:pPr>
        <w:ind w:left="2880" w:hanging="360"/>
        <w:tabs>
          <w:tab w:val="num" w:pos="2880" w:leader="none"/>
        </w:tabs>
      </w:pPr>
      <w:rPr>
        <w:rFonts w:ascii="Symbol" w:hAnsi="Symbol" w:cs="Times New Roman"/>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cs="Times New Roman"/>
      </w:rPr>
    </w:lvl>
    <w:lvl w:ilvl="6">
      <w:start w:val="1"/>
      <w:numFmt w:val="bullet"/>
      <w:isLgl w:val="false"/>
      <w:suff w:val="tab"/>
      <w:lvlText w:val=""/>
      <w:lvlJc w:val="left"/>
      <w:pPr>
        <w:ind w:left="5040" w:hanging="360"/>
        <w:tabs>
          <w:tab w:val="num" w:pos="5040" w:leader="none"/>
        </w:tabs>
      </w:pPr>
      <w:rPr>
        <w:rFonts w:ascii="Symbol" w:hAnsi="Symbol" w:cs="Times New Roman"/>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cs="Times New Roman"/>
      </w:rPr>
    </w:lvl>
  </w:abstractNum>
  <w:abstractNum w:abstractNumId="17">
    <w:multiLevelType w:val="hybridMultilevel"/>
    <w:lvl w:ilvl="0">
      <w:start w:val="2"/>
      <w:numFmt w:val="bullet"/>
      <w:isLgl w:val="false"/>
      <w:suff w:val="tab"/>
      <w:lvlText w:val="-"/>
      <w:lvlJc w:val="left"/>
      <w:pPr>
        <w:ind w:left="720" w:hanging="360"/>
        <w:tabs>
          <w:tab w:val="num" w:pos="720" w:leader="none"/>
        </w:tabs>
      </w:pPr>
      <w:rPr>
        <w:rFonts w:ascii="Times New Roman" w:hAnsi="Times New Roman" w:eastAsia="Times New Roman"/>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cs="Times New Roman"/>
      </w:rPr>
    </w:lvl>
    <w:lvl w:ilvl="3">
      <w:start w:val="1"/>
      <w:numFmt w:val="bullet"/>
      <w:isLgl w:val="false"/>
      <w:suff w:val="tab"/>
      <w:lvlText w:val=""/>
      <w:lvlJc w:val="left"/>
      <w:pPr>
        <w:ind w:left="2880" w:hanging="360"/>
        <w:tabs>
          <w:tab w:val="num" w:pos="2880" w:leader="none"/>
        </w:tabs>
      </w:pPr>
      <w:rPr>
        <w:rFonts w:ascii="Symbol" w:hAnsi="Symbol" w:cs="Times New Roman"/>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cs="Times New Roman"/>
      </w:rPr>
    </w:lvl>
    <w:lvl w:ilvl="6">
      <w:start w:val="1"/>
      <w:numFmt w:val="bullet"/>
      <w:isLgl w:val="false"/>
      <w:suff w:val="tab"/>
      <w:lvlText w:val=""/>
      <w:lvlJc w:val="left"/>
      <w:pPr>
        <w:ind w:left="5040" w:hanging="360"/>
        <w:tabs>
          <w:tab w:val="num" w:pos="5040" w:leader="none"/>
        </w:tabs>
      </w:pPr>
      <w:rPr>
        <w:rFonts w:ascii="Symbol" w:hAnsi="Symbol" w:cs="Times New Roman"/>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cs="Times New Roman"/>
      </w:rPr>
    </w:lvl>
  </w:abstractNum>
  <w:abstractNum w:abstractNumId="18">
    <w:multiLevelType w:val="hybridMultilevel"/>
    <w:lvl w:ilvl="0">
      <w:start w:val="1"/>
      <w:numFmt w:val="bullet"/>
      <w:isLgl w:val="false"/>
      <w:suff w:val="tab"/>
      <w:lvlText w:val=""/>
      <w:lvlJc w:val="left"/>
      <w:pPr>
        <w:ind w:left="720" w:hanging="360"/>
        <w:tabs>
          <w:tab w:val="num" w:pos="720" w:leader="none"/>
        </w:tabs>
      </w:pPr>
      <w:rPr>
        <w:rFonts w:ascii="Symbol" w:hAnsi="Symbol"/>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rPr>
    </w:lvl>
    <w:lvl w:ilvl="3">
      <w:start w:val="1"/>
      <w:numFmt w:val="bullet"/>
      <w:isLgl w:val="false"/>
      <w:suff w:val="tab"/>
      <w:lvlText w:val=""/>
      <w:lvlJc w:val="left"/>
      <w:pPr>
        <w:ind w:left="2880" w:hanging="360"/>
        <w:tabs>
          <w:tab w:val="num" w:pos="2880" w:leader="none"/>
        </w:tabs>
      </w:pPr>
      <w:rPr>
        <w:rFonts w:ascii="Symbol" w:hAnsi="Symbol"/>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rPr>
    </w:lvl>
    <w:lvl w:ilvl="6">
      <w:start w:val="1"/>
      <w:numFmt w:val="bullet"/>
      <w:isLgl w:val="false"/>
      <w:suff w:val="tab"/>
      <w:lvlText w:val=""/>
      <w:lvlJc w:val="left"/>
      <w:pPr>
        <w:ind w:left="5040" w:hanging="360"/>
        <w:tabs>
          <w:tab w:val="num" w:pos="5040" w:leader="none"/>
        </w:tabs>
      </w:pPr>
      <w:rPr>
        <w:rFonts w:ascii="Symbol" w:hAnsi="Symbol"/>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rPr>
    </w:lvl>
  </w:abstractNum>
  <w:abstractNum w:abstractNumId="19">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0">
    <w:multiLevelType w:val="hybridMultilevel"/>
    <w:lvl w:ilvl="0">
      <w:start w:val="1"/>
      <w:numFmt w:val="decimal"/>
      <w:isLgl w:val="false"/>
      <w:suff w:val="tab"/>
      <w:lvlText w:val="%1."/>
      <w:lvlJc w:val="left"/>
      <w:pPr>
        <w:ind w:left="360" w:hanging="360"/>
      </w:pPr>
    </w:lvl>
    <w:lvl w:ilvl="1">
      <w:start w:val="1"/>
      <w:numFmt w:val="lowerLetter"/>
      <w:isLgl w:val="false"/>
      <w:suff w:val="tab"/>
      <w:lvlText w:val="%2."/>
      <w:lvlJc w:val="left"/>
      <w:pPr>
        <w:ind w:left="1080" w:hanging="360"/>
      </w:pPr>
    </w:lvl>
    <w:lvl w:ilvl="2">
      <w:start w:val="1"/>
      <w:numFmt w:val="lowerRoman"/>
      <w:isLgl w:val="false"/>
      <w:suff w:val="tab"/>
      <w:lvlText w:val="%3."/>
      <w:lvlJc w:val="right"/>
      <w:pPr>
        <w:ind w:left="1800" w:hanging="180"/>
      </w:pPr>
    </w:lvl>
    <w:lvl w:ilvl="3">
      <w:start w:val="1"/>
      <w:numFmt w:val="decimal"/>
      <w:isLgl w:val="false"/>
      <w:suff w:val="tab"/>
      <w:lvlText w:val="%4."/>
      <w:lvlJc w:val="left"/>
      <w:pPr>
        <w:ind w:left="2520" w:hanging="360"/>
      </w:pPr>
    </w:lvl>
    <w:lvl w:ilvl="4">
      <w:start w:val="1"/>
      <w:numFmt w:val="lowerLetter"/>
      <w:isLgl w:val="false"/>
      <w:suff w:val="tab"/>
      <w:lvlText w:val="%5."/>
      <w:lvlJc w:val="left"/>
      <w:pPr>
        <w:ind w:left="3240" w:hanging="360"/>
      </w:pPr>
    </w:lvl>
    <w:lvl w:ilvl="5">
      <w:start w:val="1"/>
      <w:numFmt w:val="lowerRoman"/>
      <w:isLgl w:val="false"/>
      <w:suff w:val="tab"/>
      <w:lvlText w:val="%6."/>
      <w:lvlJc w:val="right"/>
      <w:pPr>
        <w:ind w:left="3960" w:hanging="180"/>
      </w:pPr>
    </w:lvl>
    <w:lvl w:ilvl="6">
      <w:start w:val="1"/>
      <w:numFmt w:val="decimal"/>
      <w:isLgl w:val="false"/>
      <w:suff w:val="tab"/>
      <w:lvlText w:val="%7."/>
      <w:lvlJc w:val="left"/>
      <w:pPr>
        <w:ind w:left="4680" w:hanging="360"/>
      </w:pPr>
    </w:lvl>
    <w:lvl w:ilvl="7">
      <w:start w:val="1"/>
      <w:numFmt w:val="lowerLetter"/>
      <w:isLgl w:val="false"/>
      <w:suff w:val="tab"/>
      <w:lvlText w:val="%8."/>
      <w:lvlJc w:val="left"/>
      <w:pPr>
        <w:ind w:left="5400" w:hanging="360"/>
      </w:pPr>
    </w:lvl>
    <w:lvl w:ilvl="8">
      <w:start w:val="1"/>
      <w:numFmt w:val="lowerRoman"/>
      <w:isLgl w:val="false"/>
      <w:suff w:val="tab"/>
      <w:lvlText w:val="%9."/>
      <w:lvlJc w:val="right"/>
      <w:pPr>
        <w:ind w:left="6120" w:hanging="180"/>
      </w:pPr>
    </w:lvl>
  </w:abstractNum>
  <w:abstractNum w:abstractNumId="21">
    <w:multiLevelType w:val="hybridMultilevel"/>
    <w:lvl w:ilvl="0">
      <w:start w:val="0"/>
      <w:numFmt w:val="bullet"/>
      <w:isLgl w:val="false"/>
      <w:suff w:val="tab"/>
      <w:lvlText w:val="-"/>
      <w:lvlJc w:val="left"/>
      <w:pPr>
        <w:ind w:left="1140" w:hanging="360"/>
        <w:tabs>
          <w:tab w:val="num" w:pos="1140" w:leader="none"/>
        </w:tabs>
      </w:pPr>
      <w:rPr>
        <w:rFonts w:ascii="Times New Roman" w:hAnsi="Times New Roman" w:eastAsia="Times New Roman"/>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cs="Times New Roman"/>
      </w:rPr>
    </w:lvl>
    <w:lvl w:ilvl="3">
      <w:start w:val="1"/>
      <w:numFmt w:val="bullet"/>
      <w:isLgl w:val="false"/>
      <w:suff w:val="tab"/>
      <w:lvlText w:val=""/>
      <w:lvlJc w:val="left"/>
      <w:pPr>
        <w:ind w:left="2880" w:hanging="360"/>
        <w:tabs>
          <w:tab w:val="num" w:pos="2880" w:leader="none"/>
        </w:tabs>
      </w:pPr>
      <w:rPr>
        <w:rFonts w:ascii="Symbol" w:hAnsi="Symbol" w:cs="Times New Roman"/>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cs="Times New Roman"/>
      </w:rPr>
    </w:lvl>
    <w:lvl w:ilvl="6">
      <w:start w:val="1"/>
      <w:numFmt w:val="bullet"/>
      <w:isLgl w:val="false"/>
      <w:suff w:val="tab"/>
      <w:lvlText w:val=""/>
      <w:lvlJc w:val="left"/>
      <w:pPr>
        <w:ind w:left="5040" w:hanging="360"/>
        <w:tabs>
          <w:tab w:val="num" w:pos="5040" w:leader="none"/>
        </w:tabs>
      </w:pPr>
      <w:rPr>
        <w:rFonts w:ascii="Symbol" w:hAnsi="Symbol" w:cs="Times New Roman"/>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cs="Times New Roman"/>
      </w:rPr>
    </w:lvl>
  </w:abstractNum>
  <w:abstractNum w:abstractNumId="22">
    <w:multiLevelType w:val="hybridMultilevel"/>
    <w:lvl w:ilvl="0">
      <w:start w:val="2"/>
      <w:numFmt w:val="bullet"/>
      <w:isLgl w:val="false"/>
      <w:suff w:val="tab"/>
      <w:lvlText w:val="-"/>
      <w:lvlJc w:val="left"/>
      <w:pPr>
        <w:ind w:left="720" w:hanging="360"/>
        <w:tabs>
          <w:tab w:val="num" w:pos="720" w:leader="none"/>
        </w:tabs>
      </w:pPr>
      <w:rPr>
        <w:rFonts w:ascii="Times New Roman" w:hAnsi="Times New Roman" w:eastAsia="Times New Roman"/>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rPr>
    </w:lvl>
    <w:lvl w:ilvl="3">
      <w:start w:val="1"/>
      <w:numFmt w:val="bullet"/>
      <w:isLgl w:val="false"/>
      <w:suff w:val="tab"/>
      <w:lvlText w:val=""/>
      <w:lvlJc w:val="left"/>
      <w:pPr>
        <w:ind w:left="2880" w:hanging="360"/>
        <w:tabs>
          <w:tab w:val="num" w:pos="2880" w:leader="none"/>
        </w:tabs>
      </w:pPr>
      <w:rPr>
        <w:rFonts w:ascii="Symbol" w:hAnsi="Symbol"/>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rPr>
    </w:lvl>
    <w:lvl w:ilvl="6">
      <w:start w:val="1"/>
      <w:numFmt w:val="bullet"/>
      <w:isLgl w:val="false"/>
      <w:suff w:val="tab"/>
      <w:lvlText w:val=""/>
      <w:lvlJc w:val="left"/>
      <w:pPr>
        <w:ind w:left="5040" w:hanging="360"/>
        <w:tabs>
          <w:tab w:val="num" w:pos="5040" w:leader="none"/>
        </w:tabs>
      </w:pPr>
      <w:rPr>
        <w:rFonts w:ascii="Symbol" w:hAnsi="Symbol"/>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rPr>
    </w:lvl>
  </w:abstractNum>
  <w:abstractNum w:abstractNumId="23">
    <w:multiLevelType w:val="hybridMultilevel"/>
    <w:lvl w:ilvl="0">
      <w:start w:val="1"/>
      <w:numFmt w:val="bullet"/>
      <w:isLgl w:val="false"/>
      <w:suff w:val="tab"/>
      <w:lvlText w:val=""/>
      <w:lvlJc w:val="left"/>
      <w:pPr>
        <w:ind w:left="720" w:hanging="360"/>
      </w:pPr>
      <w:rPr>
        <w:rFonts w:ascii="Symbol" w:hAnsi="Symbol"/>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24">
    <w:multiLevelType w:val="hybridMultilevel"/>
    <w:lvl w:ilvl="0">
      <w:start w:val="7"/>
      <w:numFmt w:val="bullet"/>
      <w:isLgl w:val="false"/>
      <w:suff w:val="tab"/>
      <w:lvlText w:val="-"/>
      <w:lvlJc w:val="left"/>
      <w:pPr>
        <w:ind w:left="720" w:hanging="360"/>
        <w:tabs>
          <w:tab w:val="num" w:pos="720" w:leader="none"/>
        </w:tabs>
      </w:pPr>
      <w:rPr>
        <w:rFonts w:ascii="Times New Roman" w:hAnsi="Times New Roman" w:eastAsia="Times New Roman"/>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cs="Times New Roman"/>
      </w:rPr>
    </w:lvl>
    <w:lvl w:ilvl="3">
      <w:start w:val="1"/>
      <w:numFmt w:val="bullet"/>
      <w:isLgl w:val="false"/>
      <w:suff w:val="tab"/>
      <w:lvlText w:val=""/>
      <w:lvlJc w:val="left"/>
      <w:pPr>
        <w:ind w:left="2880" w:hanging="360"/>
        <w:tabs>
          <w:tab w:val="num" w:pos="2880" w:leader="none"/>
        </w:tabs>
      </w:pPr>
      <w:rPr>
        <w:rFonts w:ascii="Symbol" w:hAnsi="Symbol" w:cs="Times New Roman"/>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cs="Times New Roman"/>
      </w:rPr>
    </w:lvl>
    <w:lvl w:ilvl="6">
      <w:start w:val="1"/>
      <w:numFmt w:val="bullet"/>
      <w:isLgl w:val="false"/>
      <w:suff w:val="tab"/>
      <w:lvlText w:val=""/>
      <w:lvlJc w:val="left"/>
      <w:pPr>
        <w:ind w:left="5040" w:hanging="360"/>
        <w:tabs>
          <w:tab w:val="num" w:pos="5040" w:leader="none"/>
        </w:tabs>
      </w:pPr>
      <w:rPr>
        <w:rFonts w:ascii="Symbol" w:hAnsi="Symbol" w:cs="Times New Roman"/>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cs="Times New Roman"/>
      </w:rPr>
    </w:lvl>
  </w:abstractNum>
  <w:abstractNum w:abstractNumId="25">
    <w:multiLevelType w:val="hybridMultilevel"/>
    <w:lvl w:ilvl="0">
      <w:start w:val="1"/>
      <w:numFmt w:val="decimal"/>
      <w:isLgl w:val="false"/>
      <w:suff w:val="tab"/>
      <w:lvlText w:val="%1."/>
      <w:lvlJc w:val="left"/>
      <w:pPr>
        <w:ind w:left="720" w:hanging="360"/>
      </w:pPr>
      <w:rPr>
        <w:sz w:val="20"/>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6">
    <w:multiLevelType w:val="hybridMultilevel"/>
    <w:lvl w:ilvl="0">
      <w:start w:val="1"/>
      <w:numFmt w:val="bullet"/>
      <w:isLgl w:val="false"/>
      <w:suff w:val="tab"/>
      <w:lvlText w:val=""/>
      <w:lvlJc w:val="left"/>
      <w:pPr>
        <w:ind w:left="720" w:hanging="360"/>
      </w:pPr>
      <w:rPr>
        <w:rFonts w:ascii="Symbol" w:hAnsi="Symbol"/>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27">
    <w:multiLevelType w:val="hybridMultilevel"/>
    <w:lvl w:ilvl="0">
      <w:start w:val="1"/>
      <w:numFmt w:val="bullet"/>
      <w:isLgl w:val="false"/>
      <w:suff w:val="tab"/>
      <w:lvlText w:val=""/>
      <w:lvlJc w:val="left"/>
      <w:pPr>
        <w:ind w:left="360" w:hanging="360"/>
      </w:pPr>
      <w:rPr>
        <w:rFonts w:ascii="Symbol" w:hAnsi="Symbol"/>
      </w:rPr>
    </w:lvl>
    <w:lvl w:ilvl="1">
      <w:start w:val="1"/>
      <w:numFmt w:val="bullet"/>
      <w:isLgl w:val="false"/>
      <w:suff w:val="tab"/>
      <w:lvlText w:val="o"/>
      <w:lvlJc w:val="left"/>
      <w:pPr>
        <w:ind w:left="1080" w:hanging="360"/>
      </w:pPr>
      <w:rPr>
        <w:rFonts w:ascii="Courier New" w:hAnsi="Courier New" w:cs="Courier New"/>
      </w:rPr>
    </w:lvl>
    <w:lvl w:ilvl="2">
      <w:start w:val="1"/>
      <w:numFmt w:val="bullet"/>
      <w:isLgl w:val="false"/>
      <w:suff w:val="tab"/>
      <w:lvlText w:val=""/>
      <w:lvlJc w:val="left"/>
      <w:pPr>
        <w:ind w:left="1800" w:hanging="360"/>
      </w:pPr>
      <w:rPr>
        <w:rFonts w:ascii="Wingdings" w:hAnsi="Wingdings"/>
      </w:rPr>
    </w:lvl>
    <w:lvl w:ilvl="3">
      <w:start w:val="1"/>
      <w:numFmt w:val="bullet"/>
      <w:isLgl w:val="false"/>
      <w:suff w:val="tab"/>
      <w:lvlText w:val=""/>
      <w:lvlJc w:val="left"/>
      <w:pPr>
        <w:ind w:left="2520" w:hanging="360"/>
      </w:pPr>
      <w:rPr>
        <w:rFonts w:ascii="Symbol" w:hAnsi="Symbol"/>
      </w:rPr>
    </w:lvl>
    <w:lvl w:ilvl="4">
      <w:start w:val="1"/>
      <w:numFmt w:val="bullet"/>
      <w:isLgl w:val="false"/>
      <w:suff w:val="tab"/>
      <w:lvlText w:val="o"/>
      <w:lvlJc w:val="left"/>
      <w:pPr>
        <w:ind w:left="3240" w:hanging="360"/>
      </w:pPr>
      <w:rPr>
        <w:rFonts w:ascii="Courier New" w:hAnsi="Courier New" w:cs="Courier New"/>
      </w:rPr>
    </w:lvl>
    <w:lvl w:ilvl="5">
      <w:start w:val="1"/>
      <w:numFmt w:val="bullet"/>
      <w:isLgl w:val="false"/>
      <w:suff w:val="tab"/>
      <w:lvlText w:val=""/>
      <w:lvlJc w:val="left"/>
      <w:pPr>
        <w:ind w:left="3960" w:hanging="360"/>
      </w:pPr>
      <w:rPr>
        <w:rFonts w:ascii="Wingdings" w:hAnsi="Wingdings"/>
      </w:rPr>
    </w:lvl>
    <w:lvl w:ilvl="6">
      <w:start w:val="1"/>
      <w:numFmt w:val="bullet"/>
      <w:isLgl w:val="false"/>
      <w:suff w:val="tab"/>
      <w:lvlText w:val=""/>
      <w:lvlJc w:val="left"/>
      <w:pPr>
        <w:ind w:left="4680" w:hanging="360"/>
      </w:pPr>
      <w:rPr>
        <w:rFonts w:ascii="Symbol" w:hAnsi="Symbol"/>
      </w:rPr>
    </w:lvl>
    <w:lvl w:ilvl="7">
      <w:start w:val="1"/>
      <w:numFmt w:val="bullet"/>
      <w:isLgl w:val="false"/>
      <w:suff w:val="tab"/>
      <w:lvlText w:val="o"/>
      <w:lvlJc w:val="left"/>
      <w:pPr>
        <w:ind w:left="5400" w:hanging="360"/>
      </w:pPr>
      <w:rPr>
        <w:rFonts w:ascii="Courier New" w:hAnsi="Courier New" w:cs="Courier New"/>
      </w:rPr>
    </w:lvl>
    <w:lvl w:ilvl="8">
      <w:start w:val="1"/>
      <w:numFmt w:val="bullet"/>
      <w:isLgl w:val="false"/>
      <w:suff w:val="tab"/>
      <w:lvlText w:val=""/>
      <w:lvlJc w:val="left"/>
      <w:pPr>
        <w:ind w:left="6120" w:hanging="360"/>
      </w:pPr>
      <w:rPr>
        <w:rFonts w:ascii="Wingdings" w:hAnsi="Wingdings"/>
      </w:rPr>
    </w:lvl>
  </w:abstractNum>
  <w:abstractNum w:abstractNumId="28">
    <w:multiLevelType w:val="hybridMultilevel"/>
    <w:lvl w:ilvl="0">
      <w:start w:val="1"/>
      <w:numFmt w:val="bullet"/>
      <w:isLgl w:val="false"/>
      <w:suff w:val="tab"/>
      <w:lvlText w:val=""/>
      <w:lvlJc w:val="left"/>
      <w:pPr>
        <w:ind w:left="720" w:hanging="360"/>
        <w:tabs>
          <w:tab w:val="num" w:pos="720" w:leader="none"/>
        </w:tabs>
      </w:pPr>
      <w:rPr>
        <w:rFonts w:ascii="Symbol" w:hAnsi="Symbol"/>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rPr>
    </w:lvl>
    <w:lvl w:ilvl="3">
      <w:start w:val="1"/>
      <w:numFmt w:val="bullet"/>
      <w:isLgl w:val="false"/>
      <w:suff w:val="tab"/>
      <w:lvlText w:val=""/>
      <w:lvlJc w:val="left"/>
      <w:pPr>
        <w:ind w:left="2880" w:hanging="360"/>
        <w:tabs>
          <w:tab w:val="num" w:pos="2880" w:leader="none"/>
        </w:tabs>
      </w:pPr>
      <w:rPr>
        <w:rFonts w:ascii="Symbol" w:hAnsi="Symbol"/>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rPr>
    </w:lvl>
    <w:lvl w:ilvl="6">
      <w:start w:val="1"/>
      <w:numFmt w:val="bullet"/>
      <w:isLgl w:val="false"/>
      <w:suff w:val="tab"/>
      <w:lvlText w:val=""/>
      <w:lvlJc w:val="left"/>
      <w:pPr>
        <w:ind w:left="5040" w:hanging="360"/>
        <w:tabs>
          <w:tab w:val="num" w:pos="5040" w:leader="none"/>
        </w:tabs>
      </w:pPr>
      <w:rPr>
        <w:rFonts w:ascii="Symbol" w:hAnsi="Symbol"/>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rPr>
    </w:lvl>
  </w:abstractNum>
  <w:abstractNum w:abstractNumId="29">
    <w:multiLevelType w:val="hybridMultilevel"/>
    <w:lvl w:ilvl="0">
      <w:start w:val="1"/>
      <w:numFmt w:val="bullet"/>
      <w:isLgl w:val="false"/>
      <w:suff w:val="tab"/>
      <w:lvlText w:val=""/>
      <w:lvlJc w:val="left"/>
      <w:pPr>
        <w:ind w:left="720" w:hanging="360"/>
      </w:pPr>
      <w:rPr>
        <w:rFonts w:ascii="Symbol" w:hAnsi="Symbol"/>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30">
    <w:multiLevelType w:val="hybridMultilevel"/>
    <w:lvl w:ilvl="0">
      <w:start w:val="1"/>
      <w:numFmt w:val="bullet"/>
      <w:isLgl w:val="false"/>
      <w:suff w:val="tab"/>
      <w:lvlText w:val=""/>
      <w:lvlJc w:val="left"/>
      <w:pPr>
        <w:ind w:left="964" w:hanging="255"/>
        <w:tabs>
          <w:tab w:val="num" w:pos="964" w:leader="none"/>
        </w:tabs>
      </w:pPr>
      <w:rPr>
        <w:rFonts w:ascii="Symbol" w:hAnsi="Symbol"/>
        <w:color w:val="000000"/>
      </w:rPr>
    </w:lvl>
    <w:lvl w:ilvl="1">
      <w:start w:val="1"/>
      <w:numFmt w:val="bullet"/>
      <w:isLgl w:val="false"/>
      <w:suff w:val="tab"/>
      <w:lvlText w:val="o"/>
      <w:lvlJc w:val="left"/>
      <w:pPr>
        <w:ind w:left="1440" w:hanging="360"/>
        <w:tabs>
          <w:tab w:val="num" w:pos="1440" w:leader="none"/>
        </w:tabs>
      </w:pPr>
      <w:rPr>
        <w:rFonts w:ascii="Courier New" w:hAnsi="Courier New"/>
      </w:rPr>
    </w:lvl>
    <w:lvl w:ilvl="2">
      <w:start w:val="1"/>
      <w:numFmt w:val="bullet"/>
      <w:isLgl w:val="false"/>
      <w:suff w:val="tab"/>
      <w:lvlText w:val=""/>
      <w:lvlJc w:val="left"/>
      <w:pPr>
        <w:ind w:left="2160" w:hanging="360"/>
        <w:tabs>
          <w:tab w:val="num" w:pos="2160" w:leader="none"/>
        </w:tabs>
      </w:pPr>
      <w:rPr>
        <w:rFonts w:ascii="Wingdings" w:hAnsi="Wingdings"/>
      </w:rPr>
    </w:lvl>
    <w:lvl w:ilvl="3">
      <w:start w:val="1"/>
      <w:numFmt w:val="bullet"/>
      <w:isLgl w:val="false"/>
      <w:suff w:val="tab"/>
      <w:lvlText w:val=""/>
      <w:lvlJc w:val="left"/>
      <w:pPr>
        <w:ind w:left="2880" w:hanging="360"/>
        <w:tabs>
          <w:tab w:val="num" w:pos="2880" w:leader="none"/>
        </w:tabs>
      </w:pPr>
      <w:rPr>
        <w:rFonts w:ascii="Symbol" w:hAnsi="Symbol"/>
      </w:rPr>
    </w:lvl>
    <w:lvl w:ilvl="4">
      <w:start w:val="1"/>
      <w:numFmt w:val="bullet"/>
      <w:isLgl w:val="false"/>
      <w:suff w:val="tab"/>
      <w:lvlText w:val="o"/>
      <w:lvlJc w:val="left"/>
      <w:pPr>
        <w:ind w:left="3600" w:hanging="360"/>
        <w:tabs>
          <w:tab w:val="num" w:pos="3600" w:leader="none"/>
        </w:tabs>
      </w:pPr>
      <w:rPr>
        <w:rFonts w:ascii="Courier New" w:hAnsi="Courier New"/>
      </w:rPr>
    </w:lvl>
    <w:lvl w:ilvl="5">
      <w:start w:val="1"/>
      <w:numFmt w:val="bullet"/>
      <w:isLgl w:val="false"/>
      <w:suff w:val="tab"/>
      <w:lvlText w:val=""/>
      <w:lvlJc w:val="left"/>
      <w:pPr>
        <w:ind w:left="4320" w:hanging="360"/>
        <w:tabs>
          <w:tab w:val="num" w:pos="4320" w:leader="none"/>
        </w:tabs>
      </w:pPr>
      <w:rPr>
        <w:rFonts w:ascii="Wingdings" w:hAnsi="Wingdings"/>
      </w:rPr>
    </w:lvl>
    <w:lvl w:ilvl="6">
      <w:start w:val="1"/>
      <w:numFmt w:val="bullet"/>
      <w:isLgl w:val="false"/>
      <w:suff w:val="tab"/>
      <w:lvlText w:val=""/>
      <w:lvlJc w:val="left"/>
      <w:pPr>
        <w:ind w:left="5040" w:hanging="360"/>
        <w:tabs>
          <w:tab w:val="num" w:pos="5040" w:leader="none"/>
        </w:tabs>
      </w:pPr>
      <w:rPr>
        <w:rFonts w:ascii="Symbol" w:hAnsi="Symbol"/>
      </w:rPr>
    </w:lvl>
    <w:lvl w:ilvl="7">
      <w:start w:val="1"/>
      <w:numFmt w:val="bullet"/>
      <w:isLgl w:val="false"/>
      <w:suff w:val="tab"/>
      <w:lvlText w:val="o"/>
      <w:lvlJc w:val="left"/>
      <w:pPr>
        <w:ind w:left="5760" w:hanging="360"/>
        <w:tabs>
          <w:tab w:val="num" w:pos="5760" w:leader="none"/>
        </w:tabs>
      </w:pPr>
      <w:rPr>
        <w:rFonts w:ascii="Courier New" w:hAnsi="Courier New"/>
      </w:rPr>
    </w:lvl>
    <w:lvl w:ilvl="8">
      <w:start w:val="1"/>
      <w:numFmt w:val="bullet"/>
      <w:isLgl w:val="false"/>
      <w:suff w:val="tab"/>
      <w:lvlText w:val=""/>
      <w:lvlJc w:val="left"/>
      <w:pPr>
        <w:ind w:left="6480" w:hanging="360"/>
        <w:tabs>
          <w:tab w:val="num" w:pos="6480" w:leader="none"/>
        </w:tabs>
      </w:pPr>
      <w:rPr>
        <w:rFonts w:ascii="Wingdings" w:hAnsi="Wingdings"/>
      </w:rPr>
    </w:lvl>
  </w:abstractNum>
  <w:abstractNum w:abstractNumId="31">
    <w:multiLevelType w:val="hybridMultilevel"/>
    <w:lvl w:ilvl="0">
      <w:start w:val="1"/>
      <w:numFmt w:val="bullet"/>
      <w:isLgl w:val="false"/>
      <w:suff w:val="tab"/>
      <w:lvlText w:val=""/>
      <w:lvlJc w:val="left"/>
      <w:pPr>
        <w:ind w:left="1429" w:hanging="360"/>
      </w:pPr>
      <w:rPr>
        <w:rFonts w:ascii="Symbol" w:hAnsi="Symbol"/>
        <w:color w:val="000000"/>
      </w:rPr>
    </w:lvl>
    <w:lvl w:ilvl="1">
      <w:start w:val="1"/>
      <w:numFmt w:val="bullet"/>
      <w:isLgl w:val="false"/>
      <w:suff w:val="tab"/>
      <w:lvlText w:val="o"/>
      <w:lvlJc w:val="left"/>
      <w:pPr>
        <w:ind w:left="2149" w:hanging="360"/>
      </w:pPr>
      <w:rPr>
        <w:rFonts w:ascii="Courier New" w:hAnsi="Courier New" w:cs="Courier New"/>
      </w:rPr>
    </w:lvl>
    <w:lvl w:ilvl="2">
      <w:start w:val="1"/>
      <w:numFmt w:val="bullet"/>
      <w:isLgl w:val="false"/>
      <w:suff w:val="tab"/>
      <w:lvlText w:val=""/>
      <w:lvlJc w:val="left"/>
      <w:pPr>
        <w:ind w:left="2869" w:hanging="360"/>
      </w:pPr>
      <w:rPr>
        <w:rFonts w:ascii="Wingdings" w:hAnsi="Wingdings"/>
      </w:rPr>
    </w:lvl>
    <w:lvl w:ilvl="3">
      <w:start w:val="1"/>
      <w:numFmt w:val="bullet"/>
      <w:isLgl w:val="false"/>
      <w:suff w:val="tab"/>
      <w:lvlText w:val=""/>
      <w:lvlJc w:val="left"/>
      <w:pPr>
        <w:ind w:left="3589" w:hanging="360"/>
      </w:pPr>
      <w:rPr>
        <w:rFonts w:ascii="Symbol" w:hAnsi="Symbol"/>
      </w:rPr>
    </w:lvl>
    <w:lvl w:ilvl="4">
      <w:start w:val="1"/>
      <w:numFmt w:val="bullet"/>
      <w:isLgl w:val="false"/>
      <w:suff w:val="tab"/>
      <w:lvlText w:val="o"/>
      <w:lvlJc w:val="left"/>
      <w:pPr>
        <w:ind w:left="4309" w:hanging="360"/>
      </w:pPr>
      <w:rPr>
        <w:rFonts w:ascii="Courier New" w:hAnsi="Courier New" w:cs="Courier New"/>
      </w:rPr>
    </w:lvl>
    <w:lvl w:ilvl="5">
      <w:start w:val="1"/>
      <w:numFmt w:val="bullet"/>
      <w:isLgl w:val="false"/>
      <w:suff w:val="tab"/>
      <w:lvlText w:val=""/>
      <w:lvlJc w:val="left"/>
      <w:pPr>
        <w:ind w:left="5029" w:hanging="360"/>
      </w:pPr>
      <w:rPr>
        <w:rFonts w:ascii="Wingdings" w:hAnsi="Wingdings"/>
      </w:rPr>
    </w:lvl>
    <w:lvl w:ilvl="6">
      <w:start w:val="1"/>
      <w:numFmt w:val="bullet"/>
      <w:isLgl w:val="false"/>
      <w:suff w:val="tab"/>
      <w:lvlText w:val=""/>
      <w:lvlJc w:val="left"/>
      <w:pPr>
        <w:ind w:left="5749" w:hanging="360"/>
      </w:pPr>
      <w:rPr>
        <w:rFonts w:ascii="Symbol" w:hAnsi="Symbol"/>
      </w:rPr>
    </w:lvl>
    <w:lvl w:ilvl="7">
      <w:start w:val="1"/>
      <w:numFmt w:val="bullet"/>
      <w:isLgl w:val="false"/>
      <w:suff w:val="tab"/>
      <w:lvlText w:val="o"/>
      <w:lvlJc w:val="left"/>
      <w:pPr>
        <w:ind w:left="6469" w:hanging="360"/>
      </w:pPr>
      <w:rPr>
        <w:rFonts w:ascii="Courier New" w:hAnsi="Courier New" w:cs="Courier New"/>
      </w:rPr>
    </w:lvl>
    <w:lvl w:ilvl="8">
      <w:start w:val="1"/>
      <w:numFmt w:val="bullet"/>
      <w:isLgl w:val="false"/>
      <w:suff w:val="tab"/>
      <w:lvlText w:val=""/>
      <w:lvlJc w:val="left"/>
      <w:pPr>
        <w:ind w:left="7189" w:hanging="360"/>
      </w:pPr>
      <w:rPr>
        <w:rFonts w:ascii="Wingdings" w:hAnsi="Wingdings"/>
      </w:rPr>
    </w:lvl>
  </w:abstractNum>
  <w:abstractNum w:abstractNumId="32">
    <w:multiLevelType w:val="hybridMultilevel"/>
    <w:lvl w:ilvl="0">
      <w:start w:val="1"/>
      <w:numFmt w:val="bullet"/>
      <w:isLgl w:val="false"/>
      <w:suff w:val="tab"/>
      <w:lvlText w:val=""/>
      <w:lvlJc w:val="left"/>
      <w:pPr>
        <w:ind w:left="720" w:hanging="360"/>
      </w:pPr>
      <w:rPr>
        <w:rFonts w:ascii="Symbol" w:hAnsi="Symbol"/>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33">
    <w:multiLevelType w:val="hybridMultilevel"/>
    <w:lvl w:ilvl="0">
      <w:start w:val="1"/>
      <w:numFmt w:val="bullet"/>
      <w:isLgl w:val="false"/>
      <w:suff w:val="tab"/>
      <w:lvlText w:val=""/>
      <w:lvlJc w:val="left"/>
      <w:pPr>
        <w:ind w:left="762" w:hanging="360"/>
      </w:pPr>
      <w:rPr>
        <w:rFonts w:ascii="Symbol" w:hAnsi="Symbol"/>
      </w:rPr>
    </w:lvl>
    <w:lvl w:ilvl="1">
      <w:start w:val="1"/>
      <w:numFmt w:val="bullet"/>
      <w:isLgl w:val="false"/>
      <w:suff w:val="tab"/>
      <w:lvlText w:val="o"/>
      <w:lvlJc w:val="left"/>
      <w:pPr>
        <w:ind w:left="1482" w:hanging="360"/>
      </w:pPr>
      <w:rPr>
        <w:rFonts w:ascii="Courier New" w:hAnsi="Courier New" w:cs="Courier New"/>
      </w:rPr>
    </w:lvl>
    <w:lvl w:ilvl="2">
      <w:start w:val="1"/>
      <w:numFmt w:val="bullet"/>
      <w:isLgl w:val="false"/>
      <w:suff w:val="tab"/>
      <w:lvlText w:val=""/>
      <w:lvlJc w:val="left"/>
      <w:pPr>
        <w:ind w:left="2202" w:hanging="360"/>
      </w:pPr>
      <w:rPr>
        <w:rFonts w:ascii="Wingdings" w:hAnsi="Wingdings"/>
      </w:rPr>
    </w:lvl>
    <w:lvl w:ilvl="3">
      <w:start w:val="1"/>
      <w:numFmt w:val="bullet"/>
      <w:isLgl w:val="false"/>
      <w:suff w:val="tab"/>
      <w:lvlText w:val=""/>
      <w:lvlJc w:val="left"/>
      <w:pPr>
        <w:ind w:left="2922" w:hanging="360"/>
      </w:pPr>
      <w:rPr>
        <w:rFonts w:ascii="Symbol" w:hAnsi="Symbol"/>
      </w:rPr>
    </w:lvl>
    <w:lvl w:ilvl="4">
      <w:start w:val="1"/>
      <w:numFmt w:val="bullet"/>
      <w:isLgl w:val="false"/>
      <w:suff w:val="tab"/>
      <w:lvlText w:val="o"/>
      <w:lvlJc w:val="left"/>
      <w:pPr>
        <w:ind w:left="3642" w:hanging="360"/>
      </w:pPr>
      <w:rPr>
        <w:rFonts w:ascii="Courier New" w:hAnsi="Courier New" w:cs="Courier New"/>
      </w:rPr>
    </w:lvl>
    <w:lvl w:ilvl="5">
      <w:start w:val="1"/>
      <w:numFmt w:val="bullet"/>
      <w:isLgl w:val="false"/>
      <w:suff w:val="tab"/>
      <w:lvlText w:val=""/>
      <w:lvlJc w:val="left"/>
      <w:pPr>
        <w:ind w:left="4362" w:hanging="360"/>
      </w:pPr>
      <w:rPr>
        <w:rFonts w:ascii="Wingdings" w:hAnsi="Wingdings"/>
      </w:rPr>
    </w:lvl>
    <w:lvl w:ilvl="6">
      <w:start w:val="1"/>
      <w:numFmt w:val="bullet"/>
      <w:isLgl w:val="false"/>
      <w:suff w:val="tab"/>
      <w:lvlText w:val=""/>
      <w:lvlJc w:val="left"/>
      <w:pPr>
        <w:ind w:left="5082" w:hanging="360"/>
      </w:pPr>
      <w:rPr>
        <w:rFonts w:ascii="Symbol" w:hAnsi="Symbol"/>
      </w:rPr>
    </w:lvl>
    <w:lvl w:ilvl="7">
      <w:start w:val="1"/>
      <w:numFmt w:val="bullet"/>
      <w:isLgl w:val="false"/>
      <w:suff w:val="tab"/>
      <w:lvlText w:val="o"/>
      <w:lvlJc w:val="left"/>
      <w:pPr>
        <w:ind w:left="5802" w:hanging="360"/>
      </w:pPr>
      <w:rPr>
        <w:rFonts w:ascii="Courier New" w:hAnsi="Courier New" w:cs="Courier New"/>
      </w:rPr>
    </w:lvl>
    <w:lvl w:ilvl="8">
      <w:start w:val="1"/>
      <w:numFmt w:val="bullet"/>
      <w:isLgl w:val="false"/>
      <w:suff w:val="tab"/>
      <w:lvlText w:val=""/>
      <w:lvlJc w:val="left"/>
      <w:pPr>
        <w:ind w:left="6522" w:hanging="360"/>
      </w:pPr>
      <w:rPr>
        <w:rFonts w:ascii="Wingdings" w:hAnsi="Wingdings"/>
      </w:rPr>
    </w:lvl>
  </w:abstractNum>
  <w:abstractNum w:abstractNumId="34">
    <w:multiLevelType w:val="hybridMultilevel"/>
    <w:lvl w:ilvl="0">
      <w:start w:val="1"/>
      <w:numFmt w:val="bullet"/>
      <w:isLgl w:val="false"/>
      <w:suff w:val="tab"/>
      <w:lvlText w:val=""/>
      <w:lvlJc w:val="left"/>
      <w:pPr>
        <w:ind w:left="360" w:hanging="360"/>
      </w:pPr>
      <w:rPr>
        <w:rFonts w:ascii="Symbol" w:hAnsi="Symbol"/>
      </w:rPr>
    </w:lvl>
    <w:lvl w:ilvl="1">
      <w:start w:val="1"/>
      <w:numFmt w:val="bullet"/>
      <w:isLgl w:val="false"/>
      <w:suff w:val="tab"/>
      <w:lvlText w:val="o"/>
      <w:lvlJc w:val="left"/>
      <w:pPr>
        <w:ind w:left="1080" w:hanging="360"/>
      </w:pPr>
      <w:rPr>
        <w:rFonts w:ascii="Courier New" w:hAnsi="Courier New" w:cs="Courier New"/>
      </w:rPr>
    </w:lvl>
    <w:lvl w:ilvl="2">
      <w:start w:val="1"/>
      <w:numFmt w:val="bullet"/>
      <w:isLgl w:val="false"/>
      <w:suff w:val="tab"/>
      <w:lvlText w:val=""/>
      <w:lvlJc w:val="left"/>
      <w:pPr>
        <w:ind w:left="1800" w:hanging="360"/>
      </w:pPr>
      <w:rPr>
        <w:rFonts w:ascii="Wingdings" w:hAnsi="Wingdings"/>
      </w:rPr>
    </w:lvl>
    <w:lvl w:ilvl="3">
      <w:start w:val="1"/>
      <w:numFmt w:val="bullet"/>
      <w:isLgl w:val="false"/>
      <w:suff w:val="tab"/>
      <w:lvlText w:val=""/>
      <w:lvlJc w:val="left"/>
      <w:pPr>
        <w:ind w:left="2520" w:hanging="360"/>
      </w:pPr>
      <w:rPr>
        <w:rFonts w:ascii="Symbol" w:hAnsi="Symbol"/>
      </w:rPr>
    </w:lvl>
    <w:lvl w:ilvl="4">
      <w:start w:val="1"/>
      <w:numFmt w:val="bullet"/>
      <w:isLgl w:val="false"/>
      <w:suff w:val="tab"/>
      <w:lvlText w:val="o"/>
      <w:lvlJc w:val="left"/>
      <w:pPr>
        <w:ind w:left="3240" w:hanging="360"/>
      </w:pPr>
      <w:rPr>
        <w:rFonts w:ascii="Courier New" w:hAnsi="Courier New" w:cs="Courier New"/>
      </w:rPr>
    </w:lvl>
    <w:lvl w:ilvl="5">
      <w:start w:val="1"/>
      <w:numFmt w:val="bullet"/>
      <w:isLgl w:val="false"/>
      <w:suff w:val="tab"/>
      <w:lvlText w:val=""/>
      <w:lvlJc w:val="left"/>
      <w:pPr>
        <w:ind w:left="3960" w:hanging="360"/>
      </w:pPr>
      <w:rPr>
        <w:rFonts w:ascii="Wingdings" w:hAnsi="Wingdings"/>
      </w:rPr>
    </w:lvl>
    <w:lvl w:ilvl="6">
      <w:start w:val="1"/>
      <w:numFmt w:val="bullet"/>
      <w:isLgl w:val="false"/>
      <w:suff w:val="tab"/>
      <w:lvlText w:val=""/>
      <w:lvlJc w:val="left"/>
      <w:pPr>
        <w:ind w:left="4680" w:hanging="360"/>
      </w:pPr>
      <w:rPr>
        <w:rFonts w:ascii="Symbol" w:hAnsi="Symbol"/>
      </w:rPr>
    </w:lvl>
    <w:lvl w:ilvl="7">
      <w:start w:val="1"/>
      <w:numFmt w:val="bullet"/>
      <w:isLgl w:val="false"/>
      <w:suff w:val="tab"/>
      <w:lvlText w:val="o"/>
      <w:lvlJc w:val="left"/>
      <w:pPr>
        <w:ind w:left="5400" w:hanging="360"/>
      </w:pPr>
      <w:rPr>
        <w:rFonts w:ascii="Courier New" w:hAnsi="Courier New" w:cs="Courier New"/>
      </w:rPr>
    </w:lvl>
    <w:lvl w:ilvl="8">
      <w:start w:val="1"/>
      <w:numFmt w:val="bullet"/>
      <w:isLgl w:val="false"/>
      <w:suff w:val="tab"/>
      <w:lvlText w:val=""/>
      <w:lvlJc w:val="left"/>
      <w:pPr>
        <w:ind w:left="6120" w:hanging="360"/>
      </w:pPr>
      <w:rPr>
        <w:rFonts w:ascii="Wingdings" w:hAnsi="Wingdings"/>
      </w:rPr>
    </w:lvl>
  </w:abstractNum>
  <w:abstractNum w:abstractNumId="35">
    <w:multiLevelType w:val="hybridMultilevel"/>
    <w:lvl w:ilvl="0">
      <w:start w:val="1"/>
      <w:numFmt w:val="bullet"/>
      <w:isLgl w:val="false"/>
      <w:suff w:val="tab"/>
      <w:lvlText w:val=""/>
      <w:lvlJc w:val="left"/>
      <w:pPr>
        <w:ind w:left="720" w:hanging="360"/>
        <w:tabs>
          <w:tab w:val="num" w:pos="720" w:leader="none"/>
        </w:tabs>
      </w:pPr>
      <w:rPr>
        <w:rFonts w:ascii="Symbol" w:hAnsi="Symbol" w:cs="Times New Roman"/>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cs="Times New Roman"/>
      </w:rPr>
    </w:lvl>
    <w:lvl w:ilvl="3">
      <w:start w:val="1"/>
      <w:numFmt w:val="bullet"/>
      <w:isLgl w:val="false"/>
      <w:suff w:val="tab"/>
      <w:lvlText w:val=""/>
      <w:lvlJc w:val="left"/>
      <w:pPr>
        <w:ind w:left="2880" w:hanging="360"/>
        <w:tabs>
          <w:tab w:val="num" w:pos="2880" w:leader="none"/>
        </w:tabs>
      </w:pPr>
      <w:rPr>
        <w:rFonts w:ascii="Symbol" w:hAnsi="Symbol" w:cs="Times New Roman"/>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cs="Times New Roman"/>
      </w:rPr>
    </w:lvl>
    <w:lvl w:ilvl="6">
      <w:start w:val="1"/>
      <w:numFmt w:val="bullet"/>
      <w:isLgl w:val="false"/>
      <w:suff w:val="tab"/>
      <w:lvlText w:val=""/>
      <w:lvlJc w:val="left"/>
      <w:pPr>
        <w:ind w:left="5040" w:hanging="360"/>
        <w:tabs>
          <w:tab w:val="num" w:pos="5040" w:leader="none"/>
        </w:tabs>
      </w:pPr>
      <w:rPr>
        <w:rFonts w:ascii="Symbol" w:hAnsi="Symbol" w:cs="Times New Roman"/>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cs="Times New Roman"/>
      </w:rPr>
    </w:lvl>
  </w:abstractNum>
  <w:abstractNum w:abstractNumId="36">
    <w:multiLevelType w:val="hybridMultilevel"/>
    <w:lvl w:ilvl="0">
      <w:start w:val="1"/>
      <w:numFmt w:val="bullet"/>
      <w:isLgl w:val="false"/>
      <w:suff w:val="tab"/>
      <w:lvlText w:val=""/>
      <w:lvlJc w:val="left"/>
      <w:pPr>
        <w:ind w:left="360" w:hanging="360"/>
      </w:pPr>
      <w:rPr>
        <w:rFonts w:ascii="Symbol" w:hAnsi="Symbol"/>
      </w:rPr>
    </w:lvl>
    <w:lvl w:ilvl="1">
      <w:start w:val="1"/>
      <w:numFmt w:val="bullet"/>
      <w:isLgl w:val="false"/>
      <w:suff w:val="tab"/>
      <w:lvlText w:val="o"/>
      <w:lvlJc w:val="left"/>
      <w:pPr>
        <w:ind w:left="1080" w:hanging="360"/>
      </w:pPr>
      <w:rPr>
        <w:rFonts w:ascii="Courier New" w:hAnsi="Courier New" w:cs="Courier New"/>
      </w:rPr>
    </w:lvl>
    <w:lvl w:ilvl="2">
      <w:start w:val="1"/>
      <w:numFmt w:val="bullet"/>
      <w:isLgl w:val="false"/>
      <w:suff w:val="tab"/>
      <w:lvlText w:val=""/>
      <w:lvlJc w:val="left"/>
      <w:pPr>
        <w:ind w:left="1800" w:hanging="360"/>
      </w:pPr>
      <w:rPr>
        <w:rFonts w:ascii="Wingdings" w:hAnsi="Wingdings"/>
      </w:rPr>
    </w:lvl>
    <w:lvl w:ilvl="3">
      <w:start w:val="1"/>
      <w:numFmt w:val="bullet"/>
      <w:isLgl w:val="false"/>
      <w:suff w:val="tab"/>
      <w:lvlText w:val=""/>
      <w:lvlJc w:val="left"/>
      <w:pPr>
        <w:ind w:left="2520" w:hanging="360"/>
      </w:pPr>
      <w:rPr>
        <w:rFonts w:ascii="Symbol" w:hAnsi="Symbol"/>
      </w:rPr>
    </w:lvl>
    <w:lvl w:ilvl="4">
      <w:start w:val="1"/>
      <w:numFmt w:val="bullet"/>
      <w:isLgl w:val="false"/>
      <w:suff w:val="tab"/>
      <w:lvlText w:val="o"/>
      <w:lvlJc w:val="left"/>
      <w:pPr>
        <w:ind w:left="3240" w:hanging="360"/>
      </w:pPr>
      <w:rPr>
        <w:rFonts w:ascii="Courier New" w:hAnsi="Courier New" w:cs="Courier New"/>
      </w:rPr>
    </w:lvl>
    <w:lvl w:ilvl="5">
      <w:start w:val="1"/>
      <w:numFmt w:val="bullet"/>
      <w:isLgl w:val="false"/>
      <w:suff w:val="tab"/>
      <w:lvlText w:val=""/>
      <w:lvlJc w:val="left"/>
      <w:pPr>
        <w:ind w:left="3960" w:hanging="360"/>
      </w:pPr>
      <w:rPr>
        <w:rFonts w:ascii="Wingdings" w:hAnsi="Wingdings"/>
      </w:rPr>
    </w:lvl>
    <w:lvl w:ilvl="6">
      <w:start w:val="1"/>
      <w:numFmt w:val="bullet"/>
      <w:isLgl w:val="false"/>
      <w:suff w:val="tab"/>
      <w:lvlText w:val=""/>
      <w:lvlJc w:val="left"/>
      <w:pPr>
        <w:ind w:left="4680" w:hanging="360"/>
      </w:pPr>
      <w:rPr>
        <w:rFonts w:ascii="Symbol" w:hAnsi="Symbol"/>
      </w:rPr>
    </w:lvl>
    <w:lvl w:ilvl="7">
      <w:start w:val="1"/>
      <w:numFmt w:val="bullet"/>
      <w:isLgl w:val="false"/>
      <w:suff w:val="tab"/>
      <w:lvlText w:val="o"/>
      <w:lvlJc w:val="left"/>
      <w:pPr>
        <w:ind w:left="5400" w:hanging="360"/>
      </w:pPr>
      <w:rPr>
        <w:rFonts w:ascii="Courier New" w:hAnsi="Courier New" w:cs="Courier New"/>
      </w:rPr>
    </w:lvl>
    <w:lvl w:ilvl="8">
      <w:start w:val="1"/>
      <w:numFmt w:val="bullet"/>
      <w:isLgl w:val="false"/>
      <w:suff w:val="tab"/>
      <w:lvlText w:val=""/>
      <w:lvlJc w:val="left"/>
      <w:pPr>
        <w:ind w:left="6120" w:hanging="360"/>
      </w:pPr>
      <w:rPr>
        <w:rFonts w:ascii="Wingdings" w:hAnsi="Wingdings"/>
      </w:rPr>
    </w:lvl>
  </w:abstractNum>
  <w:abstractNum w:abstractNumId="37">
    <w:multiLevelType w:val="hybridMultilevel"/>
    <w:lvl w:ilvl="0">
      <w:start w:val="1"/>
      <w:numFmt w:val="bullet"/>
      <w:isLgl w:val="false"/>
      <w:suff w:val="tab"/>
      <w:lvlText w:val=""/>
      <w:lvlJc w:val="left"/>
      <w:pPr>
        <w:ind w:left="1713" w:hanging="360"/>
      </w:pPr>
      <w:rPr>
        <w:rFonts w:ascii="Symbol" w:hAnsi="Symbol"/>
      </w:rPr>
    </w:lvl>
    <w:lvl w:ilvl="1">
      <w:start w:val="1"/>
      <w:numFmt w:val="bullet"/>
      <w:isLgl w:val="false"/>
      <w:suff w:val="tab"/>
      <w:lvlText w:val=""/>
      <w:lvlJc w:val="left"/>
      <w:pPr>
        <w:ind w:left="2433" w:hanging="360"/>
      </w:pPr>
      <w:rPr>
        <w:rFonts w:ascii="Symbol" w:hAnsi="Symbol"/>
      </w:rPr>
    </w:lvl>
    <w:lvl w:ilvl="2">
      <w:start w:val="1"/>
      <w:numFmt w:val="bullet"/>
      <w:isLgl w:val="false"/>
      <w:suff w:val="tab"/>
      <w:lvlText w:val=""/>
      <w:lvlJc w:val="left"/>
      <w:pPr>
        <w:ind w:left="3153" w:hanging="360"/>
      </w:pPr>
      <w:rPr>
        <w:rFonts w:ascii="Wingdings" w:hAnsi="Wingdings"/>
      </w:rPr>
    </w:lvl>
    <w:lvl w:ilvl="3">
      <w:start w:val="1"/>
      <w:numFmt w:val="bullet"/>
      <w:isLgl w:val="false"/>
      <w:suff w:val="tab"/>
      <w:lvlText w:val=""/>
      <w:lvlJc w:val="left"/>
      <w:pPr>
        <w:ind w:left="3873" w:hanging="360"/>
      </w:pPr>
      <w:rPr>
        <w:rFonts w:ascii="Symbol" w:hAnsi="Symbol"/>
      </w:rPr>
    </w:lvl>
    <w:lvl w:ilvl="4">
      <w:start w:val="1"/>
      <w:numFmt w:val="bullet"/>
      <w:isLgl w:val="false"/>
      <w:suff w:val="tab"/>
      <w:lvlText w:val="o"/>
      <w:lvlJc w:val="left"/>
      <w:pPr>
        <w:ind w:left="4593" w:hanging="360"/>
      </w:pPr>
      <w:rPr>
        <w:rFonts w:ascii="Courier New" w:hAnsi="Courier New" w:cs="Courier New"/>
      </w:rPr>
    </w:lvl>
    <w:lvl w:ilvl="5">
      <w:start w:val="1"/>
      <w:numFmt w:val="bullet"/>
      <w:isLgl w:val="false"/>
      <w:suff w:val="tab"/>
      <w:lvlText w:val=""/>
      <w:lvlJc w:val="left"/>
      <w:pPr>
        <w:ind w:left="5313" w:hanging="360"/>
      </w:pPr>
      <w:rPr>
        <w:rFonts w:ascii="Wingdings" w:hAnsi="Wingdings"/>
      </w:rPr>
    </w:lvl>
    <w:lvl w:ilvl="6">
      <w:start w:val="1"/>
      <w:numFmt w:val="bullet"/>
      <w:isLgl w:val="false"/>
      <w:suff w:val="tab"/>
      <w:lvlText w:val=""/>
      <w:lvlJc w:val="left"/>
      <w:pPr>
        <w:ind w:left="6033" w:hanging="360"/>
      </w:pPr>
      <w:rPr>
        <w:rFonts w:ascii="Symbol" w:hAnsi="Symbol"/>
      </w:rPr>
    </w:lvl>
    <w:lvl w:ilvl="7">
      <w:start w:val="1"/>
      <w:numFmt w:val="bullet"/>
      <w:isLgl w:val="false"/>
      <w:suff w:val="tab"/>
      <w:lvlText w:val="o"/>
      <w:lvlJc w:val="left"/>
      <w:pPr>
        <w:ind w:left="6753" w:hanging="360"/>
      </w:pPr>
      <w:rPr>
        <w:rFonts w:ascii="Courier New" w:hAnsi="Courier New" w:cs="Courier New"/>
      </w:rPr>
    </w:lvl>
    <w:lvl w:ilvl="8">
      <w:start w:val="1"/>
      <w:numFmt w:val="bullet"/>
      <w:isLgl w:val="false"/>
      <w:suff w:val="tab"/>
      <w:lvlText w:val=""/>
      <w:lvlJc w:val="left"/>
      <w:pPr>
        <w:ind w:left="7473" w:hanging="360"/>
      </w:pPr>
      <w:rPr>
        <w:rFonts w:ascii="Wingdings" w:hAnsi="Wingdings"/>
      </w:rPr>
    </w:lvl>
  </w:abstractNum>
  <w:abstractNum w:abstractNumId="38">
    <w:multiLevelType w:val="hybridMultilevel"/>
    <w:lvl w:ilvl="0">
      <w:start w:val="1"/>
      <w:numFmt w:val="decimal"/>
      <w:isLgl w:val="false"/>
      <w:suff w:val="tab"/>
      <w:lvlText w:val="%1."/>
      <w:lvlJc w:val="left"/>
      <w:pPr>
        <w:ind w:left="720" w:hanging="360"/>
        <w:tabs>
          <w:tab w:val="num" w:pos="720" w:leader="none"/>
        </w:tabs>
      </w:pPr>
    </w:lvl>
    <w:lvl w:ilvl="1">
      <w:start w:val="1"/>
      <w:numFmt w:val="lowerLetter"/>
      <w:isLgl w:val="false"/>
      <w:suff w:val="tab"/>
      <w:lvlText w:val="%2."/>
      <w:lvlJc w:val="left"/>
      <w:pPr>
        <w:ind w:left="1440" w:hanging="360"/>
        <w:tabs>
          <w:tab w:val="num" w:pos="1440" w:leader="none"/>
        </w:tabs>
      </w:pPr>
      <w:rPr>
        <w:rFonts w:ascii="Times New Roman" w:hAnsi="Times New Roman" w:cs="Times New Roman"/>
      </w:rPr>
    </w:lvl>
    <w:lvl w:ilvl="2">
      <w:start w:val="1"/>
      <w:numFmt w:val="lowerRoman"/>
      <w:isLgl w:val="false"/>
      <w:suff w:val="tab"/>
      <w:lvlText w:val="%3."/>
      <w:lvlJc w:val="right"/>
      <w:pPr>
        <w:ind w:left="2160" w:hanging="180"/>
        <w:tabs>
          <w:tab w:val="num" w:pos="2160" w:leader="none"/>
        </w:tabs>
      </w:pPr>
      <w:rPr>
        <w:rFonts w:ascii="Times New Roman" w:hAnsi="Times New Roman" w:cs="Times New Roman"/>
      </w:rPr>
    </w:lvl>
    <w:lvl w:ilvl="3">
      <w:start w:val="1"/>
      <w:numFmt w:val="decimal"/>
      <w:isLgl w:val="false"/>
      <w:suff w:val="tab"/>
      <w:lvlText w:val="%4."/>
      <w:lvlJc w:val="left"/>
      <w:pPr>
        <w:ind w:left="2880" w:hanging="360"/>
        <w:tabs>
          <w:tab w:val="num" w:pos="2880" w:leader="none"/>
        </w:tabs>
      </w:pPr>
      <w:rPr>
        <w:rFonts w:ascii="Times New Roman" w:hAnsi="Times New Roman" w:cs="Times New Roman"/>
      </w:rPr>
    </w:lvl>
    <w:lvl w:ilvl="4">
      <w:start w:val="1"/>
      <w:numFmt w:val="lowerLetter"/>
      <w:isLgl w:val="false"/>
      <w:suff w:val="tab"/>
      <w:lvlText w:val="%5."/>
      <w:lvlJc w:val="left"/>
      <w:pPr>
        <w:ind w:left="3600" w:hanging="360"/>
        <w:tabs>
          <w:tab w:val="num" w:pos="3600" w:leader="none"/>
        </w:tabs>
      </w:pPr>
      <w:rPr>
        <w:rFonts w:ascii="Times New Roman" w:hAnsi="Times New Roman" w:cs="Times New Roman"/>
      </w:rPr>
    </w:lvl>
    <w:lvl w:ilvl="5">
      <w:start w:val="1"/>
      <w:numFmt w:val="lowerRoman"/>
      <w:isLgl w:val="false"/>
      <w:suff w:val="tab"/>
      <w:lvlText w:val="%6."/>
      <w:lvlJc w:val="right"/>
      <w:pPr>
        <w:ind w:left="4320" w:hanging="180"/>
        <w:tabs>
          <w:tab w:val="num" w:pos="4320" w:leader="none"/>
        </w:tabs>
      </w:pPr>
      <w:rPr>
        <w:rFonts w:ascii="Times New Roman" w:hAnsi="Times New Roman" w:cs="Times New Roman"/>
      </w:rPr>
    </w:lvl>
    <w:lvl w:ilvl="6">
      <w:start w:val="1"/>
      <w:numFmt w:val="decimal"/>
      <w:isLgl w:val="false"/>
      <w:suff w:val="tab"/>
      <w:lvlText w:val="%7."/>
      <w:lvlJc w:val="left"/>
      <w:pPr>
        <w:ind w:left="5040" w:hanging="360"/>
        <w:tabs>
          <w:tab w:val="num" w:pos="5040" w:leader="none"/>
        </w:tabs>
      </w:pPr>
      <w:rPr>
        <w:rFonts w:ascii="Times New Roman" w:hAnsi="Times New Roman" w:cs="Times New Roman"/>
      </w:rPr>
    </w:lvl>
    <w:lvl w:ilvl="7">
      <w:start w:val="1"/>
      <w:numFmt w:val="lowerLetter"/>
      <w:isLgl w:val="false"/>
      <w:suff w:val="tab"/>
      <w:lvlText w:val="%8."/>
      <w:lvlJc w:val="left"/>
      <w:pPr>
        <w:ind w:left="5760" w:hanging="360"/>
        <w:tabs>
          <w:tab w:val="num" w:pos="5760" w:leader="none"/>
        </w:tabs>
      </w:pPr>
      <w:rPr>
        <w:rFonts w:ascii="Times New Roman" w:hAnsi="Times New Roman" w:cs="Times New Roman"/>
      </w:rPr>
    </w:lvl>
    <w:lvl w:ilvl="8">
      <w:start w:val="1"/>
      <w:numFmt w:val="lowerRoman"/>
      <w:isLgl w:val="false"/>
      <w:suff w:val="tab"/>
      <w:lvlText w:val="%9."/>
      <w:lvlJc w:val="right"/>
      <w:pPr>
        <w:ind w:left="6480" w:hanging="180"/>
        <w:tabs>
          <w:tab w:val="num" w:pos="6480" w:leader="none"/>
        </w:tabs>
      </w:pPr>
      <w:rPr>
        <w:rFonts w:ascii="Times New Roman" w:hAnsi="Times New Roman" w:cs="Times New Roman"/>
      </w:rPr>
    </w:lvl>
  </w:abstractNum>
  <w:abstractNum w:abstractNumId="39">
    <w:multiLevelType w:val="hybridMultilevel"/>
    <w:lvl w:ilvl="0">
      <w:start w:val="1"/>
      <w:numFmt w:val="decimal"/>
      <w:isLgl w:val="false"/>
      <w:suff w:val="tab"/>
      <w:lvlText w:val="%1."/>
      <w:lvlJc w:val="left"/>
      <w:pPr>
        <w:ind w:left="720" w:hanging="360"/>
      </w:pPr>
      <w:rPr>
        <w:rFonts w:eastAsia="Calibri"/>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40">
    <w:multiLevelType w:val="hybridMultilevel"/>
    <w:lvl w:ilvl="0">
      <w:start w:val="2"/>
      <w:numFmt w:val="bullet"/>
      <w:isLgl w:val="false"/>
      <w:suff w:val="tab"/>
      <w:lvlText w:val="-"/>
      <w:lvlJc w:val="left"/>
      <w:pPr>
        <w:ind w:left="720" w:hanging="360"/>
        <w:tabs>
          <w:tab w:val="num" w:pos="720" w:leader="none"/>
        </w:tabs>
      </w:pPr>
      <w:rPr>
        <w:rFonts w:ascii="Times New Roman" w:hAnsi="Times New Roman" w:eastAsia="Times New Roman"/>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cs="Times New Roman"/>
      </w:rPr>
    </w:lvl>
    <w:lvl w:ilvl="3">
      <w:start w:val="1"/>
      <w:numFmt w:val="bullet"/>
      <w:isLgl w:val="false"/>
      <w:suff w:val="tab"/>
      <w:lvlText w:val=""/>
      <w:lvlJc w:val="left"/>
      <w:pPr>
        <w:ind w:left="2880" w:hanging="360"/>
        <w:tabs>
          <w:tab w:val="num" w:pos="2880" w:leader="none"/>
        </w:tabs>
      </w:pPr>
      <w:rPr>
        <w:rFonts w:ascii="Symbol" w:hAnsi="Symbol" w:cs="Times New Roman"/>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cs="Times New Roman"/>
      </w:rPr>
    </w:lvl>
    <w:lvl w:ilvl="6">
      <w:start w:val="1"/>
      <w:numFmt w:val="bullet"/>
      <w:isLgl w:val="false"/>
      <w:suff w:val="tab"/>
      <w:lvlText w:val=""/>
      <w:lvlJc w:val="left"/>
      <w:pPr>
        <w:ind w:left="5040" w:hanging="360"/>
        <w:tabs>
          <w:tab w:val="num" w:pos="5040" w:leader="none"/>
        </w:tabs>
      </w:pPr>
      <w:rPr>
        <w:rFonts w:ascii="Symbol" w:hAnsi="Symbol" w:cs="Times New Roman"/>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cs="Times New Roman"/>
      </w:rPr>
    </w:lvl>
  </w:abstractNum>
  <w:abstractNum w:abstractNumId="41">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42">
    <w:multiLevelType w:val="hybridMultilevel"/>
    <w:lvl w:ilvl="0">
      <w:start w:val="1"/>
      <w:numFmt w:val="bullet"/>
      <w:isLgl w:val="false"/>
      <w:suff w:val="tab"/>
      <w:lvlText w:val="–"/>
      <w:lvlJc w:val="left"/>
      <w:pPr>
        <w:ind w:left="709" w:hanging="360"/>
      </w:pPr>
      <w:rPr>
        <w:rFonts w:hint="default" w:ascii="Arial" w:hAnsi="Arial" w:eastAsia="Arial" w:cs="Arial"/>
      </w:rPr>
    </w:lvl>
    <w:lvl w:ilvl="1">
      <w:start w:val="1"/>
      <w:numFmt w:val="bullet"/>
      <w:isLgl w:val="false"/>
      <w:suff w:val="tab"/>
      <w:lvlText w:val="o"/>
      <w:lvlJc w:val="left"/>
      <w:pPr>
        <w:ind w:left="1429" w:hanging="360"/>
      </w:pPr>
      <w:rPr>
        <w:rFonts w:hint="default" w:ascii="Courier New" w:hAnsi="Courier New" w:eastAsia="Courier New" w:cs="Courier New"/>
      </w:rPr>
    </w:lvl>
    <w:lvl w:ilvl="2">
      <w:start w:val="1"/>
      <w:numFmt w:val="bullet"/>
      <w:isLgl w:val="false"/>
      <w:suff w:val="tab"/>
      <w:lvlText w:val="§"/>
      <w:lvlJc w:val="left"/>
      <w:pPr>
        <w:ind w:left="2149" w:hanging="360"/>
      </w:pPr>
      <w:rPr>
        <w:rFonts w:hint="default" w:ascii="Wingdings" w:hAnsi="Wingdings" w:eastAsia="Wingdings" w:cs="Wingdings"/>
      </w:rPr>
    </w:lvl>
    <w:lvl w:ilvl="3">
      <w:start w:val="1"/>
      <w:numFmt w:val="bullet"/>
      <w:isLgl w:val="false"/>
      <w:suff w:val="tab"/>
      <w:lvlText w:val="·"/>
      <w:lvlJc w:val="left"/>
      <w:pPr>
        <w:ind w:left="2869" w:hanging="360"/>
      </w:pPr>
      <w:rPr>
        <w:rFonts w:hint="default" w:ascii="Symbol" w:hAnsi="Symbol" w:eastAsia="Symbol" w:cs="Symbol"/>
      </w:rPr>
    </w:lvl>
    <w:lvl w:ilvl="4">
      <w:start w:val="1"/>
      <w:numFmt w:val="bullet"/>
      <w:isLgl w:val="false"/>
      <w:suff w:val="tab"/>
      <w:lvlText w:val="o"/>
      <w:lvlJc w:val="left"/>
      <w:pPr>
        <w:ind w:left="3589" w:hanging="360"/>
      </w:pPr>
      <w:rPr>
        <w:rFonts w:hint="default" w:ascii="Courier New" w:hAnsi="Courier New" w:eastAsia="Courier New" w:cs="Courier New"/>
      </w:rPr>
    </w:lvl>
    <w:lvl w:ilvl="5">
      <w:start w:val="1"/>
      <w:numFmt w:val="bullet"/>
      <w:isLgl w:val="false"/>
      <w:suff w:val="tab"/>
      <w:lvlText w:val="§"/>
      <w:lvlJc w:val="left"/>
      <w:pPr>
        <w:ind w:left="4309" w:hanging="360"/>
      </w:pPr>
      <w:rPr>
        <w:rFonts w:hint="default" w:ascii="Wingdings" w:hAnsi="Wingdings" w:eastAsia="Wingdings" w:cs="Wingdings"/>
      </w:rPr>
    </w:lvl>
    <w:lvl w:ilvl="6">
      <w:start w:val="1"/>
      <w:numFmt w:val="bullet"/>
      <w:isLgl w:val="false"/>
      <w:suff w:val="tab"/>
      <w:lvlText w:val="·"/>
      <w:lvlJc w:val="left"/>
      <w:pPr>
        <w:ind w:left="5029" w:hanging="360"/>
      </w:pPr>
      <w:rPr>
        <w:rFonts w:hint="default" w:ascii="Symbol" w:hAnsi="Symbol" w:eastAsia="Symbol" w:cs="Symbol"/>
      </w:rPr>
    </w:lvl>
    <w:lvl w:ilvl="7">
      <w:start w:val="1"/>
      <w:numFmt w:val="bullet"/>
      <w:isLgl w:val="false"/>
      <w:suff w:val="tab"/>
      <w:lvlText w:val="o"/>
      <w:lvlJc w:val="left"/>
      <w:pPr>
        <w:ind w:left="5749" w:hanging="360"/>
      </w:pPr>
      <w:rPr>
        <w:rFonts w:hint="default" w:ascii="Courier New" w:hAnsi="Courier New" w:eastAsia="Courier New" w:cs="Courier New"/>
      </w:rPr>
    </w:lvl>
    <w:lvl w:ilvl="8">
      <w:start w:val="1"/>
      <w:numFmt w:val="bullet"/>
      <w:isLgl w:val="false"/>
      <w:suff w:val="tab"/>
      <w:lvlText w:val="§"/>
      <w:lvlJc w:val="left"/>
      <w:pPr>
        <w:ind w:left="6469" w:hanging="360"/>
      </w:pPr>
      <w:rPr>
        <w:rFonts w:hint="default" w:ascii="Wingdings" w:hAnsi="Wingdings" w:eastAsia="Wingdings" w:cs="Wingdings"/>
      </w:rPr>
    </w:lvl>
  </w:abstractNum>
  <w:abstractNum w:abstractNumId="43">
    <w:multiLevelType w:val="hybridMultilevel"/>
    <w:lvl w:ilvl="0">
      <w:start w:val="1"/>
      <w:numFmt w:val="bullet"/>
      <w:isLgl w:val="false"/>
      <w:suff w:val="tab"/>
      <w:lvlText w:val="–"/>
      <w:lvlJc w:val="left"/>
      <w:pPr>
        <w:ind w:left="709" w:hanging="360"/>
      </w:pPr>
      <w:rPr>
        <w:rFonts w:hint="default" w:ascii="Arial" w:hAnsi="Arial" w:eastAsia="Arial" w:cs="Arial"/>
      </w:rPr>
    </w:lvl>
    <w:lvl w:ilvl="1">
      <w:start w:val="1"/>
      <w:numFmt w:val="bullet"/>
      <w:isLgl w:val="false"/>
      <w:suff w:val="tab"/>
      <w:lvlText w:val="o"/>
      <w:lvlJc w:val="left"/>
      <w:pPr>
        <w:ind w:left="1429" w:hanging="360"/>
      </w:pPr>
      <w:rPr>
        <w:rFonts w:hint="default" w:ascii="Courier New" w:hAnsi="Courier New" w:eastAsia="Courier New" w:cs="Courier New"/>
      </w:rPr>
    </w:lvl>
    <w:lvl w:ilvl="2">
      <w:start w:val="1"/>
      <w:numFmt w:val="bullet"/>
      <w:isLgl w:val="false"/>
      <w:suff w:val="tab"/>
      <w:lvlText w:val="§"/>
      <w:lvlJc w:val="left"/>
      <w:pPr>
        <w:ind w:left="2149" w:hanging="360"/>
      </w:pPr>
      <w:rPr>
        <w:rFonts w:hint="default" w:ascii="Wingdings" w:hAnsi="Wingdings" w:eastAsia="Wingdings" w:cs="Wingdings"/>
      </w:rPr>
    </w:lvl>
    <w:lvl w:ilvl="3">
      <w:start w:val="1"/>
      <w:numFmt w:val="bullet"/>
      <w:isLgl w:val="false"/>
      <w:suff w:val="tab"/>
      <w:lvlText w:val="·"/>
      <w:lvlJc w:val="left"/>
      <w:pPr>
        <w:ind w:left="2869" w:hanging="360"/>
      </w:pPr>
      <w:rPr>
        <w:rFonts w:hint="default" w:ascii="Symbol" w:hAnsi="Symbol" w:eastAsia="Symbol" w:cs="Symbol"/>
      </w:rPr>
    </w:lvl>
    <w:lvl w:ilvl="4">
      <w:start w:val="1"/>
      <w:numFmt w:val="bullet"/>
      <w:isLgl w:val="false"/>
      <w:suff w:val="tab"/>
      <w:lvlText w:val="o"/>
      <w:lvlJc w:val="left"/>
      <w:pPr>
        <w:ind w:left="3589" w:hanging="360"/>
      </w:pPr>
      <w:rPr>
        <w:rFonts w:hint="default" w:ascii="Courier New" w:hAnsi="Courier New" w:eastAsia="Courier New" w:cs="Courier New"/>
      </w:rPr>
    </w:lvl>
    <w:lvl w:ilvl="5">
      <w:start w:val="1"/>
      <w:numFmt w:val="bullet"/>
      <w:isLgl w:val="false"/>
      <w:suff w:val="tab"/>
      <w:lvlText w:val="§"/>
      <w:lvlJc w:val="left"/>
      <w:pPr>
        <w:ind w:left="4309" w:hanging="360"/>
      </w:pPr>
      <w:rPr>
        <w:rFonts w:hint="default" w:ascii="Wingdings" w:hAnsi="Wingdings" w:eastAsia="Wingdings" w:cs="Wingdings"/>
      </w:rPr>
    </w:lvl>
    <w:lvl w:ilvl="6">
      <w:start w:val="1"/>
      <w:numFmt w:val="bullet"/>
      <w:isLgl w:val="false"/>
      <w:suff w:val="tab"/>
      <w:lvlText w:val="·"/>
      <w:lvlJc w:val="left"/>
      <w:pPr>
        <w:ind w:left="5029" w:hanging="360"/>
      </w:pPr>
      <w:rPr>
        <w:rFonts w:hint="default" w:ascii="Symbol" w:hAnsi="Symbol" w:eastAsia="Symbol" w:cs="Symbol"/>
      </w:rPr>
    </w:lvl>
    <w:lvl w:ilvl="7">
      <w:start w:val="1"/>
      <w:numFmt w:val="bullet"/>
      <w:isLgl w:val="false"/>
      <w:suff w:val="tab"/>
      <w:lvlText w:val="o"/>
      <w:lvlJc w:val="left"/>
      <w:pPr>
        <w:ind w:left="5749" w:hanging="360"/>
      </w:pPr>
      <w:rPr>
        <w:rFonts w:hint="default" w:ascii="Courier New" w:hAnsi="Courier New" w:eastAsia="Courier New" w:cs="Courier New"/>
      </w:rPr>
    </w:lvl>
    <w:lvl w:ilvl="8">
      <w:start w:val="1"/>
      <w:numFmt w:val="bullet"/>
      <w:isLgl w:val="false"/>
      <w:suff w:val="tab"/>
      <w:lvlText w:val="§"/>
      <w:lvlJc w:val="left"/>
      <w:pPr>
        <w:ind w:left="6469" w:hanging="360"/>
      </w:pPr>
      <w:rPr>
        <w:rFonts w:hint="default" w:ascii="Wingdings" w:hAnsi="Wingdings" w:eastAsia="Wingdings" w:cs="Wingdings"/>
      </w:rPr>
    </w:lvl>
  </w:abstractNum>
  <w:abstractNum w:abstractNumId="44">
    <w:multiLevelType w:val="hybridMultilevel"/>
    <w:lvl w:ilvl="0">
      <w:start w:val="1"/>
      <w:numFmt w:val="bullet"/>
      <w:isLgl w:val="false"/>
      <w:suff w:val="tab"/>
      <w:lvlText w:val="–"/>
      <w:lvlJc w:val="left"/>
      <w:pPr>
        <w:ind w:left="709" w:hanging="360"/>
      </w:pPr>
      <w:rPr>
        <w:rFonts w:hint="default" w:ascii="Arial" w:hAnsi="Arial" w:eastAsia="Arial" w:cs="Arial"/>
      </w:rPr>
    </w:lvl>
    <w:lvl w:ilvl="1">
      <w:start w:val="1"/>
      <w:numFmt w:val="bullet"/>
      <w:isLgl w:val="false"/>
      <w:suff w:val="tab"/>
      <w:lvlText w:val="o"/>
      <w:lvlJc w:val="left"/>
      <w:pPr>
        <w:ind w:left="1429" w:hanging="360"/>
      </w:pPr>
      <w:rPr>
        <w:rFonts w:hint="default" w:ascii="Courier New" w:hAnsi="Courier New" w:eastAsia="Courier New" w:cs="Courier New"/>
      </w:rPr>
    </w:lvl>
    <w:lvl w:ilvl="2">
      <w:start w:val="1"/>
      <w:numFmt w:val="bullet"/>
      <w:isLgl w:val="false"/>
      <w:suff w:val="tab"/>
      <w:lvlText w:val="§"/>
      <w:lvlJc w:val="left"/>
      <w:pPr>
        <w:ind w:left="2149" w:hanging="360"/>
      </w:pPr>
      <w:rPr>
        <w:rFonts w:hint="default" w:ascii="Wingdings" w:hAnsi="Wingdings" w:eastAsia="Wingdings" w:cs="Wingdings"/>
      </w:rPr>
    </w:lvl>
    <w:lvl w:ilvl="3">
      <w:start w:val="1"/>
      <w:numFmt w:val="bullet"/>
      <w:isLgl w:val="false"/>
      <w:suff w:val="tab"/>
      <w:lvlText w:val="·"/>
      <w:lvlJc w:val="left"/>
      <w:pPr>
        <w:ind w:left="2869" w:hanging="360"/>
      </w:pPr>
      <w:rPr>
        <w:rFonts w:hint="default" w:ascii="Symbol" w:hAnsi="Symbol" w:eastAsia="Symbol" w:cs="Symbol"/>
      </w:rPr>
    </w:lvl>
    <w:lvl w:ilvl="4">
      <w:start w:val="1"/>
      <w:numFmt w:val="bullet"/>
      <w:isLgl w:val="false"/>
      <w:suff w:val="tab"/>
      <w:lvlText w:val="o"/>
      <w:lvlJc w:val="left"/>
      <w:pPr>
        <w:ind w:left="3589" w:hanging="360"/>
      </w:pPr>
      <w:rPr>
        <w:rFonts w:hint="default" w:ascii="Courier New" w:hAnsi="Courier New" w:eastAsia="Courier New" w:cs="Courier New"/>
      </w:rPr>
    </w:lvl>
    <w:lvl w:ilvl="5">
      <w:start w:val="1"/>
      <w:numFmt w:val="bullet"/>
      <w:isLgl w:val="false"/>
      <w:suff w:val="tab"/>
      <w:lvlText w:val="§"/>
      <w:lvlJc w:val="left"/>
      <w:pPr>
        <w:ind w:left="4309" w:hanging="360"/>
      </w:pPr>
      <w:rPr>
        <w:rFonts w:hint="default" w:ascii="Wingdings" w:hAnsi="Wingdings" w:eastAsia="Wingdings" w:cs="Wingdings"/>
      </w:rPr>
    </w:lvl>
    <w:lvl w:ilvl="6">
      <w:start w:val="1"/>
      <w:numFmt w:val="bullet"/>
      <w:isLgl w:val="false"/>
      <w:suff w:val="tab"/>
      <w:lvlText w:val="·"/>
      <w:lvlJc w:val="left"/>
      <w:pPr>
        <w:ind w:left="5029" w:hanging="360"/>
      </w:pPr>
      <w:rPr>
        <w:rFonts w:hint="default" w:ascii="Symbol" w:hAnsi="Symbol" w:eastAsia="Symbol" w:cs="Symbol"/>
      </w:rPr>
    </w:lvl>
    <w:lvl w:ilvl="7">
      <w:start w:val="1"/>
      <w:numFmt w:val="bullet"/>
      <w:isLgl w:val="false"/>
      <w:suff w:val="tab"/>
      <w:lvlText w:val="o"/>
      <w:lvlJc w:val="left"/>
      <w:pPr>
        <w:ind w:left="5749" w:hanging="360"/>
      </w:pPr>
      <w:rPr>
        <w:rFonts w:hint="default" w:ascii="Courier New" w:hAnsi="Courier New" w:eastAsia="Courier New" w:cs="Courier New"/>
      </w:rPr>
    </w:lvl>
    <w:lvl w:ilvl="8">
      <w:start w:val="1"/>
      <w:numFmt w:val="bullet"/>
      <w:isLgl w:val="false"/>
      <w:suff w:val="tab"/>
      <w:lvlText w:val="§"/>
      <w:lvlJc w:val="left"/>
      <w:pPr>
        <w:ind w:left="6469" w:hanging="360"/>
      </w:pPr>
      <w:rPr>
        <w:rFonts w:hint="default" w:ascii="Wingdings" w:hAnsi="Wingdings" w:eastAsia="Wingdings" w:cs="Wingdings"/>
      </w:rPr>
    </w:lvl>
  </w:abstractNum>
  <w:num w:numId="1">
    <w:abstractNumId w:val="24"/>
  </w:num>
  <w:num w:numId="2">
    <w:abstractNumId w:val="38"/>
  </w:num>
  <w:num w:numId="3">
    <w:abstractNumId w:val="17"/>
  </w:num>
  <w:num w:numId="4">
    <w:abstractNumId w:val="21"/>
  </w:num>
  <w:num w:numId="5">
    <w:abstractNumId w:val="40"/>
  </w:num>
  <w:num w:numId="6">
    <w:abstractNumId w:val="16"/>
  </w:num>
  <w:num w:numId="7">
    <w:abstractNumId w:val="35"/>
  </w:num>
  <w:num w:numId="8">
    <w:abstractNumId w:val="12"/>
  </w:num>
  <w:num w:numId="9">
    <w:abstractNumId w:val="11"/>
  </w:num>
  <w:num w:numId="10">
    <w:abstractNumId w:val="10"/>
  </w:num>
  <w:num w:numId="11">
    <w:abstractNumId w:val="18"/>
  </w:num>
  <w:num w:numId="12">
    <w:abstractNumId w:val="28"/>
  </w:num>
  <w:num w:numId="13">
    <w:abstractNumId w:val="22"/>
  </w:num>
  <w:num w:numId="14">
    <w:abstractNumId w:val="15"/>
  </w:num>
  <w:num w:numId="15">
    <w:abstractNumId w:val="7"/>
  </w:num>
  <w:num w:numId="16">
    <w:abstractNumId w:val="3"/>
  </w:num>
  <w:num w:numId="17">
    <w:abstractNumId w:val="30"/>
  </w:num>
  <w:num w:numId="18">
    <w:abstractNumId w:val="19"/>
  </w:num>
  <w:num w:numId="19">
    <w:abstractNumId w:val="1"/>
  </w:num>
  <w:num w:numId="20">
    <w:abstractNumId w:val="0"/>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1"/>
  </w:num>
  <w:num w:numId="23">
    <w:abstractNumId w:val="23"/>
  </w:num>
  <w:num w:numId="24">
    <w:abstractNumId w:val="25"/>
  </w:num>
  <w:num w:numId="25">
    <w:abstractNumId w:val="33"/>
  </w:num>
  <w:num w:numId="26">
    <w:abstractNumId w:val="13"/>
  </w:num>
  <w:num w:numId="27">
    <w:abstractNumId w:val="8"/>
  </w:num>
  <w:num w:numId="28">
    <w:abstractNumId w:val="29"/>
  </w:num>
  <w:num w:numId="29">
    <w:abstractNumId w:val="6"/>
  </w:num>
  <w:num w:numId="30">
    <w:abstractNumId w:val="26"/>
  </w:num>
  <w:num w:numId="31">
    <w:abstractNumId w:val="34"/>
  </w:num>
  <w:num w:numId="32">
    <w:abstractNumId w:val="36"/>
  </w:num>
  <w:num w:numId="33">
    <w:abstractNumId w:val="27"/>
  </w:num>
  <w:num w:numId="34">
    <w:abstractNumId w:val="4"/>
  </w:num>
  <w:num w:numId="35">
    <w:abstractNumId w:val="39"/>
  </w:num>
  <w:num w:numId="3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7"/>
  </w:num>
  <w:num w:numId="38">
    <w:abstractNumId w:val="14"/>
  </w:num>
  <w:num w:numId="39">
    <w:abstractNumId w:val="20"/>
  </w:num>
  <w:num w:numId="40">
    <w:abstractNumId w:val="32"/>
  </w:num>
  <w:num w:numId="41">
    <w:abstractNumId w:val="9"/>
  </w:num>
  <w:num w:numId="42">
    <w:abstractNumId w:val="31"/>
  </w:num>
  <w:num w:numId="43">
    <w:abstractNumId w:val="42"/>
  </w:num>
  <w:num w:numId="44">
    <w:abstractNumId w:val="43"/>
  </w:num>
  <w:num w:numId="45">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Calibri" w:hAnsi="Calibri" w:eastAsia="Calibri" w:cs="Times New Roman"/>
        <w:lang w:val="ru-RU" w:eastAsia="zh-CN"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957">
    <w:name w:val="Heading 1"/>
    <w:basedOn w:val="1135"/>
    <w:next w:val="1135"/>
    <w:link w:val="958"/>
    <w:uiPriority w:val="9"/>
    <w:qFormat/>
    <w:pPr>
      <w:keepLines/>
      <w:keepNext/>
      <w:spacing w:before="480" w:after="200"/>
      <w:outlineLvl w:val="0"/>
    </w:pPr>
    <w:rPr>
      <w:rFonts w:ascii="Arial" w:hAnsi="Arial" w:eastAsia="Arial" w:cs="Arial"/>
      <w:sz w:val="40"/>
      <w:szCs w:val="40"/>
    </w:rPr>
  </w:style>
  <w:style w:type="character" w:styleId="958">
    <w:name w:val="Heading 1 Char"/>
    <w:link w:val="957"/>
    <w:uiPriority w:val="9"/>
    <w:rPr>
      <w:rFonts w:ascii="Arial" w:hAnsi="Arial" w:eastAsia="Arial" w:cs="Arial"/>
      <w:sz w:val="40"/>
      <w:szCs w:val="40"/>
    </w:rPr>
  </w:style>
  <w:style w:type="paragraph" w:styleId="959">
    <w:name w:val="Heading 2"/>
    <w:basedOn w:val="1135"/>
    <w:next w:val="1135"/>
    <w:link w:val="960"/>
    <w:uiPriority w:val="9"/>
    <w:unhideWhenUsed/>
    <w:qFormat/>
    <w:pPr>
      <w:keepLines/>
      <w:keepNext/>
      <w:spacing w:before="360" w:after="200"/>
      <w:outlineLvl w:val="1"/>
    </w:pPr>
    <w:rPr>
      <w:rFonts w:ascii="Arial" w:hAnsi="Arial" w:eastAsia="Arial" w:cs="Arial"/>
      <w:sz w:val="34"/>
    </w:rPr>
  </w:style>
  <w:style w:type="character" w:styleId="960">
    <w:name w:val="Heading 2 Char"/>
    <w:link w:val="959"/>
    <w:uiPriority w:val="9"/>
    <w:rPr>
      <w:rFonts w:ascii="Arial" w:hAnsi="Arial" w:eastAsia="Arial" w:cs="Arial"/>
      <w:sz w:val="34"/>
    </w:rPr>
  </w:style>
  <w:style w:type="paragraph" w:styleId="961">
    <w:name w:val="Heading 3"/>
    <w:basedOn w:val="1135"/>
    <w:next w:val="1135"/>
    <w:link w:val="962"/>
    <w:uiPriority w:val="9"/>
    <w:unhideWhenUsed/>
    <w:qFormat/>
    <w:pPr>
      <w:keepLines/>
      <w:keepNext/>
      <w:spacing w:before="320" w:after="200"/>
      <w:outlineLvl w:val="2"/>
    </w:pPr>
    <w:rPr>
      <w:rFonts w:ascii="Arial" w:hAnsi="Arial" w:eastAsia="Arial" w:cs="Arial"/>
      <w:sz w:val="30"/>
      <w:szCs w:val="30"/>
    </w:rPr>
  </w:style>
  <w:style w:type="character" w:styleId="962">
    <w:name w:val="Heading 3 Char"/>
    <w:link w:val="961"/>
    <w:uiPriority w:val="9"/>
    <w:rPr>
      <w:rFonts w:ascii="Arial" w:hAnsi="Arial" w:eastAsia="Arial" w:cs="Arial"/>
      <w:sz w:val="30"/>
      <w:szCs w:val="30"/>
    </w:rPr>
  </w:style>
  <w:style w:type="paragraph" w:styleId="963">
    <w:name w:val="Heading 4"/>
    <w:basedOn w:val="1135"/>
    <w:next w:val="1135"/>
    <w:link w:val="964"/>
    <w:uiPriority w:val="9"/>
    <w:unhideWhenUsed/>
    <w:qFormat/>
    <w:pPr>
      <w:keepLines/>
      <w:keepNext/>
      <w:spacing w:before="320" w:after="200"/>
      <w:outlineLvl w:val="3"/>
    </w:pPr>
    <w:rPr>
      <w:rFonts w:ascii="Arial" w:hAnsi="Arial" w:eastAsia="Arial" w:cs="Arial"/>
      <w:b/>
      <w:bCs/>
      <w:sz w:val="26"/>
      <w:szCs w:val="26"/>
    </w:rPr>
  </w:style>
  <w:style w:type="character" w:styleId="964">
    <w:name w:val="Heading 4 Char"/>
    <w:link w:val="963"/>
    <w:uiPriority w:val="9"/>
    <w:rPr>
      <w:rFonts w:ascii="Arial" w:hAnsi="Arial" w:eastAsia="Arial" w:cs="Arial"/>
      <w:b/>
      <w:bCs/>
      <w:sz w:val="26"/>
      <w:szCs w:val="26"/>
    </w:rPr>
  </w:style>
  <w:style w:type="paragraph" w:styleId="965">
    <w:name w:val="Heading 5"/>
    <w:basedOn w:val="1135"/>
    <w:next w:val="1135"/>
    <w:link w:val="966"/>
    <w:uiPriority w:val="9"/>
    <w:unhideWhenUsed/>
    <w:qFormat/>
    <w:pPr>
      <w:keepLines/>
      <w:keepNext/>
      <w:spacing w:before="320" w:after="200"/>
      <w:outlineLvl w:val="4"/>
    </w:pPr>
    <w:rPr>
      <w:rFonts w:ascii="Arial" w:hAnsi="Arial" w:eastAsia="Arial" w:cs="Arial"/>
      <w:b/>
      <w:bCs/>
      <w:sz w:val="24"/>
      <w:szCs w:val="24"/>
    </w:rPr>
  </w:style>
  <w:style w:type="character" w:styleId="966">
    <w:name w:val="Heading 5 Char"/>
    <w:link w:val="965"/>
    <w:uiPriority w:val="9"/>
    <w:rPr>
      <w:rFonts w:ascii="Arial" w:hAnsi="Arial" w:eastAsia="Arial" w:cs="Arial"/>
      <w:b/>
      <w:bCs/>
      <w:sz w:val="24"/>
      <w:szCs w:val="24"/>
    </w:rPr>
  </w:style>
  <w:style w:type="paragraph" w:styleId="967">
    <w:name w:val="Heading 6"/>
    <w:basedOn w:val="1135"/>
    <w:next w:val="1135"/>
    <w:link w:val="968"/>
    <w:uiPriority w:val="9"/>
    <w:unhideWhenUsed/>
    <w:qFormat/>
    <w:pPr>
      <w:keepLines/>
      <w:keepNext/>
      <w:spacing w:before="320" w:after="200"/>
      <w:outlineLvl w:val="5"/>
    </w:pPr>
    <w:rPr>
      <w:rFonts w:ascii="Arial" w:hAnsi="Arial" w:eastAsia="Arial" w:cs="Arial"/>
      <w:b/>
      <w:bCs/>
      <w:sz w:val="22"/>
      <w:szCs w:val="22"/>
    </w:rPr>
  </w:style>
  <w:style w:type="character" w:styleId="968">
    <w:name w:val="Heading 6 Char"/>
    <w:link w:val="967"/>
    <w:uiPriority w:val="9"/>
    <w:rPr>
      <w:rFonts w:ascii="Arial" w:hAnsi="Arial" w:eastAsia="Arial" w:cs="Arial"/>
      <w:b/>
      <w:bCs/>
      <w:sz w:val="22"/>
      <w:szCs w:val="22"/>
    </w:rPr>
  </w:style>
  <w:style w:type="paragraph" w:styleId="969">
    <w:name w:val="Heading 7"/>
    <w:basedOn w:val="1135"/>
    <w:next w:val="1135"/>
    <w:link w:val="970"/>
    <w:uiPriority w:val="9"/>
    <w:unhideWhenUsed/>
    <w:qFormat/>
    <w:pPr>
      <w:keepLines/>
      <w:keepNext/>
      <w:spacing w:before="320" w:after="200"/>
      <w:outlineLvl w:val="6"/>
    </w:pPr>
    <w:rPr>
      <w:rFonts w:ascii="Arial" w:hAnsi="Arial" w:eastAsia="Arial" w:cs="Arial"/>
      <w:b/>
      <w:bCs/>
      <w:i/>
      <w:iCs/>
      <w:sz w:val="22"/>
      <w:szCs w:val="22"/>
    </w:rPr>
  </w:style>
  <w:style w:type="character" w:styleId="970">
    <w:name w:val="Heading 7 Char"/>
    <w:link w:val="969"/>
    <w:uiPriority w:val="9"/>
    <w:rPr>
      <w:rFonts w:ascii="Arial" w:hAnsi="Arial" w:eastAsia="Arial" w:cs="Arial"/>
      <w:b/>
      <w:bCs/>
      <w:i/>
      <w:iCs/>
      <w:sz w:val="22"/>
      <w:szCs w:val="22"/>
    </w:rPr>
  </w:style>
  <w:style w:type="paragraph" w:styleId="971">
    <w:name w:val="Heading 8"/>
    <w:basedOn w:val="1135"/>
    <w:next w:val="1135"/>
    <w:link w:val="972"/>
    <w:uiPriority w:val="9"/>
    <w:unhideWhenUsed/>
    <w:qFormat/>
    <w:pPr>
      <w:keepLines/>
      <w:keepNext/>
      <w:spacing w:before="320" w:after="200"/>
      <w:outlineLvl w:val="7"/>
    </w:pPr>
    <w:rPr>
      <w:rFonts w:ascii="Arial" w:hAnsi="Arial" w:eastAsia="Arial" w:cs="Arial"/>
      <w:i/>
      <w:iCs/>
      <w:sz w:val="22"/>
      <w:szCs w:val="22"/>
    </w:rPr>
  </w:style>
  <w:style w:type="character" w:styleId="972">
    <w:name w:val="Heading 8 Char"/>
    <w:link w:val="971"/>
    <w:uiPriority w:val="9"/>
    <w:rPr>
      <w:rFonts w:ascii="Arial" w:hAnsi="Arial" w:eastAsia="Arial" w:cs="Arial"/>
      <w:i/>
      <w:iCs/>
      <w:sz w:val="22"/>
      <w:szCs w:val="22"/>
    </w:rPr>
  </w:style>
  <w:style w:type="paragraph" w:styleId="973">
    <w:name w:val="Heading 9"/>
    <w:basedOn w:val="1135"/>
    <w:next w:val="1135"/>
    <w:link w:val="974"/>
    <w:uiPriority w:val="9"/>
    <w:unhideWhenUsed/>
    <w:qFormat/>
    <w:pPr>
      <w:keepLines/>
      <w:keepNext/>
      <w:spacing w:before="320" w:after="200"/>
      <w:outlineLvl w:val="8"/>
    </w:pPr>
    <w:rPr>
      <w:rFonts w:ascii="Arial" w:hAnsi="Arial" w:eastAsia="Arial" w:cs="Arial"/>
      <w:i/>
      <w:iCs/>
      <w:sz w:val="21"/>
      <w:szCs w:val="21"/>
    </w:rPr>
  </w:style>
  <w:style w:type="character" w:styleId="974">
    <w:name w:val="Heading 9 Char"/>
    <w:link w:val="973"/>
    <w:uiPriority w:val="9"/>
    <w:rPr>
      <w:rFonts w:ascii="Arial" w:hAnsi="Arial" w:eastAsia="Arial" w:cs="Arial"/>
      <w:i/>
      <w:iCs/>
      <w:sz w:val="21"/>
      <w:szCs w:val="21"/>
    </w:rPr>
  </w:style>
  <w:style w:type="paragraph" w:styleId="975">
    <w:name w:val="List Paragraph"/>
    <w:basedOn w:val="1135"/>
    <w:uiPriority w:val="34"/>
    <w:qFormat/>
    <w:pPr>
      <w:contextualSpacing/>
      <w:ind w:left="720"/>
    </w:pPr>
  </w:style>
  <w:style w:type="paragraph" w:styleId="976">
    <w:name w:val="No Spacing"/>
    <w:uiPriority w:val="1"/>
    <w:qFormat/>
    <w:pPr>
      <w:spacing w:before="0" w:after="0" w:line="240" w:lineRule="auto"/>
    </w:pPr>
  </w:style>
  <w:style w:type="paragraph" w:styleId="977">
    <w:name w:val="Title"/>
    <w:basedOn w:val="1135"/>
    <w:next w:val="1135"/>
    <w:link w:val="978"/>
    <w:uiPriority w:val="10"/>
    <w:qFormat/>
    <w:pPr>
      <w:contextualSpacing/>
      <w:spacing w:before="300" w:after="200"/>
    </w:pPr>
    <w:rPr>
      <w:sz w:val="48"/>
      <w:szCs w:val="48"/>
    </w:rPr>
  </w:style>
  <w:style w:type="character" w:styleId="978">
    <w:name w:val="Title Char"/>
    <w:link w:val="977"/>
    <w:uiPriority w:val="10"/>
    <w:rPr>
      <w:sz w:val="48"/>
      <w:szCs w:val="48"/>
    </w:rPr>
  </w:style>
  <w:style w:type="paragraph" w:styleId="979">
    <w:name w:val="Subtitle"/>
    <w:basedOn w:val="1135"/>
    <w:next w:val="1135"/>
    <w:link w:val="980"/>
    <w:uiPriority w:val="11"/>
    <w:qFormat/>
    <w:pPr>
      <w:spacing w:before="200" w:after="200"/>
    </w:pPr>
    <w:rPr>
      <w:sz w:val="24"/>
      <w:szCs w:val="24"/>
    </w:rPr>
  </w:style>
  <w:style w:type="character" w:styleId="980">
    <w:name w:val="Subtitle Char"/>
    <w:link w:val="979"/>
    <w:uiPriority w:val="11"/>
    <w:rPr>
      <w:sz w:val="24"/>
      <w:szCs w:val="24"/>
    </w:rPr>
  </w:style>
  <w:style w:type="paragraph" w:styleId="981">
    <w:name w:val="Quote"/>
    <w:basedOn w:val="1135"/>
    <w:next w:val="1135"/>
    <w:link w:val="982"/>
    <w:uiPriority w:val="29"/>
    <w:qFormat/>
    <w:pPr>
      <w:ind w:left="720" w:right="720"/>
    </w:pPr>
    <w:rPr>
      <w:i/>
    </w:rPr>
  </w:style>
  <w:style w:type="character" w:styleId="982">
    <w:name w:val="Quote Char"/>
    <w:link w:val="981"/>
    <w:uiPriority w:val="29"/>
    <w:rPr>
      <w:i/>
    </w:rPr>
  </w:style>
  <w:style w:type="paragraph" w:styleId="983">
    <w:name w:val="Intense Quote"/>
    <w:basedOn w:val="1135"/>
    <w:next w:val="1135"/>
    <w:link w:val="984"/>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984">
    <w:name w:val="Intense Quote Char"/>
    <w:link w:val="983"/>
    <w:uiPriority w:val="30"/>
    <w:rPr>
      <w:i/>
    </w:rPr>
  </w:style>
  <w:style w:type="paragraph" w:styleId="985">
    <w:name w:val="Header"/>
    <w:basedOn w:val="1135"/>
    <w:link w:val="986"/>
    <w:uiPriority w:val="99"/>
    <w:unhideWhenUsed/>
    <w:pPr>
      <w:spacing w:after="0" w:line="240" w:lineRule="auto"/>
      <w:tabs>
        <w:tab w:val="center" w:pos="7143" w:leader="none"/>
        <w:tab w:val="right" w:pos="14287" w:leader="none"/>
      </w:tabs>
    </w:pPr>
  </w:style>
  <w:style w:type="character" w:styleId="986">
    <w:name w:val="Header Char"/>
    <w:link w:val="985"/>
    <w:uiPriority w:val="99"/>
  </w:style>
  <w:style w:type="paragraph" w:styleId="987">
    <w:name w:val="Footer"/>
    <w:basedOn w:val="1135"/>
    <w:link w:val="990"/>
    <w:uiPriority w:val="99"/>
    <w:unhideWhenUsed/>
    <w:pPr>
      <w:spacing w:after="0" w:line="240" w:lineRule="auto"/>
      <w:tabs>
        <w:tab w:val="center" w:pos="7143" w:leader="none"/>
        <w:tab w:val="right" w:pos="14287" w:leader="none"/>
      </w:tabs>
    </w:pPr>
  </w:style>
  <w:style w:type="character" w:styleId="988">
    <w:name w:val="Footer Char"/>
    <w:link w:val="987"/>
    <w:uiPriority w:val="99"/>
  </w:style>
  <w:style w:type="paragraph" w:styleId="989">
    <w:name w:val="Caption"/>
    <w:basedOn w:val="1135"/>
    <w:next w:val="1135"/>
    <w:link w:val="990"/>
    <w:uiPriority w:val="35"/>
    <w:semiHidden/>
    <w:unhideWhenUsed/>
    <w:qFormat/>
    <w:pPr>
      <w:spacing w:line="276" w:lineRule="auto"/>
    </w:pPr>
    <w:rPr>
      <w:b/>
      <w:bCs/>
      <w:color w:val="4f81bd" w:themeColor="accent1"/>
      <w:sz w:val="18"/>
      <w:szCs w:val="18"/>
    </w:rPr>
  </w:style>
  <w:style w:type="character" w:styleId="990">
    <w:name w:val="Caption Char"/>
    <w:basedOn w:val="989"/>
    <w:link w:val="987"/>
    <w:uiPriority w:val="99"/>
  </w:style>
  <w:style w:type="table" w:styleId="991">
    <w:name w:val="Table Grid"/>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992">
    <w:name w:val="Table Grid Light"/>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993">
    <w:name w:val="Plain Table 1"/>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994">
    <w:name w:val="Plain Table 2"/>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995">
    <w:name w:val="Plain Table 3"/>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996">
    <w:name w:val="Plain Table 4"/>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997">
    <w:name w:val="Plain Table 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998">
    <w:name w:val="Grid Table 1 Light"/>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999">
    <w:name w:val="Grid Table 1 Light - Accent 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1000">
    <w:name w:val="Grid Table 1 Light - Accent 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1001">
    <w:name w:val="Grid Table 1 Light - Accent 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1002">
    <w:name w:val="Grid Table 1 Light - Accent 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1003">
    <w:name w:val="Grid Table 1 Light - Accent 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1004">
    <w:name w:val="Grid Table 1 Light - Accent 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1005">
    <w:name w:val="Grid Table 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1006">
    <w:name w:val="Grid Table 2 - Accent 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1007">
    <w:name w:val="Grid Table 2 - Accent 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1008">
    <w:name w:val="Grid Table 2 - Accent 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1009">
    <w:name w:val="Grid Table 2 - Accent 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1010">
    <w:name w:val="Grid Table 2 - Accent 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1011">
    <w:name w:val="Grid Table 2 - Accent 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1012">
    <w:name w:val="Grid Table 3"/>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013">
    <w:name w:val="Grid Table 3 - Accent 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014">
    <w:name w:val="Grid Table 3 - Accent 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015">
    <w:name w:val="Grid Table 3 - Accent 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016">
    <w:name w:val="Grid Table 3 - Accent 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017">
    <w:name w:val="Grid Table 3 - Accent 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018">
    <w:name w:val="Grid Table 3 - Accent 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019">
    <w:name w:val="Grid Table 4"/>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1020">
    <w:name w:val="Grid Table 4 - Accent 1"/>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1021">
    <w:name w:val="Grid Table 4 - Accent 2"/>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1022">
    <w:name w:val="Grid Table 4 - Accent 3"/>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1023">
    <w:name w:val="Grid Table 4 - Accent 4"/>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1024">
    <w:name w:val="Grid Table 4 - Accent 5"/>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1025">
    <w:name w:val="Grid Table 4 - Accent 6"/>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1026">
    <w:name w:val="Grid Table 5 Dark"/>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1027">
    <w:name w:val="Grid Table 5 Dark- Accent 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1028">
    <w:name w:val="Grid Table 5 Dark - Accent 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1029">
    <w:name w:val="Grid Table 5 Dark - Accent 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1030">
    <w:name w:val="Grid Table 5 Dark- Accent 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1031">
    <w:name w:val="Grid Table 5 Dark - Accent 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1032">
    <w:name w:val="Grid Table 5 Dark - Accent 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1033">
    <w:name w:val="Grid Table 6 Colorful"/>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1034">
    <w:name w:val="Grid Table 6 Colorful - Accent 1"/>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1035">
    <w:name w:val="Grid Table 6 Colorful - Accent 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1036">
    <w:name w:val="Grid Table 6 Colorful - Accent 3"/>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1037">
    <w:name w:val="Grid Table 6 Colorful - Accent 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1038">
    <w:name w:val="Grid Table 6 Colorful - Accent 5"/>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1039">
    <w:name w:val="Grid Table 6 Colorful - Accent 6"/>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1040">
    <w:name w:val="Grid Table 7 Colorful"/>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1041">
    <w:name w:val="Grid Table 7 Colorful - Accent 1"/>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1042">
    <w:name w:val="Grid Table 7 Colorful - Accent 2"/>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1043">
    <w:name w:val="Grid Table 7 Colorful - Accent 3"/>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1044">
    <w:name w:val="Grid Table 7 Colorful - Accent 4"/>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1045">
    <w:name w:val="Grid Table 7 Colorful - Accent 5"/>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1046">
    <w:name w:val="Grid Table 7 Colorful - Accent 6"/>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1047">
    <w:name w:val="List Table 1 Light"/>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48">
    <w:name w:val="List Table 1 Light - Accent 1"/>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049">
    <w:name w:val="List Table 1 Light - Accent 2"/>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050">
    <w:name w:val="List Table 1 Light - Accent 3"/>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051">
    <w:name w:val="List Table 1 Light - Accent 4"/>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052">
    <w:name w:val="List Table 1 Light - Accent 5"/>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053">
    <w:name w:val="List Table 1 Light - Accent 6"/>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054">
    <w:name w:val="List Table 2"/>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055">
    <w:name w:val="List Table 2 - Accent 1"/>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056">
    <w:name w:val="List Table 2 - Accent 2"/>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057">
    <w:name w:val="List Table 2 - Accent 3"/>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058">
    <w:name w:val="List Table 2 - Accent 4"/>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059">
    <w:name w:val="List Table 2 - Accent 5"/>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060">
    <w:name w:val="List Table 2 - Accent 6"/>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061">
    <w:name w:val="List Table 3"/>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062">
    <w:name w:val="List Table 3 - Accent 1"/>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063">
    <w:name w:val="List Table 3 - Accent 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1064">
    <w:name w:val="List Table 3 - Accent 3"/>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1065">
    <w:name w:val="List Table 3 - Accent 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1066">
    <w:name w:val="List Table 3 - Accent 5"/>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1067">
    <w:name w:val="List Table 3 - Accent 6"/>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1068">
    <w:name w:val="List Table 4"/>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069">
    <w:name w:val="List Table 4 - Accent 1"/>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070">
    <w:name w:val="List Table 4 - Accent 2"/>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1071">
    <w:name w:val="List Table 4 - Accent 3"/>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1072">
    <w:name w:val="List Table 4 - Accent 4"/>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1073">
    <w:name w:val="List Table 4 - Accent 5"/>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1074">
    <w:name w:val="List Table 4 - Accent 6"/>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1075">
    <w:name w:val="List Table 5 Dark"/>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76">
    <w:name w:val="List Table 5 Dark - Accent 1"/>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77">
    <w:name w:val="List Table 5 Dark - Accent 2"/>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78">
    <w:name w:val="List Table 5 Dark - Accent 3"/>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79">
    <w:name w:val="List Table 5 Dark - Accent 4"/>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80">
    <w:name w:val="List Table 5 Dark - Accent 5"/>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81">
    <w:name w:val="List Table 5 Dark - Accent 6"/>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82">
    <w:name w:val="List Table 6 Colorful"/>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083">
    <w:name w:val="List Table 6 Colorful - Accent 1"/>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1084">
    <w:name w:val="List Table 6 Colorful - Accent 2"/>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1085">
    <w:name w:val="List Table 6 Colorful - Accent 3"/>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1086">
    <w:name w:val="List Table 6 Colorful - Accent 4"/>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1087">
    <w:name w:val="List Table 6 Colorful - Accent 5"/>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1088">
    <w:name w:val="List Table 6 Colorful - Accent 6"/>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1089">
    <w:name w:val="List Table 7 Colorful"/>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1090">
    <w:name w:val="List Table 7 Colorful - Accent 1"/>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a4b71" w:themeColor="accent1" w:themeShade="95"/>
        <w:sz w:val="22"/>
      </w:rPr>
    </w:tblStylePr>
  </w:style>
  <w:style w:type="table" w:styleId="1091">
    <w:name w:val="List Table 7 Colorful - Accent 2"/>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9c3a37" w:themeColor="accent2" w:themeTint="97" w:themeShade="95"/>
        <w:sz w:val="22"/>
      </w:rPr>
    </w:tblStylePr>
  </w:style>
  <w:style w:type="table" w:styleId="1092">
    <w:name w:val="List Table 7 Colorful - Accent 3"/>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c983f" w:themeColor="accent3" w:themeTint="98" w:themeShade="95"/>
        <w:sz w:val="22"/>
      </w:rPr>
    </w:tblStylePr>
  </w:style>
  <w:style w:type="table" w:styleId="1093">
    <w:name w:val="List Table 7 Colorful - Accent 4"/>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664f82" w:themeColor="accent4" w:themeTint="9A" w:themeShade="95"/>
        <w:sz w:val="22"/>
      </w:rPr>
    </w:tblStylePr>
  </w:style>
  <w:style w:type="table" w:styleId="1094">
    <w:name w:val="List Table 7 Colorful - Accent 5"/>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338aa0" w:themeColor="accent5" w:themeTint="9A" w:themeShade="95"/>
        <w:sz w:val="22"/>
      </w:rPr>
    </w:tblStylePr>
  </w:style>
  <w:style w:type="table" w:styleId="1095">
    <w:name w:val="List Table 7 Colorful - Accent 6"/>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d9680c" w:themeColor="accent6" w:themeTint="98" w:themeShade="95"/>
        <w:sz w:val="22"/>
      </w:rPr>
    </w:tblStylePr>
  </w:style>
  <w:style w:type="table" w:styleId="1096">
    <w:name w:val="Lined - Accent"/>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097">
    <w:name w:val="Lined - Accent 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098">
    <w:name w:val="Lined - Accent 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099">
    <w:name w:val="Lined - Accent 3"/>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100">
    <w:name w:val="Lined - Accent 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101">
    <w:name w:val="Lined - Accent 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102">
    <w:name w:val="Lined - Accent 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103">
    <w:name w:val="Bordered &amp; Lined - Accent"/>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104">
    <w:name w:val="Bordered &amp; Lined - Accent 1"/>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105">
    <w:name w:val="Bordered &amp; Lined - Accent 2"/>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106">
    <w:name w:val="Bordered &amp; Lined - Accent 3"/>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107">
    <w:name w:val="Bordered &amp; Lined - Accent 4"/>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108">
    <w:name w:val="Bordered &amp; Lined - Accent 5"/>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109">
    <w:name w:val="Bordered &amp; Lined - Accent 6"/>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110">
    <w:name w:val="Bordered"/>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111">
    <w:name w:val="Bordered - Accent 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112">
    <w:name w:val="Bordered - Accent 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113">
    <w:name w:val="Bordered - Accent 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114">
    <w:name w:val="Bordered - Accent 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115">
    <w:name w:val="Bordered - Accent 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116">
    <w:name w:val="Bordered - Accent 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1117">
    <w:name w:val="Hyperlink"/>
    <w:uiPriority w:val="99"/>
    <w:unhideWhenUsed/>
    <w:rPr>
      <w:color w:val="0000ff" w:themeColor="hyperlink"/>
      <w:u w:val="single"/>
    </w:rPr>
  </w:style>
  <w:style w:type="paragraph" w:styleId="1118">
    <w:name w:val="footnote text"/>
    <w:basedOn w:val="1135"/>
    <w:link w:val="1119"/>
    <w:uiPriority w:val="99"/>
    <w:semiHidden/>
    <w:unhideWhenUsed/>
    <w:pPr>
      <w:spacing w:after="40" w:line="240" w:lineRule="auto"/>
    </w:pPr>
    <w:rPr>
      <w:sz w:val="18"/>
    </w:rPr>
  </w:style>
  <w:style w:type="character" w:styleId="1119">
    <w:name w:val="Footnote Text Char"/>
    <w:link w:val="1118"/>
    <w:uiPriority w:val="99"/>
    <w:rPr>
      <w:sz w:val="18"/>
    </w:rPr>
  </w:style>
  <w:style w:type="character" w:styleId="1120">
    <w:name w:val="footnote reference"/>
    <w:uiPriority w:val="99"/>
    <w:unhideWhenUsed/>
    <w:rPr>
      <w:vertAlign w:val="superscript"/>
    </w:rPr>
  </w:style>
  <w:style w:type="paragraph" w:styleId="1121">
    <w:name w:val="endnote text"/>
    <w:basedOn w:val="1135"/>
    <w:link w:val="1122"/>
    <w:uiPriority w:val="99"/>
    <w:semiHidden/>
    <w:unhideWhenUsed/>
    <w:pPr>
      <w:spacing w:after="0" w:line="240" w:lineRule="auto"/>
    </w:pPr>
    <w:rPr>
      <w:sz w:val="20"/>
    </w:rPr>
  </w:style>
  <w:style w:type="character" w:styleId="1122">
    <w:name w:val="Endnote Text Char"/>
    <w:link w:val="1121"/>
    <w:uiPriority w:val="99"/>
    <w:rPr>
      <w:sz w:val="20"/>
    </w:rPr>
  </w:style>
  <w:style w:type="character" w:styleId="1123">
    <w:name w:val="endnote reference"/>
    <w:uiPriority w:val="99"/>
    <w:semiHidden/>
    <w:unhideWhenUsed/>
    <w:rPr>
      <w:vertAlign w:val="superscript"/>
    </w:rPr>
  </w:style>
  <w:style w:type="paragraph" w:styleId="1124">
    <w:name w:val="toc 1"/>
    <w:basedOn w:val="1135"/>
    <w:next w:val="1135"/>
    <w:uiPriority w:val="39"/>
    <w:unhideWhenUsed/>
    <w:pPr>
      <w:ind w:left="0" w:right="0" w:firstLine="0"/>
      <w:spacing w:after="57"/>
    </w:pPr>
  </w:style>
  <w:style w:type="paragraph" w:styleId="1125">
    <w:name w:val="toc 2"/>
    <w:basedOn w:val="1135"/>
    <w:next w:val="1135"/>
    <w:uiPriority w:val="39"/>
    <w:unhideWhenUsed/>
    <w:pPr>
      <w:ind w:left="283" w:right="0" w:firstLine="0"/>
      <w:spacing w:after="57"/>
    </w:pPr>
  </w:style>
  <w:style w:type="paragraph" w:styleId="1126">
    <w:name w:val="toc 3"/>
    <w:basedOn w:val="1135"/>
    <w:next w:val="1135"/>
    <w:uiPriority w:val="39"/>
    <w:unhideWhenUsed/>
    <w:pPr>
      <w:ind w:left="567" w:right="0" w:firstLine="0"/>
      <w:spacing w:after="57"/>
    </w:pPr>
  </w:style>
  <w:style w:type="paragraph" w:styleId="1127">
    <w:name w:val="toc 4"/>
    <w:basedOn w:val="1135"/>
    <w:next w:val="1135"/>
    <w:uiPriority w:val="39"/>
    <w:unhideWhenUsed/>
    <w:pPr>
      <w:ind w:left="850" w:right="0" w:firstLine="0"/>
      <w:spacing w:after="57"/>
    </w:pPr>
  </w:style>
  <w:style w:type="paragraph" w:styleId="1128">
    <w:name w:val="toc 5"/>
    <w:basedOn w:val="1135"/>
    <w:next w:val="1135"/>
    <w:uiPriority w:val="39"/>
    <w:unhideWhenUsed/>
    <w:pPr>
      <w:ind w:left="1134" w:right="0" w:firstLine="0"/>
      <w:spacing w:after="57"/>
    </w:pPr>
  </w:style>
  <w:style w:type="paragraph" w:styleId="1129">
    <w:name w:val="toc 6"/>
    <w:basedOn w:val="1135"/>
    <w:next w:val="1135"/>
    <w:uiPriority w:val="39"/>
    <w:unhideWhenUsed/>
    <w:pPr>
      <w:ind w:left="1417" w:right="0" w:firstLine="0"/>
      <w:spacing w:after="57"/>
    </w:pPr>
  </w:style>
  <w:style w:type="paragraph" w:styleId="1130">
    <w:name w:val="toc 7"/>
    <w:basedOn w:val="1135"/>
    <w:next w:val="1135"/>
    <w:uiPriority w:val="39"/>
    <w:unhideWhenUsed/>
    <w:pPr>
      <w:ind w:left="1701" w:right="0" w:firstLine="0"/>
      <w:spacing w:after="57"/>
    </w:pPr>
  </w:style>
  <w:style w:type="paragraph" w:styleId="1131">
    <w:name w:val="toc 8"/>
    <w:basedOn w:val="1135"/>
    <w:next w:val="1135"/>
    <w:uiPriority w:val="39"/>
    <w:unhideWhenUsed/>
    <w:pPr>
      <w:ind w:left="1984" w:right="0" w:firstLine="0"/>
      <w:spacing w:after="57"/>
    </w:pPr>
  </w:style>
  <w:style w:type="paragraph" w:styleId="1132">
    <w:name w:val="toc 9"/>
    <w:basedOn w:val="1135"/>
    <w:next w:val="1135"/>
    <w:uiPriority w:val="39"/>
    <w:unhideWhenUsed/>
    <w:pPr>
      <w:ind w:left="2268" w:right="0" w:firstLine="0"/>
      <w:spacing w:after="57"/>
    </w:pPr>
  </w:style>
  <w:style w:type="paragraph" w:styleId="1133">
    <w:name w:val="TOC Heading"/>
    <w:uiPriority w:val="39"/>
    <w:unhideWhenUsed/>
  </w:style>
  <w:style w:type="paragraph" w:styleId="1134">
    <w:name w:val="table of figures"/>
    <w:basedOn w:val="1135"/>
    <w:next w:val="1135"/>
    <w:uiPriority w:val="99"/>
    <w:unhideWhenUsed/>
    <w:pPr>
      <w:spacing w:after="0" w:afterAutospacing="0"/>
    </w:pPr>
  </w:style>
  <w:style w:type="paragraph" w:styleId="1135" w:default="1">
    <w:name w:val="Normal"/>
    <w:next w:val="1135"/>
    <w:link w:val="1135"/>
    <w:qFormat/>
    <w:rPr>
      <w:rFonts w:ascii="Times New Roman" w:hAnsi="Times New Roman" w:eastAsia="Times New Roman"/>
      <w:sz w:val="24"/>
      <w:szCs w:val="24"/>
      <w:lang w:val="ru-RU" w:eastAsia="ru-RU" w:bidi="ar-SA"/>
    </w:rPr>
  </w:style>
  <w:style w:type="paragraph" w:styleId="1136">
    <w:name w:val="Заголовок 1"/>
    <w:basedOn w:val="1135"/>
    <w:next w:val="1135"/>
    <w:link w:val="1148"/>
    <w:qFormat/>
    <w:pPr>
      <w:ind w:firstLine="709"/>
      <w:jc w:val="both"/>
      <w:keepNext/>
      <w:spacing w:before="240" w:after="60"/>
      <w:outlineLvl w:val="0"/>
    </w:pPr>
    <w:rPr>
      <w:b/>
      <w:bCs/>
      <w:sz w:val="32"/>
      <w:szCs w:val="32"/>
      <w:lang w:val="en-US"/>
    </w:rPr>
  </w:style>
  <w:style w:type="paragraph" w:styleId="1137">
    <w:name w:val="Заголовок 2"/>
    <w:basedOn w:val="1135"/>
    <w:next w:val="1135"/>
    <w:link w:val="1149"/>
    <w:qFormat/>
    <w:pPr>
      <w:ind w:firstLine="709"/>
      <w:jc w:val="both"/>
      <w:keepNext/>
      <w:spacing w:before="240" w:after="60"/>
      <w:outlineLvl w:val="1"/>
    </w:pPr>
    <w:rPr>
      <w:b/>
      <w:bCs/>
      <w:i/>
      <w:iCs/>
      <w:lang w:val="en-US"/>
    </w:rPr>
  </w:style>
  <w:style w:type="paragraph" w:styleId="1138">
    <w:name w:val="Заголовок 3"/>
    <w:basedOn w:val="1135"/>
    <w:next w:val="1135"/>
    <w:link w:val="1150"/>
    <w:qFormat/>
    <w:pPr>
      <w:ind w:firstLine="709"/>
      <w:jc w:val="both"/>
      <w:keepNext/>
      <w:spacing w:before="240" w:after="60"/>
      <w:outlineLvl w:val="2"/>
    </w:pPr>
    <w:rPr>
      <w:b/>
      <w:bCs/>
      <w:sz w:val="28"/>
      <w:szCs w:val="28"/>
      <w:lang w:val="en-US"/>
    </w:rPr>
  </w:style>
  <w:style w:type="paragraph" w:styleId="1139">
    <w:name w:val="Заголовок 4"/>
    <w:basedOn w:val="1135"/>
    <w:next w:val="1135"/>
    <w:link w:val="1151"/>
    <w:qFormat/>
    <w:pPr>
      <w:ind w:firstLine="709"/>
      <w:jc w:val="center"/>
      <w:keepNext/>
      <w:spacing w:before="240" w:after="60"/>
      <w:outlineLvl w:val="3"/>
    </w:pPr>
    <w:rPr>
      <w:b/>
      <w:bCs/>
      <w:sz w:val="22"/>
      <w:lang w:val="en-US" w:eastAsia="en-US"/>
    </w:rPr>
  </w:style>
  <w:style w:type="paragraph" w:styleId="1140">
    <w:name w:val="Заголовок 5"/>
    <w:basedOn w:val="1135"/>
    <w:next w:val="1135"/>
    <w:link w:val="1152"/>
    <w:qFormat/>
    <w:pPr>
      <w:keepNext/>
      <w:outlineLvl w:val="4"/>
    </w:pPr>
    <w:rPr>
      <w:b/>
      <w:bCs/>
      <w:sz w:val="28"/>
      <w:szCs w:val="28"/>
      <w:lang w:val="en-US"/>
    </w:rPr>
  </w:style>
  <w:style w:type="paragraph" w:styleId="1141">
    <w:name w:val="Заголовок 6"/>
    <w:basedOn w:val="1135"/>
    <w:next w:val="1135"/>
    <w:link w:val="1153"/>
    <w:qFormat/>
    <w:pPr>
      <w:jc w:val="center"/>
      <w:keepNext/>
      <w:outlineLvl w:val="5"/>
    </w:pPr>
    <w:rPr>
      <w:b/>
      <w:bCs/>
      <w:lang w:val="en-US"/>
    </w:rPr>
  </w:style>
  <w:style w:type="paragraph" w:styleId="1142">
    <w:name w:val="Заголовок 7"/>
    <w:basedOn w:val="1135"/>
    <w:next w:val="1135"/>
    <w:link w:val="1154"/>
    <w:qFormat/>
    <w:pPr>
      <w:jc w:val="center"/>
      <w:keepNext/>
      <w:outlineLvl w:val="6"/>
    </w:pPr>
    <w:rPr>
      <w:b/>
      <w:bCs/>
      <w:sz w:val="32"/>
      <w:szCs w:val="32"/>
      <w:lang w:val="en-US"/>
    </w:rPr>
  </w:style>
  <w:style w:type="paragraph" w:styleId="1143">
    <w:name w:val="Заголовок 8"/>
    <w:basedOn w:val="1135"/>
    <w:next w:val="1135"/>
    <w:link w:val="1155"/>
    <w:qFormat/>
    <w:pPr>
      <w:keepNext/>
      <w:outlineLvl w:val="7"/>
    </w:pPr>
    <w:rPr>
      <w:b/>
      <w:bCs/>
      <w:lang w:val="en-US"/>
    </w:rPr>
  </w:style>
  <w:style w:type="paragraph" w:styleId="1144">
    <w:name w:val="Заголовок 9"/>
    <w:basedOn w:val="1135"/>
    <w:next w:val="1135"/>
    <w:link w:val="1156"/>
    <w:qFormat/>
    <w:pPr>
      <w:keepNext/>
      <w:outlineLvl w:val="8"/>
    </w:pPr>
    <w:rPr>
      <w:b/>
      <w:bCs/>
      <w:sz w:val="20"/>
      <w:szCs w:val="20"/>
      <w:lang w:val="en-US"/>
    </w:rPr>
  </w:style>
  <w:style w:type="character" w:styleId="1145">
    <w:name w:val="Основной шрифт абзаца"/>
    <w:next w:val="1145"/>
    <w:link w:val="1135"/>
    <w:uiPriority w:val="1"/>
    <w:unhideWhenUsed/>
  </w:style>
  <w:style w:type="table" w:styleId="1146">
    <w:name w:val="Обычная таблица"/>
    <w:next w:val="1146"/>
    <w:link w:val="1135"/>
    <w:uiPriority w:val="99"/>
    <w:semiHidden/>
    <w:unhideWhenUsed/>
    <w:qFormat/>
    <w:tblPr/>
  </w:style>
  <w:style w:type="numbering" w:styleId="1147">
    <w:name w:val="Нет списка"/>
    <w:next w:val="1147"/>
    <w:link w:val="1135"/>
    <w:uiPriority w:val="99"/>
    <w:semiHidden/>
    <w:unhideWhenUsed/>
  </w:style>
  <w:style w:type="character" w:styleId="1148">
    <w:name w:val="Заголовок 1 Знак"/>
    <w:next w:val="1148"/>
    <w:link w:val="1136"/>
    <w:rPr>
      <w:rFonts w:ascii="Times New Roman" w:hAnsi="Times New Roman" w:eastAsia="Times New Roman" w:cs="Times New Roman"/>
      <w:b/>
      <w:bCs/>
      <w:sz w:val="32"/>
      <w:szCs w:val="32"/>
      <w:lang w:eastAsia="ru-RU"/>
    </w:rPr>
  </w:style>
  <w:style w:type="character" w:styleId="1149">
    <w:name w:val="Заголовок 2 Знак"/>
    <w:next w:val="1149"/>
    <w:link w:val="1137"/>
    <w:rPr>
      <w:rFonts w:ascii="Times New Roman" w:hAnsi="Times New Roman" w:eastAsia="Times New Roman" w:cs="Times New Roman"/>
      <w:b/>
      <w:bCs/>
      <w:i/>
      <w:iCs/>
      <w:sz w:val="24"/>
      <w:szCs w:val="24"/>
      <w:lang w:eastAsia="ru-RU"/>
    </w:rPr>
  </w:style>
  <w:style w:type="character" w:styleId="1150">
    <w:name w:val="Заголовок 3 Знак"/>
    <w:next w:val="1150"/>
    <w:link w:val="1138"/>
    <w:rPr>
      <w:rFonts w:ascii="Times New Roman" w:hAnsi="Times New Roman" w:eastAsia="Times New Roman" w:cs="Times New Roman"/>
      <w:b/>
      <w:bCs/>
      <w:sz w:val="28"/>
      <w:szCs w:val="28"/>
      <w:lang w:eastAsia="ru-RU"/>
    </w:rPr>
  </w:style>
  <w:style w:type="character" w:styleId="1151">
    <w:name w:val="Заголовок 4 Знак"/>
    <w:next w:val="1151"/>
    <w:link w:val="1139"/>
    <w:rPr>
      <w:rFonts w:ascii="Times New Roman" w:hAnsi="Times New Roman" w:eastAsia="Times New Roman"/>
      <w:b/>
      <w:bCs/>
      <w:sz w:val="22"/>
      <w:szCs w:val="24"/>
      <w:lang w:val="en-US"/>
    </w:rPr>
  </w:style>
  <w:style w:type="character" w:styleId="1152">
    <w:name w:val="Заголовок 5 Знак"/>
    <w:next w:val="1152"/>
    <w:link w:val="1140"/>
    <w:rPr>
      <w:rFonts w:ascii="Times New Roman" w:hAnsi="Times New Roman" w:eastAsia="Times New Roman" w:cs="Times New Roman"/>
      <w:b/>
      <w:bCs/>
      <w:sz w:val="28"/>
      <w:szCs w:val="28"/>
      <w:lang w:eastAsia="ru-RU"/>
    </w:rPr>
  </w:style>
  <w:style w:type="character" w:styleId="1153">
    <w:name w:val="Заголовок 6 Знак"/>
    <w:next w:val="1153"/>
    <w:link w:val="1141"/>
    <w:rPr>
      <w:rFonts w:ascii="Times New Roman" w:hAnsi="Times New Roman" w:eastAsia="Times New Roman" w:cs="Times New Roman"/>
      <w:b/>
      <w:bCs/>
      <w:sz w:val="24"/>
      <w:szCs w:val="24"/>
      <w:lang w:eastAsia="ru-RU"/>
    </w:rPr>
  </w:style>
  <w:style w:type="character" w:styleId="1154">
    <w:name w:val="Заголовок 7 Знак"/>
    <w:next w:val="1154"/>
    <w:link w:val="1142"/>
    <w:rPr>
      <w:rFonts w:ascii="Times New Roman" w:hAnsi="Times New Roman" w:eastAsia="Times New Roman" w:cs="Times New Roman"/>
      <w:b/>
      <w:bCs/>
      <w:sz w:val="32"/>
      <w:szCs w:val="32"/>
      <w:lang w:eastAsia="ru-RU"/>
    </w:rPr>
  </w:style>
  <w:style w:type="character" w:styleId="1155">
    <w:name w:val="Заголовок 8 Знак"/>
    <w:next w:val="1155"/>
    <w:link w:val="1143"/>
    <w:rPr>
      <w:rFonts w:ascii="Times New Roman" w:hAnsi="Times New Roman" w:eastAsia="Times New Roman" w:cs="Times New Roman"/>
      <w:b/>
      <w:bCs/>
      <w:sz w:val="24"/>
      <w:szCs w:val="24"/>
      <w:lang w:eastAsia="ru-RU"/>
    </w:rPr>
  </w:style>
  <w:style w:type="character" w:styleId="1156">
    <w:name w:val="Заголовок 9 Знак"/>
    <w:next w:val="1156"/>
    <w:link w:val="1144"/>
    <w:rPr>
      <w:rFonts w:ascii="Times New Roman" w:hAnsi="Times New Roman" w:eastAsia="Times New Roman" w:cs="Times New Roman"/>
      <w:b/>
      <w:bCs/>
      <w:sz w:val="20"/>
      <w:szCs w:val="20"/>
      <w:lang w:eastAsia="ru-RU"/>
    </w:rPr>
  </w:style>
  <w:style w:type="paragraph" w:styleId="1157">
    <w:name w:val="Без интервала"/>
    <w:next w:val="1157"/>
    <w:link w:val="1158"/>
    <w:qFormat/>
    <w:rPr>
      <w:rFonts w:eastAsia="Times New Roman"/>
      <w:sz w:val="22"/>
      <w:szCs w:val="22"/>
      <w:lang w:val="ru-RU" w:eastAsia="en-US" w:bidi="ar-SA"/>
    </w:rPr>
  </w:style>
  <w:style w:type="character" w:styleId="1158">
    <w:name w:val="Без интервала Знак"/>
    <w:next w:val="1158"/>
    <w:link w:val="1157"/>
    <w:rPr>
      <w:rFonts w:eastAsia="Times New Roman"/>
      <w:sz w:val="22"/>
      <w:szCs w:val="22"/>
      <w:lang w:val="ru-RU" w:eastAsia="en-US" w:bidi="ar-SA"/>
    </w:rPr>
  </w:style>
  <w:style w:type="paragraph" w:styleId="1159">
    <w:name w:val="Оглавление 1"/>
    <w:basedOn w:val="1135"/>
    <w:next w:val="1135"/>
    <w:link w:val="1135"/>
    <w:uiPriority w:val="39"/>
    <w:pPr>
      <w:jc w:val="center"/>
      <w:spacing w:line="360" w:lineRule="auto"/>
      <w:tabs>
        <w:tab w:val="right" w:pos="10065" w:leader="dot"/>
      </w:tabs>
    </w:pPr>
    <w:rPr>
      <w:b/>
      <w:sz w:val="22"/>
    </w:rPr>
  </w:style>
  <w:style w:type="paragraph" w:styleId="1160">
    <w:name w:val="Основной текст с отступом 2"/>
    <w:basedOn w:val="1135"/>
    <w:next w:val="1160"/>
    <w:link w:val="1161"/>
    <w:pPr>
      <w:ind w:firstLine="708"/>
      <w:jc w:val="both"/>
    </w:pPr>
    <w:rPr>
      <w:sz w:val="20"/>
      <w:szCs w:val="20"/>
      <w:lang w:val="en-US"/>
    </w:rPr>
  </w:style>
  <w:style w:type="character" w:styleId="1161">
    <w:name w:val="Основной текст с отступом 2 Знак"/>
    <w:next w:val="1161"/>
    <w:link w:val="1160"/>
    <w:rPr>
      <w:rFonts w:ascii="Times New Roman" w:hAnsi="Times New Roman" w:eastAsia="Times New Roman" w:cs="Times New Roman"/>
      <w:lang w:eastAsia="ru-RU"/>
    </w:rPr>
  </w:style>
  <w:style w:type="paragraph" w:styleId="1162">
    <w:name w:val="Основной текст,Основной текст_отчет,bt"/>
    <w:basedOn w:val="1135"/>
    <w:next w:val="1162"/>
    <w:link w:val="1163"/>
    <w:rPr>
      <w:b/>
      <w:bCs/>
      <w:lang w:val="en-US"/>
    </w:rPr>
  </w:style>
  <w:style w:type="character" w:styleId="1163">
    <w:name w:val="Основной текст Знак,Основной текст_отчет Знак,bt Знак"/>
    <w:next w:val="1163"/>
    <w:link w:val="1162"/>
    <w:rPr>
      <w:rFonts w:ascii="Times New Roman" w:hAnsi="Times New Roman" w:eastAsia="Times New Roman" w:cs="Times New Roman"/>
      <w:b/>
      <w:bCs/>
      <w:sz w:val="24"/>
      <w:szCs w:val="24"/>
      <w:lang w:eastAsia="ru-RU"/>
    </w:rPr>
  </w:style>
  <w:style w:type="paragraph" w:styleId="1164">
    <w:name w:val="Основной текст с отступом,Основной текст с отступом Знак1,Основной текст с отступом Знак Знак,Основной текст с отступом Знак1 Знак1 Знак,Основной текст с отступом Знак Знак Знак1 Знак,Основной текст с отступом Знак1 Знак1 Знак Знак Знак,Основной текст 1"/>
    <w:basedOn w:val="1135"/>
    <w:next w:val="1164"/>
    <w:link w:val="1165"/>
    <w:pPr>
      <w:jc w:val="both"/>
    </w:pPr>
    <w:rPr>
      <w:b/>
      <w:bCs/>
      <w:lang w:val="en-US"/>
    </w:rPr>
  </w:style>
  <w:style w:type="character" w:styleId="1165">
    <w:name w:val="Основной текст с отступом Знак,Основной текст с отступом Знак1 Знак,Основной текст с отступом Знак Знак Знак,Основной текст с отступом Знак1 Знак1 Знак Знак,Основной текст с отступом Знак Знак Знак1 Знак Знак,Основной текст 1 Знак"/>
    <w:next w:val="1165"/>
    <w:link w:val="1164"/>
    <w:rPr>
      <w:rFonts w:ascii="Times New Roman" w:hAnsi="Times New Roman" w:eastAsia="Times New Roman" w:cs="Times New Roman"/>
      <w:b/>
      <w:bCs/>
      <w:sz w:val="24"/>
      <w:szCs w:val="24"/>
      <w:lang w:eastAsia="ru-RU"/>
    </w:rPr>
  </w:style>
  <w:style w:type="paragraph" w:styleId="1166">
    <w:name w:val="Верхний колонтитул,ВерхКолонтитул"/>
    <w:basedOn w:val="1135"/>
    <w:next w:val="1166"/>
    <w:link w:val="1167"/>
    <w:uiPriority w:val="99"/>
    <w:pPr>
      <w:tabs>
        <w:tab w:val="center" w:pos="4677" w:leader="none"/>
        <w:tab w:val="right" w:pos="9355" w:leader="none"/>
      </w:tabs>
    </w:pPr>
    <w:rPr>
      <w:lang w:val="en-US"/>
    </w:rPr>
  </w:style>
  <w:style w:type="character" w:styleId="1167">
    <w:name w:val="Верхний колонтитул Знак,ВерхКолонтитул Знак"/>
    <w:next w:val="1167"/>
    <w:link w:val="1166"/>
    <w:uiPriority w:val="99"/>
    <w:rPr>
      <w:rFonts w:ascii="Times New Roman" w:hAnsi="Times New Roman" w:eastAsia="Times New Roman" w:cs="Times New Roman"/>
      <w:sz w:val="24"/>
      <w:szCs w:val="24"/>
      <w:lang w:eastAsia="ru-RU"/>
    </w:rPr>
  </w:style>
  <w:style w:type="paragraph" w:styleId="1168">
    <w:name w:val="Нижний колонтитул"/>
    <w:basedOn w:val="1135"/>
    <w:next w:val="1168"/>
    <w:link w:val="1169"/>
    <w:uiPriority w:val="99"/>
    <w:pPr>
      <w:tabs>
        <w:tab w:val="center" w:pos="4677" w:leader="none"/>
        <w:tab w:val="right" w:pos="9355" w:leader="none"/>
      </w:tabs>
    </w:pPr>
    <w:rPr>
      <w:lang w:val="en-US"/>
    </w:rPr>
  </w:style>
  <w:style w:type="character" w:styleId="1169">
    <w:name w:val="Нижний колонтитул Знак"/>
    <w:next w:val="1169"/>
    <w:link w:val="1168"/>
    <w:uiPriority w:val="99"/>
    <w:rPr>
      <w:rFonts w:ascii="Times New Roman" w:hAnsi="Times New Roman" w:eastAsia="Times New Roman" w:cs="Times New Roman"/>
      <w:sz w:val="24"/>
      <w:szCs w:val="24"/>
      <w:lang w:eastAsia="ru-RU"/>
    </w:rPr>
  </w:style>
  <w:style w:type="paragraph" w:styleId="1170">
    <w:name w:val="Текст выноски"/>
    <w:basedOn w:val="1135"/>
    <w:next w:val="1170"/>
    <w:link w:val="1171"/>
    <w:uiPriority w:val="99"/>
    <w:rPr>
      <w:rFonts w:ascii="Tahoma" w:hAnsi="Tahoma"/>
      <w:sz w:val="16"/>
      <w:szCs w:val="16"/>
      <w:lang w:val="en-US"/>
    </w:rPr>
  </w:style>
  <w:style w:type="character" w:styleId="1171">
    <w:name w:val="Текст выноски Знак"/>
    <w:next w:val="1171"/>
    <w:link w:val="1170"/>
    <w:uiPriority w:val="99"/>
    <w:rPr>
      <w:rFonts w:ascii="Tahoma" w:hAnsi="Tahoma" w:eastAsia="Times New Roman" w:cs="Tahoma"/>
      <w:sz w:val="16"/>
      <w:szCs w:val="16"/>
      <w:lang w:eastAsia="ru-RU"/>
    </w:rPr>
  </w:style>
  <w:style w:type="character" w:styleId="1172">
    <w:name w:val="Гиперссылка"/>
    <w:next w:val="1172"/>
    <w:link w:val="1135"/>
    <w:uiPriority w:val="99"/>
    <w:unhideWhenUsed/>
    <w:rPr>
      <w:color w:val="0000ff"/>
      <w:u w:val="single"/>
    </w:rPr>
  </w:style>
  <w:style w:type="paragraph" w:styleId="1173">
    <w:name w:val="Название"/>
    <w:basedOn w:val="1135"/>
    <w:next w:val="1173"/>
    <w:link w:val="1174"/>
    <w:qFormat/>
    <w:pPr>
      <w:jc w:val="center"/>
    </w:pPr>
    <w:rPr>
      <w:b/>
      <w:bCs/>
      <w:sz w:val="28"/>
      <w:szCs w:val="28"/>
      <w:lang w:val="en-US"/>
    </w:rPr>
  </w:style>
  <w:style w:type="character" w:styleId="1174">
    <w:name w:val="Название Знак"/>
    <w:next w:val="1174"/>
    <w:link w:val="1173"/>
    <w:rPr>
      <w:rFonts w:ascii="Times New Roman" w:hAnsi="Times New Roman" w:eastAsia="Times New Roman" w:cs="Times New Roman"/>
      <w:b/>
      <w:bCs/>
      <w:sz w:val="28"/>
      <w:szCs w:val="28"/>
      <w:lang w:eastAsia="ru-RU"/>
    </w:rPr>
  </w:style>
  <w:style w:type="paragraph" w:styleId="1175">
    <w:name w:val="Текст сноски,Текст сноски Знак1,Текст сноски Знак Знак,Текст сноски Знак1 Знак Знак,Текст сноски Знак Знак Знак Знак, Знак Знак Знак Знак Знак,Текст сноски Знак Знак1,Текст сноски Знак2 Знак,Текст сноски Знак Знак1 Знак Знак, Знак11,Зн,Знак11,Зна,З,Знак"/>
    <w:basedOn w:val="1135"/>
    <w:next w:val="1175"/>
    <w:link w:val="1176"/>
    <w:qFormat/>
    <w:rPr>
      <w:sz w:val="20"/>
      <w:szCs w:val="20"/>
      <w:lang w:val="en-US"/>
    </w:rPr>
  </w:style>
  <w:style w:type="character" w:styleId="1176">
    <w:name w:val="Текст сноски Знак,Текст сноски Знак1 Знак,Текст сноски Знак Знак Знак,Текст сноски Знак1 Знак Знак Знак,Текст сноски Знак Знак Знак Знак Знак, Знак Знак Знак Знак Знак Знак,Текст сноски Знак Знак1 Знак,Текст сноски Знак2 Знак Знак, Знак11 Знак,Зн Знак"/>
    <w:next w:val="1176"/>
    <w:link w:val="1175"/>
    <w:rPr>
      <w:rFonts w:ascii="Times New Roman" w:hAnsi="Times New Roman" w:eastAsia="Times New Roman" w:cs="Times New Roman"/>
      <w:sz w:val="20"/>
      <w:szCs w:val="20"/>
      <w:lang w:eastAsia="ru-RU"/>
    </w:rPr>
  </w:style>
  <w:style w:type="paragraph" w:styleId="1177">
    <w:name w:val="Текст концевой сноски"/>
    <w:basedOn w:val="1135"/>
    <w:next w:val="1177"/>
    <w:link w:val="1178"/>
    <w:uiPriority w:val="99"/>
    <w:semiHidden/>
    <w:unhideWhenUsed/>
    <w:rPr>
      <w:sz w:val="20"/>
      <w:szCs w:val="20"/>
      <w:lang w:val="en-US" w:eastAsia="en-US"/>
    </w:rPr>
  </w:style>
  <w:style w:type="character" w:styleId="1178">
    <w:name w:val="Текст концевой сноски Знак"/>
    <w:next w:val="1178"/>
    <w:link w:val="1177"/>
    <w:uiPriority w:val="99"/>
    <w:semiHidden/>
    <w:rPr>
      <w:rFonts w:ascii="Times New Roman" w:hAnsi="Times New Roman" w:eastAsia="Times New Roman"/>
    </w:rPr>
  </w:style>
  <w:style w:type="character" w:styleId="1179">
    <w:name w:val="Знак концевой сноски"/>
    <w:next w:val="1179"/>
    <w:link w:val="1135"/>
    <w:uiPriority w:val="99"/>
    <w:semiHidden/>
    <w:unhideWhenUsed/>
    <w:rPr>
      <w:vertAlign w:val="superscript"/>
    </w:rPr>
  </w:style>
  <w:style w:type="character" w:styleId="1180">
    <w:name w:val="Знак сноски,Знак сноски 1,Знак сноски-FN,сноска,вески,ftref,fr,Used by Word for Help footnote symbols,ООО Знак сноски,СНОСКА,сноска1,Ciae niinee-FN,Referencia nota al pie,Footnote Reference,ХИА_ЗС,сноск,SUPERS,Avg,Table_Footnote_last Знак1"/>
    <w:next w:val="1180"/>
    <w:link w:val="1135"/>
    <w:unhideWhenUsed/>
    <w:qFormat/>
    <w:rPr>
      <w:vertAlign w:val="superscript"/>
    </w:rPr>
  </w:style>
  <w:style w:type="paragraph" w:styleId="1181">
    <w:name w:val="Основной текст 2"/>
    <w:basedOn w:val="1135"/>
    <w:next w:val="1181"/>
    <w:link w:val="1182"/>
    <w:rPr>
      <w:b/>
      <w:bCs/>
      <w:sz w:val="20"/>
      <w:szCs w:val="22"/>
      <w:lang w:val="en-US" w:eastAsia="en-US"/>
    </w:rPr>
  </w:style>
  <w:style w:type="character" w:styleId="1182">
    <w:name w:val="Основной текст 2 Знак"/>
    <w:next w:val="1182"/>
    <w:link w:val="1181"/>
    <w:rPr>
      <w:rFonts w:ascii="Times New Roman" w:hAnsi="Times New Roman" w:eastAsia="Times New Roman"/>
      <w:b/>
      <w:bCs/>
      <w:szCs w:val="22"/>
    </w:rPr>
  </w:style>
  <w:style w:type="character" w:styleId="1183">
    <w:name w:val="Номер страницы"/>
    <w:next w:val="1183"/>
    <w:link w:val="1135"/>
  </w:style>
  <w:style w:type="paragraph" w:styleId="1184">
    <w:name w:val="Абзац списка"/>
    <w:basedOn w:val="1135"/>
    <w:next w:val="1184"/>
    <w:link w:val="1135"/>
    <w:uiPriority w:val="34"/>
    <w:qFormat/>
    <w:pPr>
      <w:contextualSpacing/>
      <w:ind w:left="720"/>
      <w:spacing w:after="200" w:line="276" w:lineRule="auto"/>
    </w:pPr>
    <w:rPr>
      <w:rFonts w:ascii="Calibri" w:hAnsi="Calibri" w:eastAsia="Calibri"/>
      <w:sz w:val="22"/>
      <w:szCs w:val="22"/>
      <w:lang w:eastAsia="en-US"/>
    </w:rPr>
  </w:style>
  <w:style w:type="paragraph" w:styleId="1185">
    <w:name w:val="Default"/>
    <w:next w:val="1185"/>
    <w:link w:val="1135"/>
    <w:rPr>
      <w:rFonts w:ascii="Times New Roman" w:hAnsi="Times New Roman"/>
      <w:color w:val="000000"/>
      <w:sz w:val="24"/>
      <w:szCs w:val="24"/>
      <w:lang w:val="ru-RU" w:eastAsia="en-US" w:bidi="ar-SA"/>
    </w:rPr>
  </w:style>
  <w:style w:type="character" w:styleId="1186">
    <w:name w:val="Просмотренная гиперссылка"/>
    <w:next w:val="1186"/>
    <w:link w:val="1135"/>
    <w:uiPriority w:val="99"/>
    <w:semiHidden/>
    <w:unhideWhenUsed/>
    <w:rPr>
      <w:color w:val="954f72"/>
      <w:u w:val="single"/>
    </w:rPr>
  </w:style>
  <w:style w:type="table" w:styleId="1187">
    <w:name w:val="Сетка таблицы"/>
    <w:basedOn w:val="1146"/>
    <w:next w:val="1187"/>
    <w:link w:val="1135"/>
    <w:uiPriority w:val="59"/>
    <w:tblPr/>
  </w:style>
  <w:style w:type="paragraph" w:styleId="1188">
    <w:name w:val="Нормальный"/>
    <w:next w:val="1188"/>
    <w:link w:val="1135"/>
    <w:rPr>
      <w:rFonts w:ascii="TimesET" w:hAnsi="TimesET" w:eastAsia="Times New Roman" w:cs="TimesET"/>
      <w:b/>
      <w:bCs/>
      <w:i/>
      <w:iCs/>
      <w:smallCaps/>
      <w:sz w:val="24"/>
      <w:szCs w:val="24"/>
      <w:lang w:val="ru-RU" w:eastAsia="ru-RU" w:bidi="ar-SA"/>
    </w:rPr>
  </w:style>
  <w:style w:type="character" w:styleId="1189" w:default="1">
    <w:name w:val="Default Paragraph Font"/>
    <w:uiPriority w:val="1"/>
    <w:semiHidden/>
    <w:unhideWhenUsed/>
  </w:style>
  <w:style w:type="numbering" w:styleId="1190" w:default="1">
    <w:name w:val="No List"/>
    <w:uiPriority w:val="99"/>
    <w:semiHidden/>
    <w:unhideWhenUsed/>
  </w:style>
  <w:style w:type="table" w:styleId="1191" w:default="1">
    <w:name w:val="Normal Table"/>
    <w:uiPriority w:val="99"/>
    <w:semiHidden/>
    <w:unhideWhenUsed/>
    <w:tbl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eader" Target="header2.xml" /><Relationship Id="rId11" Type="http://schemas.openxmlformats.org/officeDocument/2006/relationships/image" Target="media/image1.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Р7-Офис/2025.2.2.831</Application>
  <Company>KRF RSHB</Company>
  <DocSecurity>0</DocSecurity>
  <HyperlinksChanged>false</HyperlinksChanged>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nikulina-LI</dc:creator>
  <cp:lastModifiedBy>stashchenko-yuyu</cp:lastModifiedBy>
  <cp:revision>15</cp:revision>
  <dcterms:created xsi:type="dcterms:W3CDTF">2024-11-25T11:29:00Z</dcterms:created>
  <dcterms:modified xsi:type="dcterms:W3CDTF">2025-12-19T07:43:17Z</dcterms:modified>
  <cp:version>1048576</cp:version>
</cp:coreProperties>
</file>