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49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3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949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</w:t>
      </w:r>
      <w:r>
        <w:rPr>
          <w:rFonts w:ascii="Times New Roman" w:hAnsi="Times New Roman" w:cs="Times New Roman"/>
          <w:sz w:val="20"/>
          <w:szCs w:val="20"/>
        </w:rPr>
        <w:t xml:space="preserve">АО «Россельхозбанк»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949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16</w:t>
      </w:r>
      <w:r>
        <w:rPr>
          <w:rFonts w:ascii="Times New Roman" w:hAnsi="Times New Roman" w:cs="Times New Roman"/>
          <w:sz w:val="20"/>
          <w:szCs w:val="20"/>
        </w:rPr>
        <w:t xml:space="preserve">.11.2021 № 2100-ОД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10206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tbl>
      <w:tblPr>
        <w:tblStyle w:val="1149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4854"/>
        <w:gridCol w:w="3188"/>
        <w:gridCol w:w="6258"/>
      </w:tblGrid>
      <w:tr>
        <w:tblPrEx/>
        <w:trPr>
          <w:jc w:val="center"/>
        </w:trPr>
        <w:tc>
          <w:tcPr>
            <w:gridSpan w:val="4"/>
            <w:shd w:val="clear" w:color="auto" w:fill="c2d69b" w:themeFill="accent3" w:themeFillTint="99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Тарифный план «Карта Хозяина»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before="0" w:beforeAutospacing="0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(действует с 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highlight w:val="none"/>
                <w:lang w:eastAsia="ru-RU"/>
              </w:rPr>
              <w:t xml:space="preserve">01.05</w:t>
            </w:r>
            <w:r/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.2025)</w:t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Применяется для кредитных карт с льготным периодом кредитования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d6e3bc" w:themeFill="accent3" w:themeFillTint="66"/>
            <w:tcW w:w="183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163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107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210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Примечания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183" w:type="pct"/>
            <w:textDirection w:val="lrTb"/>
            <w:noWrap w:val="false"/>
          </w:tcPr>
          <w:p>
            <w:pPr>
              <w:pStyle w:val="1150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4817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параметры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183" w:type="pct"/>
            <w:textDirection w:val="lrTb"/>
            <w:noWrap w:val="false"/>
          </w:tcPr>
          <w:p>
            <w:pPr>
              <w:pStyle w:val="1150"/>
              <w:numPr>
                <w:ilvl w:val="0"/>
                <w:numId w:val="1"/>
              </w:numPr>
              <w:ind w:left="0" w:firstLine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635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Валюта кредита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18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Рубли (руб.)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183" w:type="pct"/>
            <w:textDirection w:val="lrTb"/>
            <w:noWrap w:val="false"/>
          </w:tcPr>
          <w:p>
            <w:pPr>
              <w:pStyle w:val="1150"/>
              <w:numPr>
                <w:ilvl w:val="0"/>
                <w:numId w:val="1"/>
              </w:numPr>
              <w:ind w:left="0" w:firstLine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635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Специальные условия предоставления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18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01.08.2020 выпуск банковской карты не осуществляется.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Выпуск карт осуществляется только в период действия кредитного лимита или по заявкам, поданным в срок до 01.08.2020.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/замена карт/дополнительных карт осуществляется только в период действия кредитного лимита.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183" w:type="pct"/>
            <w:textDirection w:val="lrTb"/>
            <w:noWrap w:val="false"/>
          </w:tcPr>
          <w:p>
            <w:pPr>
              <w:pStyle w:val="1150"/>
              <w:numPr>
                <w:ilvl w:val="0"/>
                <w:numId w:val="1"/>
              </w:numPr>
              <w:ind w:left="0" w:firstLine="0"/>
              <w:spacing w:befor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635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карты </w:t>
            </w:r>
            <w:r>
              <w:rPr>
                <w:rStyle w:val="1153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0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действия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1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183" w:type="pct"/>
            <w:textDirection w:val="lrTb"/>
            <w:noWrap w:val="false"/>
          </w:tcPr>
          <w:p>
            <w:pPr>
              <w:pStyle w:val="1150"/>
              <w:numPr>
                <w:ilvl w:val="0"/>
                <w:numId w:val="4"/>
              </w:numPr>
              <w:spacing w:before="40" w:after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635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</w:t>
            </w:r>
            <w:r>
              <w:rPr>
                <w:rStyle w:val="1153"/>
                <w:rFonts w:ascii="Times New Roman" w:hAnsi="Times New Roman" w:cs="Times New Roman"/>
                <w:bCs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Карта МИР Моментального выпуска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07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 2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 (для карт в виде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форм-фактора)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08" w:type="pct"/>
            <w:vAlign w:val="center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действия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составляет 5 лет и зависит от наличия карт данных категорий в подразделении АО «Россельхозбанк»</w:t>
            </w:r>
            <w:r>
              <w:rPr>
                <w:rStyle w:val="1153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Замена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МИР Моментального выпуска.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183" w:type="pct"/>
            <w:textDirection w:val="lrTb"/>
            <w:noWrap w:val="false"/>
          </w:tcPr>
          <w:p>
            <w:pPr>
              <w:pStyle w:val="1150"/>
              <w:numPr>
                <w:ilvl w:val="0"/>
                <w:numId w:val="4"/>
              </w:numPr>
              <w:spacing w:before="40" w:after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635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Классическая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07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08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Классическая карта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tbl>
      <w:tblPr>
        <w:tblW w:w="5021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680"/>
        <w:gridCol w:w="3088"/>
        <w:gridCol w:w="6577"/>
      </w:tblGrid>
      <w:tr>
        <w:tblPrEx/>
        <w:trPr/>
        <w:tc>
          <w:tcPr>
            <w:shd w:val="clear" w:color="auto" w:fill="92d050"/>
            <w:tcW w:w="570" w:type="dxa"/>
            <w:vAlign w:val="center"/>
            <w:textDirection w:val="lrTb"/>
            <w:noWrap w:val="false"/>
          </w:tcPr>
          <w:p>
            <w:pPr>
              <w:ind w:left="0" w:firstLine="0"/>
              <w:spacing w:before="120" w:after="120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br w:type="page" w:clear="all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92d050"/>
            <w:tcW w:w="14346" w:type="dxa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Обслуживание банковской карты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570" w:type="dxa"/>
            <w:vAlign w:val="center"/>
            <w:textDirection w:val="lrTb"/>
            <w:noWrap w:val="false"/>
          </w:tcPr>
          <w:p>
            <w:pPr>
              <w:pStyle w:val="1150"/>
              <w:contextualSpacing w:val="0"/>
              <w:ind w:left="0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br w:type="page" w:clear="all"/>
              <w:t xml:space="preserve">2.1.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/>
            <w:tcW w:w="14346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Комиссия за выпуск карты/дополнительной карты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570" w:type="dxa"/>
            <w:vAlign w:val="center"/>
            <w:textDirection w:val="lrTb"/>
            <w:noWrap w:val="false"/>
          </w:tcPr>
          <w:p>
            <w:pPr>
              <w:ind w:left="144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46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Карта МИР Моментального выпуска/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Классическая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30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57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замены карты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Классическая карта МИР по причине изменения данных держателя/держателя дополнительной карты, признания Банком факта неправомерного (без согласия держателя) использования карты посторонними лицами, механического повреждения карты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условии, что до окончания срока действия карты осталось не менее 3 (трех) календарных месяцев, а также в некоторых иных случаях (по решению Банка) комиссия не взимается, при этом держателю будет предоставлена карта со сроком действия заменяемой карты.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570" w:type="dxa"/>
            <w:vAlign w:val="center"/>
            <w:textDirection w:val="lrTb"/>
            <w:noWrap w:val="false"/>
          </w:tcPr>
          <w:p>
            <w:pPr>
              <w:pStyle w:val="1150"/>
              <w:contextualSpacing w:val="0"/>
              <w:ind w:left="0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/>
            <w:tcW w:w="1434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Ежемесячная комиссия за обслуживание банковской карты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570" w:type="dxa"/>
            <w:vAlign w:val="center"/>
            <w:textDirection w:val="lrTb"/>
            <w:noWrap w:val="false"/>
          </w:tcPr>
          <w:p>
            <w:pPr>
              <w:ind w:left="426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46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(М)/Карта МИР Моментального выпуска/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Классическая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30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65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5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46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Ежемесячная комиссия за обслуживание дополнительной карты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30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5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tbl>
      <w:tblPr>
        <w:tblStyle w:val="1149"/>
        <w:tblW w:w="14876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4664"/>
        <w:gridCol w:w="13"/>
        <w:gridCol w:w="391"/>
        <w:gridCol w:w="2681"/>
        <w:gridCol w:w="6408"/>
      </w:tblGrid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92d050"/>
            <w:tcBorders>
              <w:bottom w:val="single" w:color="auto" w:sz="4" w:space="0"/>
            </w:tcBorders>
            <w:tcW w:w="7748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Погашение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Borders>
              <w:bottom w:val="single" w:color="auto" w:sz="4" w:space="0"/>
            </w:tcBorders>
            <w:tcW w:w="64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664" w:type="dxa"/>
            <w:textDirection w:val="lrTb"/>
            <w:noWrap w:val="false"/>
          </w:tcPr>
          <w:p>
            <w:pPr>
              <w:jc w:val="both"/>
              <w:tabs>
                <w:tab w:val="left" w:pos="3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Минимальный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085" w:type="dxa"/>
            <w:vAlign w:val="center"/>
            <w:textDirection w:val="lrTb"/>
            <w:noWrap w:val="false"/>
          </w:tcPr>
          <w:p>
            <w:pPr>
              <w:pStyle w:val="1150"/>
              <w:numPr>
                <w:ilvl w:val="0"/>
                <w:numId w:val="3"/>
              </w:numPr>
              <w:ind w:left="231"/>
              <w:jc w:val="both"/>
              <w:tabs>
                <w:tab w:val="left" w:pos="16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3%* от суммы общей ссудной задолженности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от суммы общей ссудной задолженности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3"/>
              </w:numPr>
              <w:ind w:left="231"/>
              <w:jc w:val="both"/>
              <w:tabs>
                <w:tab w:val="left" w:pos="16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начисленных процентов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нельготную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3"/>
              </w:numPr>
              <w:ind w:left="231"/>
              <w:jc w:val="both"/>
              <w:tabs>
                <w:tab w:val="left" w:pos="16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нарушения условий льготного периода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сумма начисленных процентов на льготную задолженность за предыдущий(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процентный(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период(ы)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408" w:type="dxa"/>
            <w:textDirection w:val="lrTb"/>
            <w:noWrap w:val="false"/>
          </w:tcPr>
          <w:p>
            <w:pPr>
              <w:pStyle w:val="1150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минимального платежа, а также детализация по задолженности по кредиту, указаны в ежемесячно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-выписке,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50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 Клиентом самостоятельно в системах «Ин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тернет-банк» и «Мобильный банк»;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50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получен Клиентом при обращении в офис Банка.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50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50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*Минимальный платеж в размере 3% от суммы общей ссудной задолженности применяется для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счетов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кредитных карт, выпущенных с 14.09.2015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погашения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инимально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платежа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1-го по 25-ое число календарного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4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77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Неустойка, начисляемая за возникновение просроченной задолженности: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4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со дня предоставления кредита по дату окончания начисления процентов (включительно)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20%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408" w:type="dxa"/>
            <w:vAlign w:val="center"/>
            <w:vMerge w:val="restart"/>
            <w:textDirection w:val="lrTb"/>
            <w:noWrap w:val="false"/>
          </w:tcPr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Определяется в соответствии с Правилами предоставления и использования кредитных карт в </w:t>
            </w:r>
            <w:r>
              <w:rPr>
                <w:rFonts w:ascii="Times New Roman" w:hAnsi="Times New Roman" w:cs="Times New Roman"/>
              </w:rPr>
              <w:t xml:space="preserve">АО «Россельхозбанк» </w:t>
            </w:r>
            <w:r>
              <w:rPr>
                <w:rFonts w:ascii="Times New Roman" w:hAnsi="Times New Roman" w:cs="Times New Roman"/>
              </w:rPr>
              <w:t xml:space="preserve">с льготным периодом кредитования.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Датой окончания начисления процентов считается дата окончательного</w:t>
            </w:r>
            <w:r>
              <w:rPr>
                <w:rFonts w:ascii="Times New Roman" w:hAnsi="Times New Roman" w:cs="Times New Roman"/>
              </w:rPr>
              <w:t xml:space="preserve"> возврата кредита, определенная в соответствии с условиями кредитного договора, либо дата полного фактического возврата (погашения) кредита (включительно), если кредит фактически будет возвращен досрочно в полном объеме до даты его окончательного возврата.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даты, следующей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начисления процентов, и по дату фактического возврата Банку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редита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полном объеме неустойка начисляется из расчета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0,1% от суммы просроченной задолженности за каждый календарный день просрочки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40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6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Плата за возникшую сверхлимитную задолженность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40%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4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Проценты на сумму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верхлимитной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начисляются со дня, следующего за датой ее возникновения по дату ее фактического погашения (включительно).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92d050"/>
            <w:tcBorders>
              <w:bottom w:val="single" w:color="auto" w:sz="4" w:space="0"/>
            </w:tcBorders>
            <w:tcW w:w="1415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Пополнение счета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карты в банкоматах, пунктах выдачи наличных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30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40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доступны для совершения операций по счету с использованием карты в режиме реального времени, при этом они будут зачислены на счет на следующий банковский день.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реквизитов карты в пунктах выдачи наличных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Style w:val="1153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0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40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 использования карты в подразделении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4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доступны для совершения операций по счету не позднее банковского дня, следующего за днем зачисления/внесения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92d050"/>
            <w:tcW w:w="1415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дение безналичных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оплата товаров и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40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предоставляется в точках обслуживания, имеющих рекламные указатели о приеме соответствующих категорий карт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c использованием услуги «Перевод денежных средств по реквизит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 получателя на сайте партнера 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/«Перевод денежных средств физических лиц в пользу поставщиков услуг с использованием реквизитов платежных карт»/в банкоматах, информационно-платежных терминалах: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30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40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размере взимаемой с плательщика комиссии предоставляется при проведении операции до ее подтверждения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получателей денежных средс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 устанавливается и ведется каждым подразделением Банка самостоятельно в электронном виде и доводится до сведения держателя/держателя дополнительной карты при оказании услуги «Перевод денежных средств физических лиц в пользу поставщиков услуг с использова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нием реквизитов платежных карт»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посредством банкоматов, информационно-платежных терминалов Банка.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адрес поставщиков услуг, по договорам, заключенным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поставщиками услуг в соответствии с перечнем/операторами по переводу денежных средств/ЗАО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Биллинговый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40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77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бюджетную систему Российской Федерации, в соответствии с перечнем</w:t>
            </w:r>
            <w: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40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перечисление налогов и сборов (включая, пени, неустойки, штрафы в соответствии с налоговым законодательством)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40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иным основаниям (кроме п.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Тарифов), в том числе в оплату штрафов ГИБДД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40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92d050"/>
            <w:tcW w:w="1415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с использованием услуги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Комиссия за услугу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40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выбору держателя основной карты путем подключения её в устройствах самообслуживания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Условий осуществления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операций по переводу денежных средств физических лиц с использованием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поставщиков услуг, в пользу которых возможно осуществление перевода денежных средств с использованием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доступен для ознакомления в устройствах самообслуживания, на информационных стендах в подразделениях Банка и на официальном интернет-сайте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по адресу </w:t>
            </w:r>
            <w:hyperlink r:id="rId11" w:tooltip="http://www.rshb.ru" w:history="1">
              <w:r>
                <w:rPr>
                  <w:rStyle w:val="1164"/>
                  <w:rFonts w:ascii="Times New Roman" w:hAnsi="Times New Roman" w:cs="Times New Roman"/>
                  <w:sz w:val="20"/>
                  <w:szCs w:val="20"/>
                </w:rPr>
                <w:t xml:space="preserve">www.rshb.ru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Минимальная сумма перевода для всех получателей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40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сумма перевода для получателей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30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«МТС»,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«ВымпелКом» (Билайн) и ПАО «Мегафон» - 10 000 руб.;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(Tele2)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5 000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40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Порог баланса для получателей: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30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«ВымпелКом» (Билайн) и ПАО «Мегафон» - 30 руб., 150 руб. и 600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«МТС» - от 30 руб. до 10 000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(Tele2) - 10 руб., 30 руб., 50 руб., 100 руб., 300 руб., 500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40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720" w:type="dxa"/>
            <w:vAlign w:val="center"/>
            <w:textDirection w:val="lrTb"/>
            <w:noWrap w:val="false"/>
          </w:tcPr>
          <w:p>
            <w:pPr>
              <w:pStyle w:val="1150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5"/>
            <w:shd w:val="clear" w:color="auto" w:fill="92d050"/>
            <w:tcW w:w="14156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наличных денежных средств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92d050"/>
            <w:tcW w:w="1415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Комиссия, взимаемая за проведение операций по снятию наличных денежных средств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банкоматах, пунктах выдачи наличных подразделения 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textDirection w:val="lrTb"/>
            <w:noWrap w:val="false"/>
          </w:tcPr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карт, выпущенных к счету, открытому с 05.04.2022.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операциям по выдаче наличных денежных средств, отраженным по счету карты в период с даты открытия счета и до 3-х календарных месяцев (далее - Период бесплатного снятия наличных), комиссия не взимается.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бесплатного снятия наличных определяется с учетом следующего: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первый месяц начинается в дату открытия счета и заканчивается в последний календарный день месяца, в котором открыт счет;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второй месяц начинается в первый календарный день месяца, следующий за датой окончания первого календарного месяца и заканчивается в последний календарный день этого месяца;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третий месяц начинается в первый календарный день месяца, следующий за датой окончания второго календарного месяца и заканчивается в последний календарный день этого месяца.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без использования карты через кассу</w:t>
            </w:r>
            <w:r>
              <w:rPr>
                <w:rStyle w:val="1153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подразделения Банка, выдавшего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textDirection w:val="lrTb"/>
            <w:noWrap w:val="false"/>
          </w:tcPr>
          <w:p>
            <w:pPr>
              <w:pStyle w:val="115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Комиссия не взимается - при получении клиентом остатка собственных средств, в сумме не более 15 000 рублей (включительно) при закрытии карточного счета. Если остаток собственных средств превышает 15 000 рублей комиссия взимается с суммы превышения.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банкоматах, пунктах выдачи наличных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Платежными системами и торгово-сервисными предприятиями могут быть установлены ограничения по предоставлению услуги выдачи наличных денежных средств при совершении покупки. О наличии услуги необходимо уточнять у кассира торгово-сервисного предприятия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 банков-партнеров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Альфа-банк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ПАО «Промсвязьбанк»,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«Райффайзенбанк», ПАО «РОСБАНК»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textDirection w:val="lrTb"/>
            <w:noWrap w:val="false"/>
          </w:tcPr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92d050"/>
            <w:tcW w:w="14156" w:type="dxa"/>
            <w:textDirection w:val="lrTb"/>
            <w:noWrap w:val="false"/>
          </w:tcPr>
          <w:p>
            <w:pPr>
              <w:pStyle w:val="1151"/>
              <w:jc w:val="both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денежных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141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без использования карты в валюте Российской Федерации со счета на основании распоряжения, поданного в подразделении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64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30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textDirection w:val="lrTb"/>
            <w:noWrap w:val="false"/>
          </w:tcPr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64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другую кредитную организацию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30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textDirection w:val="lrTb"/>
            <w:noWrap w:val="false"/>
          </w:tcPr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14156" w:type="dxa"/>
            <w:textDirection w:val="lrTb"/>
            <w:noWrap w:val="false"/>
          </w:tcPr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денежных средств со счета на основании распоряжения, поданного с использованием дистанционных каналов обслуживания (банкомат)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денежных средств на собственные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клиента (текущие, сче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вкладов,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«до востребования»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или счета другого физического лица в пределах одного подразделения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textDirection w:val="lrTb"/>
            <w:noWrap w:val="false"/>
          </w:tcPr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распоряжений, поданных с использованием банкомата, осуществляется только на собственные счета или счета других физических лиц, открытые в одном подразделении </w:t>
            </w:r>
            <w:r>
              <w:rPr>
                <w:rFonts w:ascii="Times New Roman" w:hAnsi="Times New Roman" w:cs="Times New Roman"/>
              </w:rPr>
              <w:t xml:space="preserve">АО «Россельхозбанк»</w:t>
            </w:r>
            <w:r>
              <w:rPr>
                <w:rFonts w:ascii="Times New Roman" w:hAnsi="Times New Roman" w:cs="Times New Roman"/>
              </w:rPr>
              <w:t xml:space="preserve">, в</w:t>
            </w:r>
            <w:r>
              <w:rPr>
                <w:rFonts w:ascii="Times New Roman" w:hAnsi="Times New Roman" w:cs="Times New Roman"/>
              </w:rPr>
              <w:t xml:space="preserve"> случаях, предусмотренных Договором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5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Курс конвертации из валюты операции в валюту счета карты установлен п. </w:t>
            </w:r>
            <w:r>
              <w:rPr>
                <w:rFonts w:ascii="Times New Roman" w:hAnsi="Times New Roman" w:cs="Times New Roman"/>
              </w:rPr>
              <w:t xml:space="preserve">9.2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настоящего 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арифного плана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Перевод денежных</w:t>
            </w:r>
            <w:r>
              <w:rPr>
                <w:rFonts w:ascii="Times New Roman" w:hAnsi="Times New Roman" w:cs="Times New Roman"/>
              </w:rPr>
              <w:t xml:space="preserve"> средств производится на счета физических, юридических лиц и ИП (за исключением налоговых платежей и платежей в бюджет) открытых в валюте Российской Федерации, только в валюте Российской Федерации и в соответствии с требованиями валютного законодательства.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14156" w:type="dxa"/>
            <w:textDirection w:val="lrTb"/>
            <w:noWrap w:val="false"/>
          </w:tcPr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с карты на</w:t>
            </w:r>
            <w:r>
              <w:rPr>
                <w:rFonts w:ascii="Times New Roman" w:hAnsi="Times New Roman" w:cs="Times New Roman"/>
                <w:b/>
              </w:rPr>
              <w:t xml:space="preserve"> карту с использованием услуги </w:t>
            </w:r>
            <w:r>
              <w:rPr>
                <w:rFonts w:ascii="Times New Roman" w:hAnsi="Times New Roman" w:cs="Times New Roman"/>
                <w:b/>
              </w:rPr>
              <w:t xml:space="preserve">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</w:rPr>
              <w:br/>
              <w:t xml:space="preserve">Банка</w:t>
            </w:r>
            <w:r>
              <w:rPr>
                <w:rFonts w:ascii="Times New Roman" w:hAnsi="Times New Roman" w:cs="Times New Roman"/>
                <w:b/>
              </w:rPr>
              <w:t xml:space="preserve">/«Перевод по реквизитам платежных карт»/банкоматов </w:t>
            </w:r>
            <w:r>
              <w:rPr>
                <w:rFonts w:ascii="Times New Roman" w:hAnsi="Times New Roman" w:cs="Times New Roman"/>
              </w:rPr>
              <w:t xml:space="preserve">Банка </w:t>
            </w:r>
            <w:r>
              <w:rPr>
                <w:rFonts w:ascii="Times New Roman" w:hAnsi="Times New Roman" w:cs="Times New Roman"/>
                <w:b/>
              </w:rPr>
              <w:t xml:space="preserve">по реквизиту </w:t>
            </w:r>
            <w:r>
              <w:rPr>
                <w:rFonts w:ascii="Times New Roman" w:hAnsi="Times New Roman" w:cs="Times New Roman"/>
                <w:b/>
              </w:rPr>
              <w:t xml:space="preserve">«№ карты»</w:t>
            </w:r>
            <w:r>
              <w:rPr>
                <w:rFonts w:ascii="Times New Roman" w:hAnsi="Times New Roman" w:cs="Times New Roman"/>
                <w:b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</w:rPr>
              <w:t xml:space="preserve">«</w:t>
            </w:r>
            <w:r>
              <w:rPr>
                <w:rFonts w:ascii="Times New Roman" w:hAnsi="Times New Roman" w:cs="Times New Roman"/>
                <w:b/>
              </w:rPr>
              <w:t xml:space="preserve">№ счета</w:t>
            </w:r>
            <w:r>
              <w:rPr>
                <w:rFonts w:ascii="Times New Roman" w:hAnsi="Times New Roman" w:cs="Times New Roman"/>
                <w:b/>
              </w:rPr>
              <w:t xml:space="preserve">»</w:t>
            </w:r>
            <w:r>
              <w:rPr>
                <w:rFonts w:ascii="Times New Roman" w:hAnsi="Times New Roman" w:cs="Times New Roman"/>
                <w:b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64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того же держателя в одном подразделении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30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textDirection w:val="lrTb"/>
            <w:noWrap w:val="false"/>
          </w:tcPr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30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64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того же держателя в другое подразделение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30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Merge w:val="restart"/>
            <w:textDirection w:val="lrTb"/>
            <w:noWrap w:val="false"/>
          </w:tcPr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денежных средств производится только в валюте Рос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ийской Федерации между счетами, открытыми в валюте Российской Федерации.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64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другого держателя в пределах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30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Merge w:val="continue"/>
            <w:textDirection w:val="lrTb"/>
            <w:noWrap w:val="false"/>
          </w:tcPr>
          <w:p>
            <w:pPr>
              <w:pStyle w:val="1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на карту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МИР/международную платежную карту, осуществление операций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которой обеспечивается АО «Национальная система платежных карт» (далее – АО «НСПК»)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стороннего эмитента - банка Российской Федерации*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/«Перевод по реквизитам платежных карт»/банкоматов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Лимит на совершение операции установлен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Перевод денежных средств осуществляется только в валюте Российской Федерации со счета, открытого в валюте Российской Федерации.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contextualSpacing w:val="0"/>
              <w:ind w:left="0" w:firstLine="0"/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contextualSpacing w:val="0"/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6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/банкоматов/сайтов сторонних банков и сайтов иных организаций*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3085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конвертации из валюты операции в валюту счета карты установлен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оказывается сторонним банком или организацией, не являющейся банком. За данную услугу возможно взимание сторонним банком или организацией дополнительной комиссии, в том числе могут быть установлены ограничения на сумму перевода.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8"/>
              </w:numPr>
              <w:contextualSpacing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92d050"/>
            <w:tcW w:w="1415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720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77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 Банка</w:t>
            </w:r>
            <w:r>
              <w:rPr>
                <w:rStyle w:val="1153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40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Банка для операций с использованием платежных карт в сети Банка на момент совершения 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141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 сторонних банков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9.2.1.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774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Конвертация денежных средств из валюты операции в валюту расчетов 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еждународной платежной системой,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операций 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(доллары США)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Производится международной платежной системой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9.2.2.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774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Конвертация денежных средств из валюты расчетов с международной платежной системой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операций по которой обеспечивается АО «НСПК» и производится исключительно на территории Российской 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валюту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операций с использованием платежных карт, совершенных вне сети Банка, на день отражения операции по счету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Style w:val="1153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774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при совершении операций по счету без использования карты в подразделении Банка, выдавшем карту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безналичной иностранной валюты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72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92d050"/>
            <w:tcW w:w="774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Лимиты на проведение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W w:w="640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77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 на снятие наличных денежных средств по счету через кассу подразделения Банка, в банкоматах, пунктах выдачи наличных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покупки,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календарный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месяц</w:t>
            </w:r>
            <w:r>
              <w:rPr>
                <w:rStyle w:val="1153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кредитного лимита, установленного по Договору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774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 на перевод на карту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МИР/международную платежную карту, осуществление операций 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стороннего эмитента - банка Российской Федерации</w:t>
            </w:r>
            <w:r>
              <w:rPr>
                <w:rStyle w:val="1153"/>
                <w:rFonts w:ascii="Times New Roman" w:hAnsi="Times New Roman" w:cs="Times New Roman"/>
                <w:b/>
                <w:sz w:val="20"/>
                <w:szCs w:val="20"/>
              </w:rPr>
              <w:footnoteReference w:id="10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/«Перевод по реквизитам платежных карт»/банкоматов Банка 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Лимиты на совершение операций: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отправителя: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получателя: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720" w:type="dxa"/>
            <w:vAlign w:val="center"/>
            <w:textDirection w:val="lrTb"/>
            <w:noWrap w:val="false"/>
          </w:tcPr>
          <w:p>
            <w:pPr>
              <w:pStyle w:val="1150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92d050"/>
            <w:tcW w:w="14156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Операции при утрате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774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both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Банком уведомления Держателя об утрате и/или исп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ользовании карты без его согласия, принятого по телефону службы поддержки или в виде SMS-сообщения (для подключивших услугу «Уведомления»), через систему дистанционного банковского обслуживания (для пользователей системы «Интернет-банк» и «Мобильный банк»)</w:t>
            </w:r>
            <w:r>
              <w:rPr>
                <w:rStyle w:val="1153"/>
                <w:rFonts w:ascii="Times New Roman" w:hAnsi="Times New Roman" w:cs="Times New Roman"/>
                <w:b/>
                <w:sz w:val="20"/>
                <w:szCs w:val="20"/>
              </w:rPr>
              <w:footnoteReference w:id="11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возможности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карты, уведомление об утрате которой получено Банком.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7748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Карта МИР Моментального выпуска/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774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Банком письменного заявления Держателя об утрате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 новой карты взамен утраченной осуществляется согласно Правилам предоставления и использования кредитных карт АО «Россельхозбанк» с льготным периодом кредитования (при наличии возможности выпуска новой карты).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за выпуск/обслуживание новой карты взамен утраченной, выпущенной на основании заявления клиента, взимается в соответствии с п. 2 настоящего Тарифного плана.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vAlign w:val="center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7748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Карта МИР Моментального выпуска/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Классическая карта МИР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720" w:type="dxa"/>
            <w:vAlign w:val="center"/>
            <w:textDirection w:val="lrTb"/>
            <w:noWrap w:val="false"/>
          </w:tcPr>
          <w:p>
            <w:pPr>
              <w:pStyle w:val="1150"/>
              <w:numPr>
                <w:ilvl w:val="0"/>
                <w:numId w:val="8"/>
              </w:numPr>
              <w:contextualSpacing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92d050"/>
            <w:tcW w:w="14156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Информирование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vAlign w:val="center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774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Услуга «Уведомления»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Плата взимается при подключении услуги, далее - ежемесячно. Порядок предоставления услуги «Уведомления» определяется Условиями предоставления услуги «Уведомления»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</w:t>
            </w:r>
            <w: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6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«Уведомления по счету»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681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желанию держателя карты. Плата взимается за каждый подключенный к услуге номер мобильного телефона.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6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«Уведомления по дополнительной карте»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681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желанию держателя/держателя дополнительной карты. Плата взимается за каждый подключенный к услуге номер мобильного телефона.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6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справки об остатке денежных средств на счете</w:t>
            </w:r>
            <w:r>
              <w:rPr>
                <w:rStyle w:val="1153"/>
                <w:rFonts w:ascii="Times New Roman" w:hAnsi="Times New Roman" w:cs="Times New Roman"/>
                <w:b/>
                <w:sz w:val="20"/>
                <w:szCs w:val="20"/>
              </w:rPr>
              <w:footnoteReference w:id="1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подразделении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681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по желанию клиента получить справку для консульских учреждений иностранных государств, установленного Банком образца.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6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выписки по счету, в подразделении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681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6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 расчетный перио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указанный в Счет-выписке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3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681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6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 произвольный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681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6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мини-выписки по карте в банкоматах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(9 последних операций)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681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6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справки об остатке денежных средств на карте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681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6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банкоматах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681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6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банкоматах сторонних банков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681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720" w:type="dxa"/>
            <w:vAlign w:val="center"/>
            <w:textDirection w:val="lrTb"/>
            <w:noWrap w:val="false"/>
          </w:tcPr>
          <w:p>
            <w:pPr>
              <w:pStyle w:val="1150"/>
              <w:numPr>
                <w:ilvl w:val="0"/>
                <w:numId w:val="8"/>
              </w:numPr>
              <w:contextualSpacing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92d050"/>
            <w:tcW w:w="14156" w:type="dxa"/>
            <w:vAlign w:val="center"/>
            <w:textDirection w:val="lrTb"/>
            <w:noWrap w:val="false"/>
          </w:tcPr>
          <w:p>
            <w:pPr>
              <w:pStyle w:val="1150"/>
              <w:contextualSpacing w:val="0"/>
              <w:ind w:left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комиссии за обслуживание кредитной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6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операции по поручению держателя на основании заявления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681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40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взимается в случае признания претензии клиента необоснованной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bottom w:val="single" w:color="auto" w:sz="4" w:space="0"/>
            </w:tcBorders>
            <w:tcW w:w="506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Смена ПИН-кода в подразделении Банка в связи с его утратой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2681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6408" w:type="dxa"/>
            <w:vAlign w:val="center"/>
            <w:textDirection w:val="lrTb"/>
            <w:noWrap w:val="false"/>
          </w:tcPr>
          <w:p>
            <w:pPr>
              <w:pStyle w:val="115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r/>
      <w:r/>
    </w:p>
    <w:sectPr>
      <w:headerReference w:type="default" r:id="rId9"/>
      <w:footnotePr>
        <w:pos w:val="beneathText"/>
      </w:footnotePr>
      <w:endnotePr/>
      <w:type w:val="nextPage"/>
      <w:pgSz w:w="16838" w:h="11906" w:orient="landscape"/>
      <w:pgMar w:top="993" w:right="851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Peterburg">
    <w:panose1 w:val="02000603000000000000"/>
  </w:font>
  <w:font w:name="Tahoma">
    <w:panose1 w:val="020B0604030504040204"/>
  </w:font>
  <w:font w:name="Symbol">
    <w:panose1 w:val="05010000000000000000"/>
  </w:font>
  <w:font w:name="NKOJCK+TimesNewRoman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5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Категории карт приведены в порядке возрастания. Категория дополнительной карты не может превышать категорию основной карты.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3">
    <w:p>
      <w:pPr>
        <w:pStyle w:val="11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5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Карта категории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Instant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Issue</w:t>
      </w:r>
      <w:r>
        <w:rPr>
          <w:rFonts w:ascii="Times New Roman" w:hAnsi="Times New Roman" w:cs="Times New Roman"/>
          <w:sz w:val="18"/>
          <w:szCs w:val="18"/>
        </w:rPr>
        <w:t xml:space="preserve"> (М) может быть оформлена в виде форм-фактора, приобретенного в Торговой организации, с привязкой к счету, к которому имеется действующая карта: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11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на имя Клиента при оформлении Анкеты-заявления на получение карты и установление кредитного лимита;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11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на имя представителя Клиента при оформлении Заявления на получение дополнительной карты АО «Россельхозбанк».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11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Комиссия за обслуживание карты категории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Instant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Issue</w:t>
      </w:r>
      <w:r>
        <w:rPr>
          <w:rFonts w:ascii="Times New Roman" w:hAnsi="Times New Roman" w:cs="Times New Roman"/>
          <w:sz w:val="18"/>
          <w:szCs w:val="18"/>
        </w:rPr>
        <w:t xml:space="preserve"> (М) в виде форм-фактора, приобретенного в Торговой организации, не взимается.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11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Информация о сроке действ</w:t>
      </w:r>
      <w:r>
        <w:rPr>
          <w:rFonts w:ascii="Times New Roman" w:hAnsi="Times New Roman" w:cs="Times New Roman"/>
          <w:sz w:val="18"/>
          <w:szCs w:val="18"/>
        </w:rPr>
        <w:t xml:space="preserve">ия карты в виде форм-фактора доступна Клиенту в системах «Интернет-банк» и «Мобильный банк», а также предоставляется Клиенту при личном обращении в подразделение АО «Россельхозбанк» и в Службу поддержки АО «Россельхозбанк» по телефону, указанному на сайте </w:t>
      </w:r>
      <w:hyperlink r:id="rId1" w:tooltip="http://www.rshb.ru" w:history="1">
        <w:r>
          <w:rPr>
            <w:rStyle w:val="1164"/>
            <w:rFonts w:ascii="Times New Roman" w:hAnsi="Times New Roman" w:cs="Times New Roman"/>
            <w:sz w:val="18"/>
            <w:szCs w:val="18"/>
          </w:rPr>
          <w:t xml:space="preserve">www.rshb.ru</w:t>
        </w:r>
      </w:hyperlink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11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Безналичные операции, операции выдачи наличных денежных средств, пополнения счета по картам категории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Instant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Issue</w:t>
      </w:r>
      <w:r>
        <w:rPr>
          <w:rFonts w:ascii="Times New Roman" w:hAnsi="Times New Roman" w:cs="Times New Roman"/>
          <w:sz w:val="18"/>
          <w:szCs w:val="18"/>
        </w:rPr>
        <w:t xml:space="preserve"> (М) в виде форм-фактора осуществляются в банкоматах/информационно-платежных терминалах/электронных терминалах с бесконтактным обслуживанием.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4">
    <w:p>
      <w:pPr>
        <w:pStyle w:val="11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5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Здесь и далее допустимый вариант использования наименования: Банк. Под подразделением АО «Россельхозбанк» понимается региональный филиал, включая его дополнительные офисы, либо головной офис и дополнительные офисы АО «Россельхозбанк».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5">
    <w:p>
      <w:pPr>
        <w:pStyle w:val="11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5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Пополнение счета производится только в валюте Российской Федерации на счет карты, открытый в валюте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6">
    <w:p>
      <w:pPr>
        <w:pStyle w:val="1151"/>
        <w:rPr>
          <w:rFonts w:ascii="Times New Roman" w:hAnsi="Times New Roman" w:cs="Times New Roman"/>
          <w:sz w:val="18"/>
          <w:szCs w:val="18"/>
        </w:rPr>
      </w:pPr>
      <w:r>
        <w:rPr>
          <w:rStyle w:val="115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случаях, предусмотренных Договором.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7">
    <w:p>
      <w:pPr>
        <w:pStyle w:val="11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5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Информация размещается на </w:t>
      </w:r>
      <w:r>
        <w:rPr>
          <w:rFonts w:ascii="Times New Roman" w:hAnsi="Times New Roman" w:cs="Times New Roman"/>
          <w:sz w:val="18"/>
          <w:szCs w:val="18"/>
        </w:rPr>
        <w:t xml:space="preserve">web</w:t>
      </w:r>
      <w:r>
        <w:rPr>
          <w:rFonts w:ascii="Times New Roman" w:hAnsi="Times New Roman" w:cs="Times New Roman"/>
          <w:sz w:val="18"/>
          <w:szCs w:val="18"/>
        </w:rPr>
        <w:t xml:space="preserve">-сайте </w:t>
      </w:r>
      <w:r>
        <w:rPr>
          <w:rFonts w:ascii="Times New Roman" w:hAnsi="Times New Roman" w:cs="Times New Roman"/>
          <w:sz w:val="18"/>
          <w:szCs w:val="18"/>
        </w:rPr>
        <w:t xml:space="preserve">Банка:www.rshb.ru</w:t>
      </w:r>
      <w:r>
        <w:rPr>
          <w:rFonts w:ascii="Times New Roman" w:hAnsi="Times New Roman" w:cs="Times New Roman"/>
          <w:sz w:val="18"/>
          <w:szCs w:val="18"/>
        </w:rPr>
        <w:t xml:space="preserve">, в пунктах выдачи наличных и банкоматах Банка.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8">
    <w:p>
      <w:pPr>
        <w:pStyle w:val="11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5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Информация размещается на </w:t>
      </w:r>
      <w:r>
        <w:rPr>
          <w:rFonts w:ascii="Times New Roman" w:hAnsi="Times New Roman" w:cs="Times New Roman"/>
          <w:sz w:val="18"/>
          <w:szCs w:val="18"/>
        </w:rPr>
        <w:t xml:space="preserve">web</w:t>
      </w:r>
      <w:r>
        <w:rPr>
          <w:rFonts w:ascii="Times New Roman" w:hAnsi="Times New Roman" w:cs="Times New Roman"/>
          <w:sz w:val="18"/>
          <w:szCs w:val="18"/>
        </w:rPr>
        <w:t xml:space="preserve">-сайте Банка: www.rshb.ru.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9">
    <w:p>
      <w:pPr>
        <w:pStyle w:val="11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5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Операции сня</w:t>
      </w:r>
      <w:r>
        <w:rPr>
          <w:rFonts w:ascii="Times New Roman" w:hAnsi="Times New Roman" w:cs="Times New Roman"/>
          <w:sz w:val="18"/>
          <w:szCs w:val="18"/>
        </w:rPr>
        <w:t xml:space="preserve">тия наличных денежных средств в банкоматах, пунктах выдачи наличных сторонних банков на территории Индонезии, совершенные без использования данных микропроцессора платежной карты, ограничены 3 (тремя) операциями в сутки по каждой карте, выпущенной к счету.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0">
    <w:p>
      <w:pPr>
        <w:pStyle w:val="11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5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Перевод денежных средств осуществляется только в валюте Российской Федерации со счета, открытого в валюте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1">
    <w:p>
      <w:pPr>
        <w:pStyle w:val="11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5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случае присоединения Держателя к Условиям дистанционного банковского обслуживания физических лиц АО «Россельхозбанк» с использованием системы «Интернет-банк» и «Мобильный банк».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2">
    <w:p>
      <w:pPr>
        <w:pStyle w:val="11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5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Комиссионное вознаграждение взимается в момент совершения операции путем внесения наличных денежных средств в кассу АО «Россельхозбанк» либо списанием суммы комиссии со счета.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3">
    <w:p>
      <w:pPr>
        <w:pStyle w:val="11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Определяется в соответствии с Правилами предоставления и использования кредитных карт в АО «Россельхозбанк» с льготным периодом кредитования.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79966016"/>
      <w:docPartObj>
        <w:docPartGallery w:val="Page Numbers (Top of Page)"/>
        <w:docPartUnique w:val="true"/>
      </w:docPartObj>
      <w:rPr/>
    </w:sdtPr>
    <w:sdtContent>
      <w:p>
        <w:pPr>
          <w:pStyle w:val="116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14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11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7.2.%1."/>
      <w:lvlJc w:val="left"/>
      <w:pPr>
        <w:ind w:left="644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ind w:left="0" w:firstLine="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7.2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5.2.%1.1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5.%1.1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82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5.2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5.%1.2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9.3.%1."/>
      <w:lvlJc w:val="left"/>
      <w:pPr>
        <w:ind w:left="786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180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14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13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9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10.%1."/>
      <w:lvlJc w:val="left"/>
      <w:pPr>
        <w:ind w:left="180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2.2.%1."/>
      <w:lvlJc w:val="left"/>
      <w:pPr>
        <w:ind w:left="786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5.2.%1.2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9.2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7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9.1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12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7.2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502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13.1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10.2.%1."/>
      <w:lvlJc w:val="left"/>
      <w:pPr>
        <w:ind w:left="862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9"/>
      <w:numFmt w:val="decimal"/>
      <w:isLgl w:val="false"/>
      <w:suff w:val="tab"/>
      <w:lvlText w:val="%1.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7.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9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9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9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9.1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502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8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5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3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7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4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182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13.5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4"/>
      <w:numFmt w:val="decimal"/>
      <w:pStyle w:val="1171"/>
      <w:isLgl w:val="false"/>
      <w:suff w:val="tab"/>
      <w:lvlText w:val="%1.%2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  <w:tabs>
          <w:tab w:val="num" w:pos="283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  <w:tabs>
          <w:tab w:val="num" w:pos="460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  <w:tabs>
          <w:tab w:val="num" w:pos="567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  <w:tabs>
          <w:tab w:val="num" w:pos="637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  <w:tabs>
          <w:tab w:val="num" w:pos="7440" w:leader="none"/>
        </w:tabs>
      </w:pPr>
      <w:rPr>
        <w:rFonts w:hint="default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13.3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11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ind w:left="786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9"/>
  </w:num>
  <w:num w:numId="3">
    <w:abstractNumId w:val="44"/>
  </w:num>
  <w:num w:numId="4">
    <w:abstractNumId w:val="2"/>
  </w:num>
  <w:num w:numId="5">
    <w:abstractNumId w:val="12"/>
  </w:num>
  <w:num w:numId="6">
    <w:abstractNumId w:val="14"/>
  </w:num>
  <w:num w:numId="7">
    <w:abstractNumId w:val="21"/>
  </w:num>
  <w:num w:numId="8">
    <w:abstractNumId w:val="0"/>
  </w:num>
  <w:num w:numId="9">
    <w:abstractNumId w:val="6"/>
  </w:num>
  <w:num w:numId="10">
    <w:abstractNumId w:val="48"/>
  </w:num>
  <w:num w:numId="11">
    <w:abstractNumId w:val="8"/>
  </w:num>
  <w:num w:numId="12">
    <w:abstractNumId w:val="32"/>
  </w:num>
  <w:num w:numId="13">
    <w:abstractNumId w:val="25"/>
  </w:num>
  <w:num w:numId="14">
    <w:abstractNumId w:val="4"/>
  </w:num>
  <w:num w:numId="15">
    <w:abstractNumId w:val="22"/>
  </w:num>
  <w:num w:numId="16">
    <w:abstractNumId w:val="42"/>
  </w:num>
  <w:num w:numId="17">
    <w:abstractNumId w:val="39"/>
  </w:num>
  <w:num w:numId="18">
    <w:abstractNumId w:val="28"/>
  </w:num>
  <w:num w:numId="19">
    <w:abstractNumId w:val="1"/>
  </w:num>
  <w:num w:numId="20">
    <w:abstractNumId w:val="41"/>
  </w:num>
  <w:num w:numId="21">
    <w:abstractNumId w:val="36"/>
  </w:num>
  <w:num w:numId="22">
    <w:abstractNumId w:val="38"/>
  </w:num>
  <w:num w:numId="23">
    <w:abstractNumId w:val="23"/>
  </w:num>
  <w:num w:numId="24">
    <w:abstractNumId w:val="13"/>
  </w:num>
  <w:num w:numId="25">
    <w:abstractNumId w:val="20"/>
  </w:num>
  <w:num w:numId="26">
    <w:abstractNumId w:val="31"/>
  </w:num>
  <w:num w:numId="27">
    <w:abstractNumId w:val="47"/>
  </w:num>
  <w:num w:numId="28">
    <w:abstractNumId w:val="26"/>
  </w:num>
  <w:num w:numId="29">
    <w:abstractNumId w:val="16"/>
  </w:num>
  <w:num w:numId="30">
    <w:abstractNumId w:val="30"/>
  </w:num>
  <w:num w:numId="31">
    <w:abstractNumId w:val="45"/>
  </w:num>
  <w:num w:numId="32">
    <w:abstractNumId w:val="40"/>
  </w:num>
  <w:num w:numId="33">
    <w:abstractNumId w:val="15"/>
  </w:num>
  <w:num w:numId="34">
    <w:abstractNumId w:val="5"/>
  </w:num>
  <w:num w:numId="35">
    <w:abstractNumId w:val="18"/>
  </w:num>
  <w:num w:numId="36">
    <w:abstractNumId w:val="27"/>
  </w:num>
  <w:num w:numId="37">
    <w:abstractNumId w:val="10"/>
  </w:num>
  <w:num w:numId="38">
    <w:abstractNumId w:val="7"/>
  </w:num>
  <w:num w:numId="39">
    <w:abstractNumId w:val="11"/>
  </w:num>
  <w:num w:numId="40">
    <w:abstractNumId w:val="29"/>
  </w:num>
  <w:num w:numId="41">
    <w:abstractNumId w:val="46"/>
  </w:num>
  <w:num w:numId="42">
    <w:abstractNumId w:val="34"/>
  </w:num>
  <w:num w:numId="43">
    <w:abstractNumId w:val="3"/>
  </w:num>
  <w:num w:numId="44">
    <w:abstractNumId w:val="24"/>
  </w:num>
  <w:num w:numId="45">
    <w:abstractNumId w:val="33"/>
  </w:num>
  <w:num w:numId="46">
    <w:abstractNumId w:val="35"/>
  </w:num>
  <w:num w:numId="47">
    <w:abstractNumId w:val="37"/>
  </w:num>
  <w:num w:numId="48">
    <w:abstractNumId w:val="4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75">
    <w:name w:val="Heading 1"/>
    <w:basedOn w:val="1144"/>
    <w:next w:val="1144"/>
    <w:link w:val="9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76">
    <w:name w:val="Heading 1 Char"/>
    <w:basedOn w:val="1145"/>
    <w:link w:val="975"/>
    <w:uiPriority w:val="9"/>
    <w:rPr>
      <w:rFonts w:ascii="Arial" w:hAnsi="Arial" w:eastAsia="Arial" w:cs="Arial"/>
      <w:sz w:val="40"/>
      <w:szCs w:val="40"/>
    </w:rPr>
  </w:style>
  <w:style w:type="paragraph" w:styleId="977">
    <w:name w:val="Heading 2"/>
    <w:basedOn w:val="1144"/>
    <w:next w:val="1144"/>
    <w:link w:val="9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78">
    <w:name w:val="Heading 2 Char"/>
    <w:basedOn w:val="1145"/>
    <w:link w:val="977"/>
    <w:uiPriority w:val="9"/>
    <w:rPr>
      <w:rFonts w:ascii="Arial" w:hAnsi="Arial" w:eastAsia="Arial" w:cs="Arial"/>
      <w:sz w:val="34"/>
    </w:rPr>
  </w:style>
  <w:style w:type="paragraph" w:styleId="979">
    <w:name w:val="Heading 3"/>
    <w:basedOn w:val="1144"/>
    <w:next w:val="1144"/>
    <w:link w:val="9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80">
    <w:name w:val="Heading 3 Char"/>
    <w:basedOn w:val="1145"/>
    <w:link w:val="979"/>
    <w:uiPriority w:val="9"/>
    <w:rPr>
      <w:rFonts w:ascii="Arial" w:hAnsi="Arial" w:eastAsia="Arial" w:cs="Arial"/>
      <w:sz w:val="30"/>
      <w:szCs w:val="30"/>
    </w:rPr>
  </w:style>
  <w:style w:type="paragraph" w:styleId="981">
    <w:name w:val="Heading 4"/>
    <w:basedOn w:val="1144"/>
    <w:next w:val="1144"/>
    <w:link w:val="9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82">
    <w:name w:val="Heading 4 Char"/>
    <w:basedOn w:val="1145"/>
    <w:link w:val="981"/>
    <w:uiPriority w:val="9"/>
    <w:rPr>
      <w:rFonts w:ascii="Arial" w:hAnsi="Arial" w:eastAsia="Arial" w:cs="Arial"/>
      <w:b/>
      <w:bCs/>
      <w:sz w:val="26"/>
      <w:szCs w:val="26"/>
    </w:rPr>
  </w:style>
  <w:style w:type="paragraph" w:styleId="983">
    <w:name w:val="Heading 5"/>
    <w:basedOn w:val="1144"/>
    <w:next w:val="1144"/>
    <w:link w:val="9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84">
    <w:name w:val="Heading 5 Char"/>
    <w:basedOn w:val="1145"/>
    <w:link w:val="983"/>
    <w:uiPriority w:val="9"/>
    <w:rPr>
      <w:rFonts w:ascii="Arial" w:hAnsi="Arial" w:eastAsia="Arial" w:cs="Arial"/>
      <w:b/>
      <w:bCs/>
      <w:sz w:val="24"/>
      <w:szCs w:val="24"/>
    </w:rPr>
  </w:style>
  <w:style w:type="paragraph" w:styleId="985">
    <w:name w:val="Heading 6"/>
    <w:basedOn w:val="1144"/>
    <w:next w:val="1144"/>
    <w:link w:val="9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86">
    <w:name w:val="Heading 6 Char"/>
    <w:basedOn w:val="1145"/>
    <w:link w:val="985"/>
    <w:uiPriority w:val="9"/>
    <w:rPr>
      <w:rFonts w:ascii="Arial" w:hAnsi="Arial" w:eastAsia="Arial" w:cs="Arial"/>
      <w:b/>
      <w:bCs/>
      <w:sz w:val="22"/>
      <w:szCs w:val="22"/>
    </w:rPr>
  </w:style>
  <w:style w:type="paragraph" w:styleId="987">
    <w:name w:val="Heading 7"/>
    <w:basedOn w:val="1144"/>
    <w:next w:val="1144"/>
    <w:link w:val="9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88">
    <w:name w:val="Heading 7 Char"/>
    <w:basedOn w:val="1145"/>
    <w:link w:val="9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89">
    <w:name w:val="Heading 8"/>
    <w:basedOn w:val="1144"/>
    <w:next w:val="1144"/>
    <w:link w:val="9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90">
    <w:name w:val="Heading 8 Char"/>
    <w:basedOn w:val="1145"/>
    <w:link w:val="989"/>
    <w:uiPriority w:val="9"/>
    <w:rPr>
      <w:rFonts w:ascii="Arial" w:hAnsi="Arial" w:eastAsia="Arial" w:cs="Arial"/>
      <w:i/>
      <w:iCs/>
      <w:sz w:val="22"/>
      <w:szCs w:val="22"/>
    </w:rPr>
  </w:style>
  <w:style w:type="paragraph" w:styleId="991">
    <w:name w:val="Heading 9"/>
    <w:basedOn w:val="1144"/>
    <w:next w:val="1144"/>
    <w:link w:val="9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92">
    <w:name w:val="Heading 9 Char"/>
    <w:basedOn w:val="1145"/>
    <w:link w:val="991"/>
    <w:uiPriority w:val="9"/>
    <w:rPr>
      <w:rFonts w:ascii="Arial" w:hAnsi="Arial" w:eastAsia="Arial" w:cs="Arial"/>
      <w:i/>
      <w:iCs/>
      <w:sz w:val="21"/>
      <w:szCs w:val="21"/>
    </w:rPr>
  </w:style>
  <w:style w:type="paragraph" w:styleId="993">
    <w:name w:val="No Spacing"/>
    <w:uiPriority w:val="1"/>
    <w:qFormat/>
    <w:pPr>
      <w:spacing w:before="0" w:after="0" w:line="240" w:lineRule="auto"/>
    </w:pPr>
  </w:style>
  <w:style w:type="paragraph" w:styleId="994">
    <w:name w:val="Title"/>
    <w:basedOn w:val="1144"/>
    <w:next w:val="1144"/>
    <w:link w:val="9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95">
    <w:name w:val="Title Char"/>
    <w:basedOn w:val="1145"/>
    <w:link w:val="994"/>
    <w:uiPriority w:val="10"/>
    <w:rPr>
      <w:sz w:val="48"/>
      <w:szCs w:val="48"/>
    </w:rPr>
  </w:style>
  <w:style w:type="paragraph" w:styleId="996">
    <w:name w:val="Subtitle"/>
    <w:basedOn w:val="1144"/>
    <w:next w:val="1144"/>
    <w:link w:val="997"/>
    <w:uiPriority w:val="11"/>
    <w:qFormat/>
    <w:pPr>
      <w:spacing w:before="200" w:after="200"/>
    </w:pPr>
    <w:rPr>
      <w:sz w:val="24"/>
      <w:szCs w:val="24"/>
    </w:rPr>
  </w:style>
  <w:style w:type="character" w:styleId="997">
    <w:name w:val="Subtitle Char"/>
    <w:basedOn w:val="1145"/>
    <w:link w:val="996"/>
    <w:uiPriority w:val="11"/>
    <w:rPr>
      <w:sz w:val="24"/>
      <w:szCs w:val="24"/>
    </w:rPr>
  </w:style>
  <w:style w:type="paragraph" w:styleId="998">
    <w:name w:val="Quote"/>
    <w:basedOn w:val="1144"/>
    <w:next w:val="1144"/>
    <w:link w:val="999"/>
    <w:uiPriority w:val="29"/>
    <w:qFormat/>
    <w:pPr>
      <w:ind w:left="720" w:right="720"/>
    </w:pPr>
    <w:rPr>
      <w:i/>
    </w:rPr>
  </w:style>
  <w:style w:type="character" w:styleId="999">
    <w:name w:val="Quote Char"/>
    <w:link w:val="998"/>
    <w:uiPriority w:val="29"/>
    <w:rPr>
      <w:i/>
    </w:rPr>
  </w:style>
  <w:style w:type="paragraph" w:styleId="1000">
    <w:name w:val="Intense Quote"/>
    <w:basedOn w:val="1144"/>
    <w:next w:val="1144"/>
    <w:link w:val="10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01">
    <w:name w:val="Intense Quote Char"/>
    <w:link w:val="1000"/>
    <w:uiPriority w:val="30"/>
    <w:rPr>
      <w:i/>
    </w:rPr>
  </w:style>
  <w:style w:type="character" w:styleId="1002">
    <w:name w:val="Header Char"/>
    <w:basedOn w:val="1145"/>
    <w:link w:val="1166"/>
    <w:uiPriority w:val="99"/>
  </w:style>
  <w:style w:type="character" w:styleId="1003">
    <w:name w:val="Footer Char"/>
    <w:basedOn w:val="1145"/>
    <w:link w:val="1168"/>
    <w:uiPriority w:val="99"/>
  </w:style>
  <w:style w:type="paragraph" w:styleId="1004">
    <w:name w:val="Caption"/>
    <w:basedOn w:val="1144"/>
    <w:next w:val="11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05">
    <w:name w:val="Caption Char"/>
    <w:basedOn w:val="1004"/>
    <w:link w:val="1168"/>
    <w:uiPriority w:val="99"/>
  </w:style>
  <w:style w:type="table" w:styleId="1006">
    <w:name w:val="Table Grid Light"/>
    <w:basedOn w:val="11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7">
    <w:name w:val="Plain Table 1"/>
    <w:basedOn w:val="11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8">
    <w:name w:val="Plain Table 2"/>
    <w:basedOn w:val="11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9">
    <w:name w:val="Plain Table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10">
    <w:name w:val="Plain Table 4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Plain Table 5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2">
    <w:name w:val="Grid Table 1 Light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Grid Table 1 Light - Accent 1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Grid Table 1 Light - Accent 2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Grid Table 1 Light - Accent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Grid Table 1 Light - Accent 4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Grid Table 1 Light - Accent 5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Grid Table 1 Light - Accent 6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Grid Table 2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2 - Accent 1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2 - Accent 2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2 - Accent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2 - Accent 4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2 - Accent 5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2 - Accent 6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3 - Accent 1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3 - Accent 2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3 - Accent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3 - Accent 4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3 - Accent 5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Grid Table 3 - Accent 6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4"/>
    <w:basedOn w:val="11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34">
    <w:name w:val="Grid Table 4 - Accent 1"/>
    <w:basedOn w:val="11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35">
    <w:name w:val="Grid Table 4 - Accent 2"/>
    <w:basedOn w:val="11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36">
    <w:name w:val="Grid Table 4 - Accent 3"/>
    <w:basedOn w:val="11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37">
    <w:name w:val="Grid Table 4 - Accent 4"/>
    <w:basedOn w:val="11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8">
    <w:name w:val="Grid Table 4 - Accent 5"/>
    <w:basedOn w:val="11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39">
    <w:name w:val="Grid Table 4 - Accent 6"/>
    <w:basedOn w:val="11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40">
    <w:name w:val="Grid Table 5 Dark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41">
    <w:name w:val="Grid Table 5 Dark- Accent 1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42">
    <w:name w:val="Grid Table 5 Dark - Accent 2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43">
    <w:name w:val="Grid Table 5 Dark - Accent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44">
    <w:name w:val="Grid Table 5 Dark- Accent 4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45">
    <w:name w:val="Grid Table 5 Dark - Accent 5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46">
    <w:name w:val="Grid Table 5 Dark - Accent 6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47">
    <w:name w:val="Grid Table 6 Colorful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48">
    <w:name w:val="Grid Table 6 Colorful - Accent 1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49">
    <w:name w:val="Grid Table 6 Colorful - Accent 2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50">
    <w:name w:val="Grid Table 6 Colorful - Accent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51">
    <w:name w:val="Grid Table 6 Colorful - Accent 4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52">
    <w:name w:val="Grid Table 6 Colorful - Accent 5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53">
    <w:name w:val="Grid Table 6 Colorful - Accent 6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54">
    <w:name w:val="Grid Table 7 Colorful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7 Colorful - Accent 1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7 Colorful - Accent 2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7 Colorful - Accent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7 Colorful - Accent 4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7 Colorful - Accent 5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7 Colorful - Accent 6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1 Light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List Table 1 Light - Accent 1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List Table 1 Light - Accent 2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List Table 1 Light - Accent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List Table 1 Light - Accent 4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List Table 1 Light - Accent 5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List Table 1 Light - Accent 6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>
    <w:name w:val="List Table 2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69">
    <w:name w:val="List Table 2 - Accent 1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70">
    <w:name w:val="List Table 2 - Accent 2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71">
    <w:name w:val="List Table 2 - Accent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72">
    <w:name w:val="List Table 2 - Accent 4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73">
    <w:name w:val="List Table 2 - Accent 5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74">
    <w:name w:val="List Table 2 - Accent 6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75">
    <w:name w:val="List Table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>
    <w:name w:val="List Table 3 - Accent 1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>
    <w:name w:val="List Table 3 - Accent 2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>
    <w:name w:val="List Table 3 - Accent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>
    <w:name w:val="List Table 3 - Accent 4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>
    <w:name w:val="List Table 3 - Accent 5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>
    <w:name w:val="List Table 3 - Accent 6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List Table 4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>
    <w:name w:val="List Table 4 - Accent 1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>
    <w:name w:val="List Table 4 - Accent 2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>
    <w:name w:val="List Table 4 - Accent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>
    <w:name w:val="List Table 4 - Accent 4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>
    <w:name w:val="List Table 4 - Accent 5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>
    <w:name w:val="List Table 4 - Accent 6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>
    <w:name w:val="List Table 5 Dark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0">
    <w:name w:val="List Table 5 Dark - Accent 1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1">
    <w:name w:val="List Table 5 Dark - Accent 2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2">
    <w:name w:val="List Table 5 Dark - Accent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3">
    <w:name w:val="List Table 5 Dark - Accent 4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4">
    <w:name w:val="List Table 5 Dark - Accent 5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5">
    <w:name w:val="List Table 5 Dark - Accent 6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6">
    <w:name w:val="List Table 6 Colorful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97">
    <w:name w:val="List Table 6 Colorful - Accent 1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98">
    <w:name w:val="List Table 6 Colorful - Accent 2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99">
    <w:name w:val="List Table 6 Colorful - Accent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00">
    <w:name w:val="List Table 6 Colorful - Accent 4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01">
    <w:name w:val="List Table 6 Colorful - Accent 5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02">
    <w:name w:val="List Table 6 Colorful - Accent 6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03">
    <w:name w:val="List Table 7 Colorful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04">
    <w:name w:val="List Table 7 Colorful - Accent 1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05">
    <w:name w:val="List Table 7 Colorful - Accent 2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06">
    <w:name w:val="List Table 7 Colorful - Accent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07">
    <w:name w:val="List Table 7 Colorful - Accent 4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08">
    <w:name w:val="List Table 7 Colorful - Accent 5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09">
    <w:name w:val="List Table 7 Colorful - Accent 6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10">
    <w:name w:val="Lined - Accent"/>
    <w:basedOn w:val="11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11">
    <w:name w:val="Lined - Accent 1"/>
    <w:basedOn w:val="11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12">
    <w:name w:val="Lined - Accent 2"/>
    <w:basedOn w:val="11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13">
    <w:name w:val="Lined - Accent 3"/>
    <w:basedOn w:val="11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14">
    <w:name w:val="Lined - Accent 4"/>
    <w:basedOn w:val="11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15">
    <w:name w:val="Lined - Accent 5"/>
    <w:basedOn w:val="11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16">
    <w:name w:val="Lined - Accent 6"/>
    <w:basedOn w:val="11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17">
    <w:name w:val="Bordered &amp; Lined - Accent"/>
    <w:basedOn w:val="11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18">
    <w:name w:val="Bordered &amp; Lined - Accent 1"/>
    <w:basedOn w:val="11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19">
    <w:name w:val="Bordered &amp; Lined - Accent 2"/>
    <w:basedOn w:val="11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20">
    <w:name w:val="Bordered &amp; Lined - Accent 3"/>
    <w:basedOn w:val="11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21">
    <w:name w:val="Bordered &amp; Lined - Accent 4"/>
    <w:basedOn w:val="11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22">
    <w:name w:val="Bordered &amp; Lined - Accent 5"/>
    <w:basedOn w:val="11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23">
    <w:name w:val="Bordered &amp; Lined - Accent 6"/>
    <w:basedOn w:val="11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24">
    <w:name w:val="Bordered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25">
    <w:name w:val="Bordered - Accent 1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26">
    <w:name w:val="Bordered - Accent 2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27">
    <w:name w:val="Bordered - Accent 3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28">
    <w:name w:val="Bordered - Accent 4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29">
    <w:name w:val="Bordered - Accent 5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30">
    <w:name w:val="Bordered - Accent 6"/>
    <w:basedOn w:val="11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31">
    <w:name w:val="Footnote Text Char"/>
    <w:link w:val="1151"/>
    <w:uiPriority w:val="99"/>
    <w:rPr>
      <w:sz w:val="18"/>
    </w:rPr>
  </w:style>
  <w:style w:type="character" w:styleId="1132">
    <w:name w:val="Endnote Text Char"/>
    <w:link w:val="1161"/>
    <w:uiPriority w:val="99"/>
    <w:rPr>
      <w:sz w:val="20"/>
    </w:rPr>
  </w:style>
  <w:style w:type="paragraph" w:styleId="1133">
    <w:name w:val="toc 1"/>
    <w:basedOn w:val="1144"/>
    <w:next w:val="1144"/>
    <w:uiPriority w:val="39"/>
    <w:unhideWhenUsed/>
    <w:pPr>
      <w:ind w:left="0" w:right="0" w:firstLine="0"/>
      <w:spacing w:after="57"/>
    </w:pPr>
  </w:style>
  <w:style w:type="paragraph" w:styleId="1134">
    <w:name w:val="toc 2"/>
    <w:basedOn w:val="1144"/>
    <w:next w:val="1144"/>
    <w:uiPriority w:val="39"/>
    <w:unhideWhenUsed/>
    <w:pPr>
      <w:ind w:left="283" w:right="0" w:firstLine="0"/>
      <w:spacing w:after="57"/>
    </w:pPr>
  </w:style>
  <w:style w:type="paragraph" w:styleId="1135">
    <w:name w:val="toc 3"/>
    <w:basedOn w:val="1144"/>
    <w:next w:val="1144"/>
    <w:uiPriority w:val="39"/>
    <w:unhideWhenUsed/>
    <w:pPr>
      <w:ind w:left="567" w:right="0" w:firstLine="0"/>
      <w:spacing w:after="57"/>
    </w:pPr>
  </w:style>
  <w:style w:type="paragraph" w:styleId="1136">
    <w:name w:val="toc 4"/>
    <w:basedOn w:val="1144"/>
    <w:next w:val="1144"/>
    <w:uiPriority w:val="39"/>
    <w:unhideWhenUsed/>
    <w:pPr>
      <w:ind w:left="850" w:right="0" w:firstLine="0"/>
      <w:spacing w:after="57"/>
    </w:pPr>
  </w:style>
  <w:style w:type="paragraph" w:styleId="1137">
    <w:name w:val="toc 5"/>
    <w:basedOn w:val="1144"/>
    <w:next w:val="1144"/>
    <w:uiPriority w:val="39"/>
    <w:unhideWhenUsed/>
    <w:pPr>
      <w:ind w:left="1134" w:right="0" w:firstLine="0"/>
      <w:spacing w:after="57"/>
    </w:pPr>
  </w:style>
  <w:style w:type="paragraph" w:styleId="1138">
    <w:name w:val="toc 6"/>
    <w:basedOn w:val="1144"/>
    <w:next w:val="1144"/>
    <w:uiPriority w:val="39"/>
    <w:unhideWhenUsed/>
    <w:pPr>
      <w:ind w:left="1417" w:right="0" w:firstLine="0"/>
      <w:spacing w:after="57"/>
    </w:pPr>
  </w:style>
  <w:style w:type="paragraph" w:styleId="1139">
    <w:name w:val="toc 7"/>
    <w:basedOn w:val="1144"/>
    <w:next w:val="1144"/>
    <w:uiPriority w:val="39"/>
    <w:unhideWhenUsed/>
    <w:pPr>
      <w:ind w:left="1701" w:right="0" w:firstLine="0"/>
      <w:spacing w:after="57"/>
    </w:pPr>
  </w:style>
  <w:style w:type="paragraph" w:styleId="1140">
    <w:name w:val="toc 8"/>
    <w:basedOn w:val="1144"/>
    <w:next w:val="1144"/>
    <w:uiPriority w:val="39"/>
    <w:unhideWhenUsed/>
    <w:pPr>
      <w:ind w:left="1984" w:right="0" w:firstLine="0"/>
      <w:spacing w:after="57"/>
    </w:pPr>
  </w:style>
  <w:style w:type="paragraph" w:styleId="1141">
    <w:name w:val="toc 9"/>
    <w:basedOn w:val="1144"/>
    <w:next w:val="1144"/>
    <w:uiPriority w:val="39"/>
    <w:unhideWhenUsed/>
    <w:pPr>
      <w:ind w:left="2268" w:right="0" w:firstLine="0"/>
      <w:spacing w:after="57"/>
    </w:pPr>
  </w:style>
  <w:style w:type="paragraph" w:styleId="1142">
    <w:name w:val="TOC Heading"/>
    <w:uiPriority w:val="39"/>
    <w:unhideWhenUsed/>
  </w:style>
  <w:style w:type="paragraph" w:styleId="1143">
    <w:name w:val="table of figures"/>
    <w:basedOn w:val="1144"/>
    <w:next w:val="1144"/>
    <w:uiPriority w:val="99"/>
    <w:unhideWhenUsed/>
    <w:pPr>
      <w:spacing w:after="0" w:afterAutospacing="0"/>
    </w:pPr>
  </w:style>
  <w:style w:type="paragraph" w:styleId="1144" w:default="1">
    <w:name w:val="Normal"/>
    <w:qFormat/>
  </w:style>
  <w:style w:type="character" w:styleId="1145" w:default="1">
    <w:name w:val="Default Paragraph Font"/>
    <w:uiPriority w:val="1"/>
    <w:semiHidden/>
    <w:unhideWhenUsed/>
  </w:style>
  <w:style w:type="table" w:styleId="11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47" w:default="1">
    <w:name w:val="No List"/>
    <w:uiPriority w:val="99"/>
    <w:semiHidden/>
    <w:unhideWhenUsed/>
  </w:style>
  <w:style w:type="paragraph" w:styleId="1148" w:customStyle="1">
    <w:name w:val="Default"/>
    <w:qFormat/>
    <w:pPr>
      <w:spacing w:after="0" w:line="240" w:lineRule="auto"/>
    </w:pPr>
    <w:rPr>
      <w:rFonts w:ascii="Times New Roman" w:hAnsi="Times New Roman" w:eastAsia="Times New Roman" w:cs="NKOJCK+TimesNewRoman"/>
      <w:color w:val="000000"/>
      <w:sz w:val="24"/>
      <w:szCs w:val="24"/>
      <w:lang w:eastAsia="ru-RU"/>
    </w:rPr>
  </w:style>
  <w:style w:type="table" w:styleId="1149">
    <w:name w:val="Table Grid"/>
    <w:basedOn w:val="114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50">
    <w:name w:val="List Paragraph"/>
    <w:basedOn w:val="1144"/>
    <w:uiPriority w:val="34"/>
    <w:qFormat/>
    <w:pPr>
      <w:contextualSpacing/>
      <w:ind w:left="720"/>
    </w:pPr>
  </w:style>
  <w:style w:type="paragraph" w:styleId="1151">
    <w:name w:val="footnote text"/>
    <w:basedOn w:val="1144"/>
    <w:link w:val="1152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styleId="1152" w:customStyle="1">
    <w:name w:val="Текст сноски Знак"/>
    <w:basedOn w:val="1145"/>
    <w:link w:val="1151"/>
    <w:uiPriority w:val="99"/>
    <w:qFormat/>
    <w:rPr>
      <w:sz w:val="20"/>
      <w:szCs w:val="20"/>
    </w:rPr>
  </w:style>
  <w:style w:type="character" w:styleId="1153">
    <w:name w:val="footnote reference"/>
    <w:basedOn w:val="1145"/>
    <w:uiPriority w:val="99"/>
    <w:unhideWhenUsed/>
    <w:qFormat/>
    <w:rPr>
      <w:vertAlign w:val="superscript"/>
    </w:rPr>
  </w:style>
  <w:style w:type="character" w:styleId="1154">
    <w:name w:val="annotation reference"/>
    <w:basedOn w:val="1145"/>
    <w:uiPriority w:val="99"/>
    <w:semiHidden/>
    <w:unhideWhenUsed/>
    <w:rPr>
      <w:sz w:val="16"/>
      <w:szCs w:val="16"/>
    </w:rPr>
  </w:style>
  <w:style w:type="paragraph" w:styleId="1155">
    <w:name w:val="annotation text"/>
    <w:basedOn w:val="1144"/>
    <w:link w:val="115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156" w:customStyle="1">
    <w:name w:val="Текст примечания Знак"/>
    <w:basedOn w:val="1145"/>
    <w:link w:val="1155"/>
    <w:uiPriority w:val="99"/>
    <w:semiHidden/>
    <w:rPr>
      <w:sz w:val="20"/>
      <w:szCs w:val="20"/>
    </w:rPr>
  </w:style>
  <w:style w:type="paragraph" w:styleId="1157">
    <w:name w:val="annotation subject"/>
    <w:basedOn w:val="1155"/>
    <w:next w:val="1155"/>
    <w:link w:val="1158"/>
    <w:uiPriority w:val="99"/>
    <w:semiHidden/>
    <w:unhideWhenUsed/>
    <w:rPr>
      <w:b/>
      <w:bCs/>
    </w:rPr>
  </w:style>
  <w:style w:type="character" w:styleId="1158" w:customStyle="1">
    <w:name w:val="Тема примечания Знак"/>
    <w:basedOn w:val="1156"/>
    <w:link w:val="1157"/>
    <w:uiPriority w:val="99"/>
    <w:semiHidden/>
    <w:rPr>
      <w:b/>
      <w:bCs/>
      <w:sz w:val="20"/>
      <w:szCs w:val="20"/>
    </w:rPr>
  </w:style>
  <w:style w:type="paragraph" w:styleId="1159">
    <w:name w:val="Balloon Text"/>
    <w:basedOn w:val="1144"/>
    <w:link w:val="11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60" w:customStyle="1">
    <w:name w:val="Текст выноски Знак"/>
    <w:basedOn w:val="1145"/>
    <w:link w:val="1159"/>
    <w:uiPriority w:val="99"/>
    <w:semiHidden/>
    <w:rPr>
      <w:rFonts w:ascii="Tahoma" w:hAnsi="Tahoma" w:cs="Tahoma"/>
      <w:sz w:val="16"/>
      <w:szCs w:val="16"/>
    </w:rPr>
  </w:style>
  <w:style w:type="paragraph" w:styleId="1161">
    <w:name w:val="endnote text"/>
    <w:basedOn w:val="1144"/>
    <w:link w:val="116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162" w:customStyle="1">
    <w:name w:val="Текст концевой сноски Знак"/>
    <w:basedOn w:val="1145"/>
    <w:link w:val="1161"/>
    <w:uiPriority w:val="99"/>
    <w:semiHidden/>
    <w:rPr>
      <w:sz w:val="20"/>
      <w:szCs w:val="20"/>
    </w:rPr>
  </w:style>
  <w:style w:type="character" w:styleId="1163">
    <w:name w:val="endnote reference"/>
    <w:basedOn w:val="1145"/>
    <w:uiPriority w:val="99"/>
    <w:semiHidden/>
    <w:unhideWhenUsed/>
    <w:rPr>
      <w:vertAlign w:val="superscript"/>
    </w:rPr>
  </w:style>
  <w:style w:type="character" w:styleId="1164">
    <w:name w:val="Hyperlink"/>
    <w:basedOn w:val="1145"/>
    <w:uiPriority w:val="99"/>
    <w:unhideWhenUsed/>
    <w:rPr>
      <w:color w:val="0000ff" w:themeColor="hyperlink"/>
      <w:u w:val="single"/>
    </w:rPr>
  </w:style>
  <w:style w:type="paragraph" w:styleId="1165">
    <w:name w:val="Revision"/>
    <w:hidden/>
    <w:uiPriority w:val="99"/>
    <w:semiHidden/>
    <w:pPr>
      <w:spacing w:after="0" w:line="240" w:lineRule="auto"/>
    </w:pPr>
  </w:style>
  <w:style w:type="paragraph" w:styleId="1166">
    <w:name w:val="Header"/>
    <w:basedOn w:val="1144"/>
    <w:link w:val="11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67" w:customStyle="1">
    <w:name w:val="Верхний колонтитул Знак"/>
    <w:basedOn w:val="1145"/>
    <w:link w:val="1166"/>
    <w:uiPriority w:val="99"/>
  </w:style>
  <w:style w:type="paragraph" w:styleId="1168">
    <w:name w:val="Footer"/>
    <w:basedOn w:val="1144"/>
    <w:link w:val="11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69" w:customStyle="1">
    <w:name w:val="Нижний колонтитул Знак"/>
    <w:basedOn w:val="1145"/>
    <w:link w:val="1168"/>
    <w:uiPriority w:val="99"/>
  </w:style>
  <w:style w:type="paragraph" w:styleId="1170" w:customStyle="1">
    <w:name w:val="Noeeu1"/>
    <w:basedOn w:val="1144"/>
    <w:pPr>
      <w:ind w:firstLine="709"/>
      <w:jc w:val="both"/>
      <w:spacing w:after="0" w:line="240" w:lineRule="auto"/>
    </w:pPr>
    <w:rPr>
      <w:rFonts w:ascii="Peterburg" w:hAnsi="Peterburg" w:eastAsia="Times New Roman" w:cs="Times New Roman"/>
      <w:sz w:val="24"/>
      <w:szCs w:val="24"/>
      <w:lang w:eastAsia="ru-RU"/>
    </w:rPr>
  </w:style>
  <w:style w:type="paragraph" w:styleId="1171">
    <w:name w:val="List Number"/>
    <w:basedOn w:val="1144"/>
    <w:pPr>
      <w:numPr>
        <w:ilvl w:val="1"/>
        <w:numId w:val="48"/>
      </w:numPr>
      <w:jc w:val="both"/>
      <w:spacing w:before="60" w:after="60" w:line="240" w:lineRule="auto"/>
      <w:tabs>
        <w:tab w:val="clear" w:pos="1065" w:leader="none"/>
        <w:tab w:val="num" w:pos="144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www.rshb.ru" TargetMode="External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0647-863E-470D-84CD-03FF5C6E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Андрусенко Татьяна Сергеевна</dc:creator>
  <cp:revision>26</cp:revision>
  <dcterms:created xsi:type="dcterms:W3CDTF">2024-03-20T12:09:00Z</dcterms:created>
  <dcterms:modified xsi:type="dcterms:W3CDTF">2025-04-11T07:52:59Z</dcterms:modified>
</cp:coreProperties>
</file>