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Правила проведения маркетинговой акции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Выгодные траты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физических лиц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Правила проведения Акции)</w:t>
      </w:r>
    </w:p>
    <w:p>
      <w:pPr>
        <w:spacing w:before="12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3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маркетинговой акции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Выгодные траты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физических 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Акция)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привлечение средств физических лиц на накопительные счета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3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Задачи, решаемые в рамках проведения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увеличение портфеля пассивов, повышение лояльности клиентов. </w:t>
      </w:r>
    </w:p>
    <w:p>
      <w:pPr>
        <w:numPr>
          <w:ilvl w:val="0"/>
          <w:numId w:val="3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 проведения Акции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внутренние структурные подразделения </w:t>
        <w:br/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Банк), региональные филиалы Банка и их внутренние структурные подразделения, а также система дистанционного банковского обслуживания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Интернет-банк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Мобильный 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ДБО).</w:t>
      </w:r>
    </w:p>
    <w:p>
      <w:pPr>
        <w:numPr>
          <w:ilvl w:val="0"/>
          <w:numId w:val="3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Период проведения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 00:00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московскому времени) 01.11.2023 (включительно) по 23:59 (по московскому времени) 31.01.2024 (включительно).</w:t>
      </w:r>
    </w:p>
    <w:p>
      <w:pPr>
        <w:numPr>
          <w:ilvl w:val="0"/>
          <w:numId w:val="3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Участник Акции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физическое лицо - держатель дебетовой карты </w:t>
        <w:br/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Тарифного плана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СВОЯ карта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Карта).</w:t>
      </w:r>
    </w:p>
    <w:p>
      <w:pPr>
        <w:numPr>
          <w:ilvl w:val="0"/>
          <w:numId w:val="3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Условия проведения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 Акции в Месте проведения Акции в Период проведения Акции открывает (если не открыл ранее) накопительный счет в рамках тарифного плана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Моя копилка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Счет) на следующих условиях:</w:t>
      </w:r>
    </w:p>
    <w:p>
      <w:pPr>
        <w:tabs>
          <w:tab w:val="left" w:pos="993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валюта счета: рубли РФ;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остальные условия по Счету соответствуют условиям по накопительному счету в рамках тарифного плана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Моя копилка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Возможность открытия Счета посредством ДБО доступна при наличии технической возможности только Участникам Акции, присоединившимся к Условиям дистанционного банковского обслуживания физических лиц в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использованием системы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Интернет-банк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Мобильный 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6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Способ проведения Акции: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Участнику Акции, имеющему в Банке действующий Счет на условиях, указанных в п. 6 настоящих Правил проведения Акции, при достижении фактических оборотов по счету Карты согласно п. 7.2 настоящих Правил проведения Акции в Период проведения Акции начисляется процентная надбавка, определенная в п. 7.2 настоящих Правил проведения Акции. Начисленные в соответствии с процентной надбавкой денежные средства причисляются к остатку денежных средств на Счете ежемесячно в последний календарный день месяца, а также в день закрытия Счета. 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Начисление процентной надбавки в размере, указанном в п. 7.2 настоящих Правил проведения Акции, осуществляется в соответствии с настоящими Правилами проведения Акции на фактический остаток денежных средств, не превышающий в совокупности 1 000 000 (один миллион) рублей на всех Счетах на начало операционного дня в течение календарного месяца, за который производится расчет, в зависимости от фактических оборотов по счету Карты Участника Акции за календарный месяц. </w:t>
      </w:r>
    </w:p>
    <w:p>
      <w:pPr>
        <w:tabs>
          <w:tab w:val="left" w:pos="993" w:leader="none"/>
        </w:tabs>
        <w:spacing w:before="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Размер процентной надбавки, применяемой в Период проведения Акции </w:t>
        <w:br/>
        <w:t xml:space="preserve">(% годовых):</w:t>
      </w:r>
    </w:p>
    <w:tbl>
      <w:tblPr/>
      <w:tblGrid>
        <w:gridCol w:w="4813"/>
        <w:gridCol w:w="4814"/>
      </w:tblGrid>
      <w:tr>
        <w:trPr>
          <w:trHeight w:val="1" w:hRule="atLeast"/>
          <w:jc w:val="left"/>
        </w:trPr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Размер фактического оборота по счету Карты, рублей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Процентная надбавка, %</w:t>
            </w:r>
          </w:p>
        </w:tc>
      </w:tr>
      <w:tr>
        <w:trPr>
          <w:trHeight w:val="1" w:hRule="atLeast"/>
          <w:jc w:val="left"/>
        </w:trPr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10 000,00 до 29 999,99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,0%</w:t>
            </w:r>
          </w:p>
        </w:tc>
      </w:tr>
      <w:tr>
        <w:trPr>
          <w:trHeight w:val="408" w:hRule="auto"/>
          <w:jc w:val="left"/>
        </w:trPr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30 000,00 до 69 999,99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70 000,00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3" w:leader="none"/>
              </w:tabs>
              <w:spacing w:before="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,0%</w:t>
            </w:r>
          </w:p>
        </w:tc>
      </w:tr>
    </w:tbl>
    <w:p>
      <w:pPr>
        <w:numPr>
          <w:ilvl w:val="0"/>
          <w:numId w:val="21"/>
        </w:numPr>
        <w:tabs>
          <w:tab w:val="left" w:pos="1134" w:leader="none"/>
        </w:tabs>
        <w:spacing w:before="12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Организатор Акции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Генеральная лицензия Банка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3349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12.08.2015, место нахождения: 119034, Российская Федерация, г. Москва, Гагаринский пер., д. 3).</w:t>
      </w:r>
    </w:p>
    <w:p>
      <w:pPr>
        <w:numPr>
          <w:ilvl w:val="0"/>
          <w:numId w:val="21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 информирования об условиях проведения Акции:</w:t>
      </w:r>
    </w:p>
    <w:p>
      <w:pPr>
        <w:numPr>
          <w:ilvl w:val="0"/>
          <w:numId w:val="21"/>
        </w:numPr>
        <w:tabs>
          <w:tab w:val="left" w:pos="99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размещение информации на официальном сайте Банка в сети Интернет по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www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"http://www.rshb.ru/"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"http://www.rshb.ru/"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rshb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"http://www.rshb.ru/"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"http://www.rshb.ru/"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;</w:t>
      </w:r>
    </w:p>
    <w:p>
      <w:pPr>
        <w:numPr>
          <w:ilvl w:val="0"/>
          <w:numId w:val="21"/>
        </w:numPr>
        <w:tabs>
          <w:tab w:val="left" w:pos="99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размещение информации в ДБО;</w:t>
      </w:r>
    </w:p>
    <w:p>
      <w:pPr>
        <w:numPr>
          <w:ilvl w:val="0"/>
          <w:numId w:val="21"/>
        </w:numPr>
        <w:tabs>
          <w:tab w:val="left" w:pos="99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размещение информации в социальных сетях в официальных группах                     </w:t>
        <w:br/>
        <w:t xml:space="preserve">Банка в сети Интернет, разрешенных на территории Российской Федерации;</w:t>
      </w:r>
    </w:p>
    <w:p>
      <w:pPr>
        <w:numPr>
          <w:ilvl w:val="0"/>
          <w:numId w:val="21"/>
        </w:numPr>
        <w:tabs>
          <w:tab w:val="left" w:pos="99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размещение информации на информационных стендах в подразделениях Банка.</w:t>
      </w:r>
    </w:p>
    <w:p>
      <w:pPr>
        <w:numPr>
          <w:ilvl w:val="0"/>
          <w:numId w:val="21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Особые условия проведения Акции: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 Акции не несет ответственности за перенос сроков проведения Акции и другие изменения, вызванные независящими от него обстоятельствами.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Факт участия в Акции означает ознакомление и полное согласие Участника Акции с настоящими Правилами проведения Акции.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расчете фактического оборота по счету Карты не учитываются следующие операции:</w:t>
      </w:r>
    </w:p>
    <w:p>
      <w:pPr>
        <w:numPr>
          <w:ilvl w:val="0"/>
          <w:numId w:val="26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налоговые платежи (МСС-код: 9311);</w:t>
      </w:r>
    </w:p>
    <w:p>
      <w:pPr>
        <w:numPr>
          <w:ilvl w:val="0"/>
          <w:numId w:val="26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операции, связанные с перечислением средств на счета в Банке и других банках (МСС-коды: 4829, 6012, 6022, 6529, 6530, 6532, 6533, 6534, 6536, 6537, 6538, 6540);</w:t>
      </w:r>
    </w:p>
    <w:p>
      <w:pPr>
        <w:numPr>
          <w:ilvl w:val="0"/>
          <w:numId w:val="26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операции, связанные с пополнением электронных кошельков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Яндекс. Деньги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WebMoney, Platezh.ru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т.д.) (МСС-коды: 6050, 6051, 6535);</w:t>
      </w:r>
    </w:p>
    <w:p>
      <w:pPr>
        <w:numPr>
          <w:ilvl w:val="0"/>
          <w:numId w:val="26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операции оплаты услуг поставщиков с использованием системы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Интернет-банк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Мобильный 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банкоматов Банка;</w:t>
      </w:r>
    </w:p>
    <w:p>
      <w:pPr>
        <w:numPr>
          <w:ilvl w:val="0"/>
          <w:numId w:val="26"/>
        </w:num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операции оплаты услуг сотовой связи (МСС-коды: 4813, 4814, 4816, 4899).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 Акции не несет ответственности за некорректное предоставление информации о типе операции и/или MСС-коде, который указало ТСП или обслуживающая его кредитная организация (эквайрер).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случае, если Участник Акции произвел отмену операции, совершенной с использованием Карты (реквизитов Карты) по оплате товаров/работ/услуг, и получил возврат денежных средств на счет Карты, общая сумма фактического оборота по счету Карты за календарный месяц, в котором денежные средства были отражены по счету Карты, уменьшается на соответствующую сумму возврата денежных средств.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всем ином, что не предусмотрено настоящими Правилами проведения Акции, применяются положения: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Условий комплексного банковского обслуживания держателей карт </w:t>
        <w:br/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обслуживания Карты;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Условий открытия и обслуживания счетов физических лиц в </w:t>
        <w:br/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открытии Счета посредством ДБО применяются положения Условий открытия, обслуживания и закрытия счетов физических лиц в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Россельхозбанк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использованием системы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Интернет-банк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Мобильный 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открытия и обслуживания Счета).</w:t>
      </w:r>
    </w:p>
    <w:p>
      <w:pPr>
        <w:tabs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6">
    <w:abstractNumId w:val="12"/>
  </w:num>
  <w:num w:numId="21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rshb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