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line="240" w:lineRule="auto"/>
        <w:ind w:left="5103" w:right="-1" w:firstLine="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</w:t>
      </w:r>
      <w:r>
        <w:rPr>
          <w:bCs/>
          <w:sz w:val="20"/>
          <w:szCs w:val="20"/>
        </w:rPr>
        <w:t xml:space="preserve"> 1</w:t>
      </w:r>
      <w:r>
        <w:rPr>
          <w:bCs/>
          <w:sz w:val="20"/>
          <w:szCs w:val="20"/>
        </w:rPr>
      </w:r>
    </w:p>
    <w:p>
      <w:pPr>
        <w:widowControl w:val="off"/>
        <w:spacing w:line="240" w:lineRule="auto"/>
        <w:ind w:left="5669" w:hanging="42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>
        <w:rPr>
          <w:bCs/>
          <w:sz w:val="20"/>
          <w:szCs w:val="20"/>
        </w:rPr>
        <w:t xml:space="preserve">пр</w:t>
      </w:r>
      <w:r>
        <w:rPr>
          <w:bCs/>
          <w:sz w:val="20"/>
          <w:szCs w:val="20"/>
        </w:rPr>
        <w:t xml:space="preserve">отоколу заседания Комитета по развитию розничного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widowControl w:val="off"/>
        <w:spacing w:line="240" w:lineRule="auto"/>
        <w:ind w:left="5669" w:hanging="424"/>
        <w:rPr>
          <w:bCs/>
          <w:i/>
        </w:rPr>
      </w:pPr>
      <w:r>
        <w:rPr>
          <w:bCs/>
          <w:sz w:val="20"/>
          <w:szCs w:val="20"/>
        </w:rPr>
        <w:t xml:space="preserve">бизнеса от 18.04.2025 №26</w:t>
      </w:r>
      <w:r>
        <w:rPr>
          <w:bCs/>
          <w:i/>
        </w:rPr>
      </w:r>
    </w:p>
    <w:p>
      <w:pPr>
        <w:spacing w:line="240" w:lineRule="auto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40" w:lineRule="auto"/>
        <w:jc w:val="center"/>
        <w:rPr>
          <w:b/>
        </w:rPr>
      </w:pPr>
      <w:r>
        <w:rPr>
          <w:b/>
        </w:rPr>
        <w:t xml:space="preserve">Правила проведения акции</w:t>
      </w:r>
      <w:r>
        <w:rPr>
          <w:b/>
        </w:rPr>
      </w:r>
      <w:r>
        <w:rPr>
          <w:b/>
        </w:rPr>
      </w:r>
    </w:p>
    <w:p>
      <w:pPr>
        <w:spacing w:line="240" w:lineRule="auto"/>
        <w:jc w:val="center"/>
        <w:rPr>
          <w:b/>
        </w:rPr>
      </w:pPr>
      <w:r>
        <w:rPr>
          <w:b/>
          <w:bCs/>
          <w:iCs/>
        </w:rPr>
        <w:t xml:space="preserve">«Специальные условия пролонгации Пакета услуг» (далее – Правила)</w:t>
      </w:r>
      <w:r>
        <w:rPr>
          <w:b/>
        </w:rPr>
      </w:r>
      <w:r>
        <w:rPr>
          <w:b/>
        </w:rPr>
      </w:r>
    </w:p>
    <w:p>
      <w:pPr>
        <w:tabs>
          <w:tab w:val="left" w:pos="567" w:leader="none"/>
        </w:tabs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numPr>
          <w:numId w:val="3"/>
          <w:ilvl w:val="0"/>
        </w:numPr>
        <w:tabs>
          <w:tab w:val="left" w:pos="284" w:leader="none"/>
          <w:tab w:val="left" w:pos="709" w:leader="none"/>
          <w:tab w:val="left" w:pos="850" w:leader="none"/>
          <w:tab w:val="left" w:pos="1134" w:leader="none"/>
        </w:tabs>
        <w:spacing w:line="240" w:lineRule="auto"/>
        <w:ind w:left="0" w:firstLine="850"/>
        <w:contextualSpacing/>
        <w:jc w:val="both"/>
      </w:pPr>
      <w:r>
        <w:rPr>
          <w:bCs/>
          <w:color w:val="000000"/>
        </w:rPr>
        <w:t xml:space="preserve">В целях удержания действующих клиентов, находящихся на обслуживании в </w:t>
      </w:r>
      <w:r>
        <w:t xml:space="preserve">рамках Пакета услуг в АО «Россельхозбанк» (далее - Банк), и активному использованию продуктов и услуг, входящих в Пакет услуг «Ультра», Банк проводит акцию «</w:t>
      </w:r>
      <w:r>
        <w:rPr>
          <w:bCs/>
          <w:iCs/>
        </w:rPr>
        <w:t xml:space="preserve">Специальные условия пролонгации Пакета услуг</w:t>
      </w:r>
      <w:r>
        <w:t xml:space="preserve">» </w:t>
      </w:r>
      <w:r>
        <w:rPr>
          <w:bCs/>
          <w:color w:val="000000"/>
        </w:rPr>
        <w:t xml:space="preserve">(далее – Акция).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1276" w:hanging="567"/>
        <w:contextualSpacing/>
        <w:jc w:val="both"/>
      </w:pPr>
      <w:r>
        <w:rPr>
          <w:lang w:val="en-US"/>
        </w:rPr>
        <w:t xml:space="preserve">C</w:t>
      </w:r>
      <w:r>
        <w:t xml:space="preserve">рок проведения Акции: 22</w:t>
      </w:r>
      <w:r>
        <w:t xml:space="preserve"> </w:t>
      </w:r>
      <w:r>
        <w:t xml:space="preserve">апреля 2025 года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Место проведения Акции:</w:t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40" w:lineRule="auto"/>
        <w:ind w:firstLine="1134"/>
        <w:contextualSpacing/>
        <w:jc w:val="both"/>
        <w:rPr>
          <w:highlight w:val="white"/>
        </w:rPr>
      </w:pPr>
      <w:r>
        <w:rPr>
          <w:highlight w:val="white"/>
        </w:rPr>
        <w:t xml:space="preserve">Санкт-Петербургский РФ </w:t>
      </w:r>
      <w:r>
        <w:rPr>
          <w:highlight w:val="white"/>
        </w:rPr>
        <w:t xml:space="preserve">АО «Россельхозбанк» (</w:t>
      </w:r>
      <w:r>
        <w:rPr>
          <w:highlight w:val="white"/>
        </w:rPr>
        <w:t xml:space="preserve">Центральный офис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Санкт-Петербургского РФ </w:t>
      </w:r>
      <w:r>
        <w:rPr>
          <w:highlight w:val="white"/>
        </w:rPr>
        <w:t xml:space="preserve">АО «Россельхозбанк» №3349/35</w:t>
      </w:r>
      <w:r>
        <w:rPr>
          <w:highlight w:val="white"/>
        </w:rPr>
        <w:t xml:space="preserve">/00, </w:t>
      </w:r>
      <w:r>
        <w:rPr>
          <w:highlight w:val="white"/>
        </w:rPr>
        <w:t xml:space="preserve">г. Санкт-Петербург, ул. Парадная, дом 5, корпус 1</w:t>
      </w:r>
      <w:r>
        <w:rPr>
          <w:highlight w:val="white"/>
        </w:rPr>
        <w:t xml:space="preserve">)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40" w:lineRule="auto"/>
        <w:ind w:firstLine="1134"/>
        <w:contextualSpacing/>
        <w:jc w:val="both"/>
        <w:rPr>
          <w:highlight w:val="none"/>
          <w14:ligatures w14:val="none"/>
        </w:rPr>
      </w:pPr>
      <w:r>
        <w:rPr>
          <w:highlight w:val="white"/>
        </w:rPr>
        <w:t xml:space="preserve">Удмуртский</w:t>
      </w:r>
      <w:r>
        <w:rPr>
          <w:highlight w:val="white"/>
        </w:rPr>
        <w:t xml:space="preserve"> РФ АО «Россельхозбанк» (</w:t>
      </w:r>
      <w:r>
        <w:rPr>
          <w:highlight w:val="white"/>
        </w:rPr>
        <w:t xml:space="preserve">Центральный офис</w:t>
      </w:r>
      <w:r>
        <w:rPr>
          <w:highlight w:val="white"/>
        </w:rPr>
        <w:t xml:space="preserve"> </w:t>
      </w:r>
      <w:r>
        <w:rPr>
          <w:highlight w:val="white"/>
        </w:rPr>
        <w:t xml:space="preserve">Удмуртского РФ </w:t>
      </w:r>
      <w:r>
        <w:rPr>
          <w:highlight w:val="white"/>
        </w:rPr>
        <w:br/>
      </w:r>
      <w:r>
        <w:rPr>
          <w:highlight w:val="white"/>
        </w:rPr>
        <w:t xml:space="preserve">АО «Россельхозбанк» №3349/28</w:t>
      </w:r>
      <w:r>
        <w:rPr>
          <w:highlight w:val="white"/>
        </w:rPr>
        <w:t xml:space="preserve">/00, </w:t>
      </w:r>
      <w:r>
        <w:rPr>
          <w:highlight w:val="white"/>
        </w:rPr>
        <w:t xml:space="preserve">г. Ижевск, ул. Пушкинская, д.265, корп. 1</w:t>
      </w:r>
      <w:r>
        <w:rPr>
          <w:highlight w:val="white"/>
        </w:rPr>
        <w:t xml:space="preserve">)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40" w:lineRule="auto"/>
        <w:ind w:firstLine="1134"/>
        <w:contextualSpacing/>
        <w:jc w:val="both"/>
        <w:rPr>
          <w:highlight w:val="white"/>
          <w14:ligatures w14:val="none"/>
        </w:rPr>
      </w:pPr>
      <w:r>
        <w:rPr>
          <w:highlight w:val="none"/>
          <w14:ligatures w14:val="none"/>
        </w:rPr>
        <w:t xml:space="preserve">Хабаровский РФ </w:t>
      </w:r>
      <w:r>
        <w:rPr>
          <w:highlight w:val="white"/>
        </w:rPr>
        <w:t xml:space="preserve">АО «Россельхозбанк» (</w:t>
      </w:r>
      <w:r>
        <w:rPr>
          <w:highlight w:val="white"/>
        </w:rPr>
        <w:t xml:space="preserve">Дополнительный офис</w:t>
      </w:r>
      <w:r>
        <w:rPr>
          <w:highlight w:val="white"/>
        </w:rPr>
        <w:t xml:space="preserve"> Хабаровского</w:t>
      </w:r>
      <w:r>
        <w:rPr>
          <w:highlight w:val="white"/>
        </w:rPr>
        <w:t xml:space="preserve"> РФ </w:t>
      </w:r>
      <w:r>
        <w:rPr>
          <w:highlight w:val="white"/>
        </w:rPr>
        <w:br/>
      </w:r>
      <w:r>
        <w:rPr>
          <w:highlight w:val="white"/>
        </w:rPr>
        <w:t xml:space="preserve">АО «Россельхозбанк» №3349/75</w:t>
      </w:r>
      <w:r>
        <w:rPr>
          <w:highlight w:val="white"/>
        </w:rPr>
        <w:t xml:space="preserve">/11, </w:t>
      </w:r>
      <w:r>
        <w:rPr>
          <w:highlight w:val="white"/>
        </w:rPr>
        <w:t xml:space="preserve">г. Магадан, пр. Карла Маркса, д.40</w:t>
      </w:r>
      <w:r>
        <w:rPr>
          <w:highlight w:val="white"/>
        </w:rPr>
        <w:t xml:space="preserve">)</w:t>
      </w:r>
      <w:r>
        <w:rPr>
          <w:highlight w:val="none"/>
          <w14:ligatures w14:val="none"/>
        </w:rPr>
      </w:r>
      <w:r>
        <w:rPr>
          <w:highlight w:val="white"/>
          <w14:ligatures w14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40" w:lineRule="auto"/>
        <w:ind w:firstLine="1134"/>
        <w:contextualSpacing/>
        <w:jc w:val="both"/>
        <w:rPr>
          <w:highlight w:val="white"/>
        </w:rPr>
      </w:pPr>
      <w:r>
        <w:rPr>
          <w:highlight w:val="none"/>
        </w:rPr>
        <w:t xml:space="preserve">Челябинский</w:t>
      </w:r>
      <w:r>
        <w:rPr>
          <w:highlight w:val="white"/>
        </w:rPr>
        <w:t xml:space="preserve"> </w:t>
      </w:r>
      <w:r>
        <w:rPr>
          <w:highlight w:val="white"/>
        </w:rPr>
        <w:t xml:space="preserve">РФ АО «Россельхозбанк» (</w:t>
      </w:r>
      <w:r>
        <w:rPr>
          <w:highlight w:val="white"/>
        </w:rPr>
        <w:t xml:space="preserve">Центральный офис</w:t>
      </w:r>
      <w:r>
        <w:rPr>
          <w:highlight w:val="white"/>
        </w:rPr>
        <w:t xml:space="preserve"> </w:t>
      </w:r>
      <w:r>
        <w:rPr>
          <w:highlight w:val="white"/>
        </w:rPr>
        <w:t xml:space="preserve">Челябинского РФ </w:t>
      </w:r>
      <w:r>
        <w:rPr>
          <w:highlight w:val="white"/>
        </w:rPr>
        <w:br/>
      </w:r>
      <w:r>
        <w:rPr>
          <w:highlight w:val="white"/>
        </w:rPr>
        <w:t xml:space="preserve">АО «Россельхозбанк» №3349/78</w:t>
      </w:r>
      <w:r>
        <w:rPr>
          <w:highlight w:val="white"/>
        </w:rPr>
        <w:t xml:space="preserve">/00, г. Челябинск, пр-т Ленина, д.26А</w:t>
      </w:r>
      <w:r>
        <w:rPr>
          <w:highlight w:val="white"/>
        </w:rPr>
        <w:t xml:space="preserve">)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numId w:val="3"/>
          <w:ilvl w:val="0"/>
        </w:numPr>
        <w:tabs>
          <w:tab w:val="left" w:pos="0" w:leader="none"/>
        </w:tabs>
        <w:spacing w:line="240" w:lineRule="auto"/>
        <w:ind w:left="0" w:right="0" w:firstLine="709"/>
        <w:contextualSpacing/>
        <w:jc w:val="both"/>
      </w:pPr>
      <w:r>
        <w:t xml:space="preserve">Условия Акции: для клиентов, обратившихся с заявле</w:t>
      </w:r>
      <w:r>
        <w:t xml:space="preserve">нием на участие в Акции в рамках тарифного плана «Пакет услуг «Ультра» в срок проведения Акции, указанный в </w:t>
        <w:br/>
        <w:t xml:space="preserve">п. 2 настоящих Правил, в подразделения Банка, указанные в п. 3 настоящих Правил, комиссия за обслуживание Пакета услуг «Ультра» при пролонгации Паке</w:t>
      </w:r>
      <w:r>
        <w:t xml:space="preserve">та услуг «Ультра» на период с 22</w:t>
      </w:r>
      <w:r>
        <w:t xml:space="preserve">.0</w:t>
      </w:r>
      <w:r>
        <w:t xml:space="preserve">4.2025 до </w:t>
      </w:r>
      <w:r>
        <w:t xml:space="preserve">21.</w:t>
      </w:r>
      <w:r>
        <w:t xml:space="preserve">04.2026 включительно, не взимается.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Участники Акции: физические лица – владельцы действующего Пакета услуг «Ультра», обратившиеся с заявлением на участие в Акции в подразделения Банка, указанные в пункте 3 настоящих Правил, в срок проведения Акции, указанный в пункте 2 настоящих Правил.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Организатором Акции является Банк.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Ответственный за проведение Акции: </w:t>
      </w:r>
    </w:p>
    <w:p>
      <w:pPr>
        <w:tabs>
          <w:tab w:val="left" w:pos="284" w:leader="none"/>
          <w:tab w:val="left" w:pos="993" w:leader="none"/>
        </w:tabs>
        <w:spacing w:line="240" w:lineRule="auto"/>
        <w:jc w:val="both"/>
      </w:pPr>
      <w:r>
        <w:t xml:space="preserve">Подразделения Банка, указанные в пункте 3 настоящих Правил. 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Порядок информирования об условиях Акции: </w:t>
      </w:r>
    </w:p>
    <w:p>
      <w:pPr>
        <w:tabs>
          <w:tab w:val="left" w:pos="851" w:leader="none"/>
        </w:tabs>
        <w:spacing w:line="240" w:lineRule="auto"/>
        <w:ind w:firstLine="709"/>
        <w:jc w:val="both"/>
      </w:pPr>
      <w:r>
        <w:t xml:space="preserve">-     размещение полной информации об Акции на интернет-сайте Банка/странице филиала на интернет-сайте Банка не позднее дня проведения Акции;</w:t>
      </w:r>
    </w:p>
    <w:p>
      <w:pPr>
        <w:numPr>
          <w:numId w:val="15"/>
          <w:ilvl w:val="0"/>
        </w:numPr>
        <w:tabs>
          <w:tab w:val="left" w:pos="1134" w:leader="none"/>
        </w:tabs>
        <w:spacing w:line="240" w:lineRule="auto"/>
        <w:ind w:left="0" w:firstLine="709"/>
        <w:jc w:val="both"/>
      </w:pPr>
      <w:r>
        <w:t xml:space="preserve">размещение полной информации об Акции в подразделениях Банка, указанных в пункте 3 настоящих Правил.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Особые условия проведения Акции: </w:t>
      </w:r>
    </w:p>
    <w:p>
      <w:pPr>
        <w:numPr>
          <w:numId w:val="3"/>
          <w:ilvl w:val="1"/>
        </w:numPr>
        <w:tabs>
          <w:tab w:val="left" w:pos="284" w:leader="none"/>
          <w:tab w:val="left" w:pos="1276" w:leader="none"/>
        </w:tabs>
        <w:spacing w:line="240" w:lineRule="auto"/>
        <w:ind w:left="0" w:firstLine="709"/>
        <w:contextualSpacing/>
        <w:jc w:val="both"/>
      </w:pPr>
      <w:r>
        <w:t xml:space="preserve">Банк оставляет за собой право отказать клиенту в пролонгации Пакета услуг «Ультра» в рамках Акции в случае, если клиент не соответствует пункту 5 настоящих Правил.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40" w:lineRule="auto"/>
        <w:ind w:left="0" w:firstLine="702"/>
        <w:contextualSpacing/>
        <w:jc w:val="both"/>
      </w:pPr>
      <w:r>
        <w:t xml:space="preserve">Банк осуществляет пролонгацию Пакета услуг «Ультра» на условиях Акции, указанных в пункте 4 настоящих Правил, на основании полученного от Участника Акции заявления на участие</w:t>
      </w:r>
      <w:r>
        <w:t xml:space="preserve"> в Акции, оформленного в срок проведения Акции, указанный в пункте 2 настоящих Правил, дальнейшее обслуживание осуществляется согласно действующим тарифным планам «Пакет услуг «Ультра» и Условиям комплексного банковского обслуживания держателей карт Банка.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Клиент имеет право отказаться от Пакета услуг «Ультра» в порядке, предусмотренном Условиями комплексного банковского обслуживания держателей карт Банка.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40" w:lineRule="auto"/>
        <w:ind w:left="0" w:firstLine="709"/>
        <w:contextualSpacing/>
        <w:jc w:val="both"/>
      </w:pPr>
      <w:r>
        <w:t xml:space="preserve">Факт подачи заявления на участие в Акции в рамках тарифного плана «Пакет услуг «Ультра» означает ознакомление и полное согласие Участника Акции с настоящими Правилами, Условиями комплексного банковского обслуживания держателей карт АО «Россельхозбанк», </w:t>
      </w:r>
      <w:r>
        <w:t xml:space="preserve">Условиями предоставления банковских продуктов физическим лицам в рамках Пакета услуг </w:t>
      </w:r>
      <w:bookmarkStart w:id="0" w:name="_GoBack"/>
      <w:bookmarkEnd w:id="0"/>
      <w:r>
        <w:br/>
        <w:t xml:space="preserve">АО «Россельхозбанк», участие в Акции является добровольным.</w:t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284" w:right="567" w:bottom="1134" w:left="1134" w:header="28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</w:pPr>
  </w:p>
  <w:p>
    <w:pPr>
      <w:pStyle w:val="8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framePr w:wrap="around" w:vAnchor="text" w:hAnchor="margin" w:xAlign="center" w:y="1"/>
      <w:rPr>
        <w:rStyle w:val="958"/>
      </w:rPr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separate"/>
    </w:r>
    <w:r>
      <w:rPr>
        <w:rStyle w:val="958"/>
      </w:rPr>
      <w:t xml:space="preserve">2</w: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left="65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1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0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783"/>
    <w:link w:val="774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783"/>
    <w:link w:val="775"/>
    <w:uiPriority w:val="9"/>
    <w:rPr>
      <w:rFonts w:ascii="Arial" w:hAnsi="Arial" w:eastAsia="Arial" w:cs="Arial"/>
      <w:sz w:val="34"/>
    </w:rPr>
  </w:style>
  <w:style w:type="character" w:styleId="760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83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8"/>
    <w:uiPriority w:val="99"/>
    <w:rPr>
      <w:sz w:val="18"/>
    </w:rPr>
  </w:style>
  <w:style w:type="character" w:styleId="772">
    <w:name w:val="Endnote Text Char"/>
    <w:link w:val="941"/>
    <w:uiPriority w:val="99"/>
    <w:rPr>
      <w:sz w:val="20"/>
    </w:rPr>
  </w:style>
  <w:style w:type="paragraph" w:styleId="773" w:default="1">
    <w:name w:val="Normal"/>
    <w:qFormat/>
    <w:rPr>
      <w:sz w:val="24"/>
      <w:szCs w:val="24"/>
      <w:lang w:eastAsia="ru-RU"/>
    </w:rPr>
  </w:style>
  <w:style w:type="paragraph" w:styleId="774">
    <w:name w:val="Heading 1"/>
    <w:basedOn w:val="773"/>
    <w:next w:val="773"/>
    <w:link w:val="786"/>
    <w:qFormat/>
    <w:pPr>
      <w:keepNext/>
      <w:jc w:val="center"/>
      <w:outlineLvl w:val="0"/>
    </w:pPr>
    <w:rPr>
      <w:sz w:val="28"/>
      <w:szCs w:val="28"/>
    </w:rPr>
  </w:style>
  <w:style w:type="paragraph" w:styleId="775">
    <w:name w:val="Heading 2"/>
    <w:basedOn w:val="773"/>
    <w:next w:val="773"/>
    <w:link w:val="78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76">
    <w:name w:val="Heading 3"/>
    <w:basedOn w:val="773"/>
    <w:next w:val="773"/>
    <w:link w:val="78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7">
    <w:name w:val="Heading 4"/>
    <w:basedOn w:val="773"/>
    <w:next w:val="773"/>
    <w:link w:val="78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79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7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79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Заголовок 1 Знак"/>
    <w:link w:val="774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link w:val="775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796">
    <w:name w:val="No Spacing"/>
    <w:uiPriority w:val="1"/>
    <w:qFormat/>
  </w:style>
  <w:style w:type="paragraph" w:styleId="797">
    <w:name w:val="Title"/>
    <w:basedOn w:val="773"/>
    <w:next w:val="773"/>
    <w:link w:val="79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3"/>
    <w:link w:val="961"/>
    <w:uiPriority w:val="99"/>
    <w:pPr>
      <w:tabs>
        <w:tab w:val="center" w:pos="4677" w:leader="none"/>
        <w:tab w:val="right" w:pos="9355" w:leader="none"/>
      </w:tabs>
    </w:pPr>
  </w:style>
  <w:style w:type="character" w:styleId="806" w:customStyle="1">
    <w:name w:val="Header Char"/>
    <w:uiPriority w:val="99"/>
  </w:style>
  <w:style w:type="paragraph" w:styleId="807">
    <w:name w:val="Footer"/>
    <w:basedOn w:val="773"/>
    <w:link w:val="95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8" w:customStyle="1">
    <w:name w:val="Footer Char"/>
    <w:uiPriority w:val="99"/>
  </w:style>
  <w:style w:type="paragraph" w:styleId="809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84"/>
    <w:tblPr/>
  </w:style>
  <w:style w:type="table" w:styleId="8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773"/>
    <w:link w:val="939"/>
    <w:rPr>
      <w:sz w:val="20"/>
      <w:szCs w:val="20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spacing w:after="57"/>
    </w:pPr>
  </w:style>
  <w:style w:type="paragraph" w:styleId="945">
    <w:name w:val="toc 2"/>
    <w:basedOn w:val="773"/>
    <w:next w:val="773"/>
    <w:uiPriority w:val="39"/>
    <w:unhideWhenUsed/>
    <w:pPr>
      <w:spacing w:after="57"/>
      <w:ind w:left="283"/>
    </w:pPr>
  </w:style>
  <w:style w:type="paragraph" w:styleId="946">
    <w:name w:val="toc 3"/>
    <w:basedOn w:val="773"/>
    <w:next w:val="773"/>
    <w:uiPriority w:val="39"/>
    <w:unhideWhenUsed/>
    <w:pPr>
      <w:spacing w:after="57"/>
      <w:ind w:left="567"/>
    </w:pPr>
  </w:style>
  <w:style w:type="paragraph" w:styleId="947">
    <w:name w:val="toc 4"/>
    <w:basedOn w:val="773"/>
    <w:next w:val="773"/>
    <w:uiPriority w:val="39"/>
    <w:unhideWhenUsed/>
    <w:pPr>
      <w:spacing w:after="57"/>
      <w:ind w:left="850"/>
    </w:pPr>
  </w:style>
  <w:style w:type="paragraph" w:styleId="948">
    <w:name w:val="toc 5"/>
    <w:basedOn w:val="773"/>
    <w:next w:val="773"/>
    <w:uiPriority w:val="39"/>
    <w:unhideWhenUsed/>
    <w:pPr>
      <w:spacing w:after="57"/>
      <w:ind w:left="1134"/>
    </w:pPr>
  </w:style>
  <w:style w:type="paragraph" w:styleId="949">
    <w:name w:val="toc 6"/>
    <w:basedOn w:val="773"/>
    <w:next w:val="773"/>
    <w:uiPriority w:val="39"/>
    <w:unhideWhenUsed/>
    <w:pPr>
      <w:spacing w:after="57"/>
      <w:ind w:left="1417"/>
    </w:pPr>
  </w:style>
  <w:style w:type="paragraph" w:styleId="950">
    <w:name w:val="toc 7"/>
    <w:basedOn w:val="773"/>
    <w:next w:val="773"/>
    <w:uiPriority w:val="39"/>
    <w:unhideWhenUsed/>
    <w:pPr>
      <w:spacing w:after="57"/>
      <w:ind w:left="1701"/>
    </w:pPr>
  </w:style>
  <w:style w:type="paragraph" w:styleId="951">
    <w:name w:val="toc 8"/>
    <w:basedOn w:val="773"/>
    <w:next w:val="773"/>
    <w:uiPriority w:val="39"/>
    <w:unhideWhenUsed/>
    <w:pPr>
      <w:spacing w:after="57"/>
      <w:ind w:left="1984"/>
    </w:pPr>
  </w:style>
  <w:style w:type="paragraph" w:styleId="952">
    <w:name w:val="toc 9"/>
    <w:basedOn w:val="773"/>
    <w:next w:val="773"/>
    <w:uiPriority w:val="39"/>
    <w:unhideWhenUsed/>
    <w:pPr>
      <w:spacing w:after="57"/>
      <w:ind w:left="2268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73"/>
    <w:next w:val="773"/>
    <w:uiPriority w:val="99"/>
    <w:unhideWhenUsed/>
  </w:style>
  <w:style w:type="paragraph" w:styleId="955">
    <w:name w:val="Balloon Text"/>
    <w:basedOn w:val="773"/>
    <w:semiHidden/>
    <w:rPr>
      <w:rFonts w:ascii="Tahoma" w:hAnsi="Tahoma" w:cs="Tahoma"/>
      <w:sz w:val="16"/>
      <w:szCs w:val="16"/>
    </w:rPr>
  </w:style>
  <w:style w:type="paragraph" w:styleId="956" w:customStyle="1">
    <w:name w:val="Название"/>
    <w:basedOn w:val="773"/>
    <w:qFormat/>
    <w:pPr>
      <w:jc w:val="center"/>
    </w:pPr>
    <w:rPr>
      <w:b/>
      <w:bCs/>
      <w:sz w:val="28"/>
      <w:szCs w:val="28"/>
    </w:rPr>
  </w:style>
  <w:style w:type="paragraph" w:styleId="957">
    <w:name w:val="Body Text"/>
    <w:basedOn w:val="773"/>
    <w:pPr>
      <w:keepNext/>
      <w:keepLines/>
      <w:spacing w:line="240" w:lineRule="atLeast"/>
    </w:pPr>
    <w:rPr>
      <w:color w:val="000000"/>
      <w:sz w:val="22"/>
      <w:szCs w:val="22"/>
    </w:rPr>
  </w:style>
  <w:style w:type="character" w:styleId="958">
    <w:name w:val="page number"/>
    <w:rPr>
      <w:rFonts w:cs="Times New Roman"/>
    </w:rPr>
  </w:style>
  <w:style w:type="character" w:styleId="959" w:customStyle="1">
    <w:name w:val="Нижний колонтитул Знак"/>
    <w:link w:val="807"/>
    <w:uiPriority w:val="99"/>
    <w:rPr>
      <w:sz w:val="24"/>
      <w:szCs w:val="24"/>
    </w:rPr>
  </w:style>
  <w:style w:type="character" w:styleId="960">
    <w:name w:val="Strong"/>
    <w:uiPriority w:val="22"/>
    <w:qFormat/>
    <w:rPr>
      <w:b/>
      <w:bCs/>
    </w:rPr>
  </w:style>
  <w:style w:type="character" w:styleId="961" w:customStyle="1">
    <w:name w:val="Верхний колонтитул Знак"/>
    <w:link w:val="805"/>
    <w:uiPriority w:val="99"/>
    <w:rPr>
      <w:sz w:val="24"/>
      <w:szCs w:val="24"/>
    </w:rPr>
  </w:style>
  <w:style w:type="character" w:styleId="962">
    <w:name w:val="annotation reference"/>
    <w:rPr>
      <w:sz w:val="16"/>
      <w:szCs w:val="16"/>
    </w:rPr>
  </w:style>
  <w:style w:type="paragraph" w:styleId="963">
    <w:name w:val="annotation text"/>
    <w:basedOn w:val="773"/>
    <w:link w:val="964"/>
    <w:rPr>
      <w:sz w:val="20"/>
      <w:szCs w:val="20"/>
    </w:rPr>
  </w:style>
  <w:style w:type="character" w:styleId="964" w:customStyle="1">
    <w:name w:val="Текст примечания Знак"/>
    <w:basedOn w:val="783"/>
    <w:link w:val="963"/>
  </w:style>
  <w:style w:type="paragraph" w:styleId="965">
    <w:name w:val="annotation subject"/>
    <w:basedOn w:val="963"/>
    <w:next w:val="963"/>
    <w:link w:val="966"/>
    <w:rPr>
      <w:b/>
      <w:bCs/>
    </w:rPr>
  </w:style>
  <w:style w:type="character" w:styleId="966" w:customStyle="1">
    <w:name w:val="Тема примечания Знак"/>
    <w:link w:val="965"/>
    <w:rPr>
      <w:b/>
      <w:bCs/>
    </w:rPr>
  </w:style>
  <w:style w:type="paragraph" w:styleId="967">
    <w:name w:val="Revision"/>
    <w:hidden/>
    <w:uiPriority w:val="99"/>
    <w:semiHidden/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revision>11</cp:revision>
  <dcterms:created xsi:type="dcterms:W3CDTF">2024-12-20T09:34:00Z</dcterms:created>
  <dcterms:modified xsi:type="dcterms:W3CDTF">2025-04-17T12:42:59Z</dcterms:modified>
  <cp:version>1048576</cp:version>
</cp:coreProperties>
</file>