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733EA4"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733EA4"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733EA4">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733EA4">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733EA4">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733EA4"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733EA4"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733EA4">
              <w:rPr>
                <w:sz w:val="22"/>
                <w:szCs w:val="22"/>
              </w:rPr>
            </w:r>
            <w:r w:rsidR="00733EA4">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733EA4"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733EA4"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733EA4"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733EA4"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733EA4">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3EA4"/>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5D4F8-A2A7-4513-9034-627F79C04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2019-11-09T17:51:00Z</dcterms:modified>
</cp:coreProperties>
</file>